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15AE4" w14:textId="6E115CB1" w:rsidR="00580C5C" w:rsidRDefault="00580C5C" w:rsidP="00580C5C">
      <w:pPr>
        <w:pStyle w:val="Bullet"/>
      </w:pPr>
      <w:r>
        <w:t>Though UK inflation surprised on the downside in December, this was largely due to temporary factors. Indeed, the rise in wholesale gas prices over the past few weeks means that we've revised up our forecast for CPI inflation in 2025 to 3% from 2.8% last month.</w:t>
      </w:r>
    </w:p>
    <w:p w14:paraId="7940D007" w14:textId="3CA1A0D9" w:rsidR="00580C5C" w:rsidRDefault="005B16BE" w:rsidP="00580C5C">
      <w:pPr>
        <w:pStyle w:val="Bullet"/>
      </w:pPr>
      <w:r>
        <w:t>December's drags from the volatile air fares and accommodation categories are likely to unwind in next month's release. We expect inflation will spend most of 2025 around the 3% mark, with r</w:t>
      </w:r>
      <w:r w:rsidRPr="005B16BE">
        <w:t>ising wholesale energy prices, a weak pound, and fiscal policy changes more than offset</w:t>
      </w:r>
      <w:r>
        <w:t>ting</w:t>
      </w:r>
      <w:r w:rsidRPr="005B16BE">
        <w:t xml:space="preserve"> the </w:t>
      </w:r>
      <w:r>
        <w:t>drag from</w:t>
      </w:r>
      <w:r w:rsidRPr="005B16BE">
        <w:t xml:space="preserve"> a gradual cooling in wage growth</w:t>
      </w:r>
      <w:r w:rsidR="00580C5C">
        <w:t>.</w:t>
      </w:r>
    </w:p>
    <w:p w14:paraId="300EA4B7" w14:textId="284E7393" w:rsidR="00580C5C" w:rsidRDefault="0027337D" w:rsidP="00580C5C">
      <w:r w:rsidRPr="0027337D">
        <w:t xml:space="preserve">CPI inflation surprised on the downside in December, edging down to 2.5% from 2.6% in November. Lower-than-expected services inflation was the reason for December's softer outturn, with the volatile air fares </w:t>
      </w:r>
      <w:r>
        <w:t xml:space="preserve">and accommodation </w:t>
      </w:r>
      <w:r w:rsidRPr="0027337D">
        <w:t>categor</w:t>
      </w:r>
      <w:r>
        <w:t>ies</w:t>
      </w:r>
      <w:r w:rsidRPr="0027337D">
        <w:t xml:space="preserve"> </w:t>
      </w:r>
      <w:r>
        <w:t xml:space="preserve">accounting for the </w:t>
      </w:r>
      <w:r w:rsidR="00F812BB">
        <w:t xml:space="preserve">bulk of the </w:t>
      </w:r>
      <w:r>
        <w:t>undershoot</w:t>
      </w:r>
      <w:r w:rsidRPr="0027337D">
        <w:t>. The Office for National Statistics suggested the choice of dates used was a key factor in the lower outturn</w:t>
      </w:r>
      <w:r>
        <w:t>s</w:t>
      </w:r>
      <w:r w:rsidRPr="0027337D">
        <w:t>. The softer services reading more than offset the impact of base effects in the core goods and fuel categories, with the latter impact having been compounded by pump prices rising m/m between November and December</w:t>
      </w:r>
      <w:r w:rsidR="00580C5C">
        <w:t xml:space="preserve">. </w:t>
      </w:r>
      <w:r>
        <w:t>RPI and RPIX inflation also fell by 0.1ppts to sit at 3.5% and 2.9% in December.</w:t>
      </w:r>
    </w:p>
    <w:p w14:paraId="45A989F4" w14:textId="63CDBF02" w:rsidR="00787D0F" w:rsidRDefault="0027337D" w:rsidP="00580C5C">
      <w:r w:rsidRPr="0027337D">
        <w:t>The downward pressure</w:t>
      </w:r>
      <w:r>
        <w:t>s</w:t>
      </w:r>
      <w:r w:rsidRPr="0027337D">
        <w:t xml:space="preserve"> from air fares</w:t>
      </w:r>
      <w:r>
        <w:t xml:space="preserve"> and accommodation</w:t>
      </w:r>
      <w:r w:rsidRPr="0027337D">
        <w:t xml:space="preserve"> should unwind in next month's dat</w:t>
      </w:r>
      <w:r w:rsidR="000C749D">
        <w:t xml:space="preserve">a, and we expect this to mark the start of </w:t>
      </w:r>
      <w:r w:rsidR="00CF0B7C">
        <w:t xml:space="preserve">an </w:t>
      </w:r>
      <w:r w:rsidR="000C749D">
        <w:t xml:space="preserve">upward trajectory for inflation that will last until early autumn. Indeed, the outlook has deteriorated since last month because of the </w:t>
      </w:r>
      <w:r w:rsidR="000C749D" w:rsidRPr="0027337D">
        <w:t>recent surge in wholesale gas prices</w:t>
      </w:r>
      <w:r w:rsidR="000C749D">
        <w:t>. This is likely to mean that the energy price cap rises further in April, after an increase of</w:t>
      </w:r>
      <w:r w:rsidRPr="0027337D">
        <w:t xml:space="preserve"> just over 1% at the start of this month.</w:t>
      </w:r>
      <w:r w:rsidR="000C749D">
        <w:t xml:space="preserve"> As a result,</w:t>
      </w:r>
      <w:r w:rsidRPr="0027337D">
        <w:t xml:space="preserve"> </w:t>
      </w:r>
      <w:r w:rsidR="000C749D" w:rsidRPr="0027337D">
        <w:t>we</w:t>
      </w:r>
      <w:r w:rsidR="000C749D">
        <w:t xml:space="preserve">'ve nudged up our forecast for </w:t>
      </w:r>
      <w:r w:rsidR="000C749D" w:rsidRPr="0027337D">
        <w:t xml:space="preserve">CPI inflation </w:t>
      </w:r>
      <w:r w:rsidR="000C749D">
        <w:t>i</w:t>
      </w:r>
      <w:r w:rsidR="000C749D" w:rsidRPr="0027337D">
        <w:t>n 2025</w:t>
      </w:r>
      <w:r w:rsidR="000C749D">
        <w:t xml:space="preserve"> to 3%</w:t>
      </w:r>
      <w:r w:rsidR="00016FCA">
        <w:t>,</w:t>
      </w:r>
      <w:r w:rsidR="000C749D">
        <w:t xml:space="preserve"> from 2.8% last month.</w:t>
      </w:r>
    </w:p>
    <w:p w14:paraId="0756A8FA" w14:textId="64168057" w:rsidR="00787D0F" w:rsidRDefault="000C749D" w:rsidP="00787D0F">
      <w:r>
        <w:t>Alongside the impact of higher energy prices, t</w:t>
      </w:r>
      <w:r w:rsidR="0027337D" w:rsidRPr="0027337D">
        <w:t xml:space="preserve">he weakening in sterling will push up the prices of imported goods. </w:t>
      </w:r>
      <w:r>
        <w:t xml:space="preserve">Fiscal policy changes will </w:t>
      </w:r>
      <w:r w:rsidRPr="0027337D">
        <w:t>also create upward pressure</w:t>
      </w:r>
      <w:r w:rsidRPr="0027337D">
        <w:t xml:space="preserve"> </w:t>
      </w:r>
      <w:r>
        <w:t>on inflation via f</w:t>
      </w:r>
      <w:r w:rsidR="0027337D" w:rsidRPr="0027337D">
        <w:t xml:space="preserve">irms passing on some of the cost of higher national insurance contributions and the introduction of VAT on private school fees. </w:t>
      </w:r>
      <w:r w:rsidR="00EB24D8">
        <w:t>But these effects should prove temporary, and with e</w:t>
      </w:r>
      <w:r w:rsidR="0027337D" w:rsidRPr="0027337D">
        <w:t xml:space="preserve">asing wage growth </w:t>
      </w:r>
      <w:r w:rsidR="00EB24D8">
        <w:t>set to</w:t>
      </w:r>
      <w:r w:rsidR="0027337D" w:rsidRPr="0027337D">
        <w:t xml:space="preserve"> cool services inflation</w:t>
      </w:r>
      <w:r w:rsidR="00EB24D8">
        <w:t>, we expect CPI inflation to cool as we move through 2026</w:t>
      </w:r>
      <w:r>
        <w:t>.</w:t>
      </w:r>
    </w:p>
    <w:p w14:paraId="637F3CE2" w14:textId="29A250BB" w:rsidR="00580C5C" w:rsidRDefault="00580C5C" w:rsidP="00787D0F">
      <w:pPr>
        <w:pStyle w:val="ExhibitTitle"/>
        <w:jc w:val="center"/>
      </w:pPr>
      <w:r>
        <w:t xml:space="preserve">Chart </w:t>
      </w:r>
      <w:r>
        <w:fldChar w:fldCharType="begin"/>
      </w:r>
      <w:r w:rsidR="0067022E">
        <w:instrText>SEQ CHART</w:instrText>
      </w:r>
      <w:r>
        <w:fldChar w:fldCharType="separate"/>
      </w:r>
      <w:r w:rsidR="0067022E">
        <w:rPr>
          <w:noProof/>
        </w:rPr>
        <w:t>1</w:t>
      </w:r>
      <w:r>
        <w:fldChar w:fldCharType="end"/>
      </w:r>
      <w:r>
        <w:t xml:space="preserve">: </w:t>
      </w:r>
      <w:r w:rsidR="008E6EF5">
        <w:t>We've revised up our 2025 forecast for CPI inflation to 3% due to higher gas prices</w:t>
      </w:r>
    </w:p>
    <w:p w14:paraId="75A7315C" w14:textId="4BB54F0B" w:rsidR="00787D0F" w:rsidRDefault="00787D0F" w:rsidP="00787D0F">
      <w:pPr>
        <w:spacing w:after="0"/>
        <w:jc w:val="center"/>
        <w:rPr>
          <w:noProof/>
        </w:rPr>
      </w:pPr>
      <w:r>
        <w:rPr>
          <w:noProof/>
        </w:rPr>
        <w:drawing>
          <wp:inline distT="0" distB="0" distL="0" distR="0" wp14:anchorId="05A644BF" wp14:editId="18877C52">
            <wp:extent cx="4006964" cy="3140642"/>
            <wp:effectExtent l="0" t="0" r="0" b="3175"/>
            <wp:docPr id="117349130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91306" nam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b="1886"/>
                    <a:stretch>
                      <a:fillRect/>
                    </a:stretch>
                  </pic:blipFill>
                  <pic:spPr>
                    <a:xfrm>
                      <a:off x="0" y="0"/>
                      <a:ext cx="4006964" cy="3140642"/>
                    </a:xfrm>
                    <a:prstGeom prst="rect">
                      <a:avLst/>
                    </a:prstGeom>
                  </pic:spPr>
                </pic:pic>
              </a:graphicData>
            </a:graphic>
          </wp:inline>
        </w:drawing>
      </w:r>
    </w:p>
    <w:p w14:paraId="3D624A56" w14:textId="7ECAAD17" w:rsidR="0067022E" w:rsidRDefault="00787D0F" w:rsidP="0067022E">
      <w:pPr>
        <w:pStyle w:val="ExhibitSource"/>
        <w:jc w:val="center"/>
      </w:pPr>
      <w:r>
        <w:t>Source: Oxford Economics, Haver Analytics</w:t>
      </w:r>
    </w:p>
    <w:p w14:paraId="1001C06E" w14:textId="77777777" w:rsidR="001A50DC" w:rsidRPr="001A50DC" w:rsidRDefault="001A50DC" w:rsidP="001A50DC"/>
    <w:sectPr w:rsidR="001A50DC" w:rsidRPr="001A50DC" w:rsidSect="00787D0F">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84392" w14:textId="77777777" w:rsidR="00580C5C" w:rsidRDefault="00580C5C" w:rsidP="00580C5C">
      <w:pPr>
        <w:spacing w:before="0" w:after="0"/>
      </w:pPr>
      <w:r>
        <w:separator/>
      </w:r>
    </w:p>
  </w:endnote>
  <w:endnote w:type="continuationSeparator" w:id="0">
    <w:p w14:paraId="19E63389" w14:textId="77777777" w:rsidR="00580C5C" w:rsidRDefault="00580C5C" w:rsidP="00580C5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4825F" w14:textId="77777777" w:rsidR="00580C5C" w:rsidRDefault="00580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CB65D" w14:textId="77777777" w:rsidR="00580C5C" w:rsidRDefault="00580C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1758F" w14:textId="45D19570" w:rsidR="00580C5C" w:rsidRDefault="00580C5C" w:rsidP="00580C5C">
    <w:pPr>
      <w:pStyle w:val="Author"/>
    </w:pPr>
    <w:r>
      <w:t>Andrew Goodwin</w:t>
    </w:r>
    <w:r w:rsidR="001A50DC">
      <w:t xml:space="preserve"> - </w:t>
    </w:r>
    <w:r>
      <w:t>Chief UK Economist</w:t>
    </w:r>
    <w:r w:rsidR="001A50DC">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47B41" w14:textId="77777777" w:rsidR="00580C5C" w:rsidRDefault="00580C5C" w:rsidP="00580C5C">
      <w:pPr>
        <w:spacing w:before="0" w:after="0"/>
      </w:pPr>
      <w:r>
        <w:separator/>
      </w:r>
    </w:p>
  </w:footnote>
  <w:footnote w:type="continuationSeparator" w:id="0">
    <w:p w14:paraId="68169376" w14:textId="77777777" w:rsidR="00580C5C" w:rsidRDefault="00580C5C" w:rsidP="00580C5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CFCE9" w14:textId="77777777" w:rsidR="00580C5C" w:rsidRDefault="00580C5C">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89D1D" w14:textId="77777777" w:rsidR="00580C5C" w:rsidRDefault="00580C5C">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AD676" w14:textId="1A3BD9CE" w:rsidR="00580C5C" w:rsidRDefault="00580C5C" w:rsidP="00580C5C">
    <w:r w:rsidRPr="00580C5C">
      <w:drawing>
        <wp:anchor distT="0" distB="0" distL="114300" distR="114300" simplePos="0" relativeHeight="251659264" behindDoc="1" locked="1" layoutInCell="1" allowOverlap="1" wp14:anchorId="051F825D" wp14:editId="212E9E5D">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416207057"/>
      <w:lock w:val="sdtLocked"/>
      <w:placeholder>
        <w:docPart w:val="DefaultPlaceholder_-1854013437"/>
      </w:placeholder>
      <w:date w:fullDate="2025-01-15T00:00:00Z">
        <w:dateFormat w:val="d MMMM yyyy"/>
        <w:lid w:val="en-GB"/>
        <w:storeMappedDataAs w:val="dateTime"/>
        <w:calendar w:val="gregorian"/>
      </w:date>
    </w:sdtPr>
    <w:sdtContent>
      <w:p w14:paraId="454C9D72" w14:textId="64AC058A" w:rsidR="00580C5C" w:rsidRDefault="00580C5C" w:rsidP="00580C5C">
        <w:pPr>
          <w:pStyle w:val="PublishDate"/>
          <w:framePr w:w="2835" w:h="340" w:hRule="exact" w:hSpace="180" w:wrap="around" w:vAnchor="page" w:hAnchor="page" w:x="7801" w:y="601" w:anchorLock="1"/>
        </w:pPr>
        <w:r>
          <w:t>15 January 2025</w:t>
        </w:r>
      </w:p>
    </w:sdtContent>
  </w:sdt>
  <w:p w14:paraId="37B2088B" w14:textId="2576355E" w:rsidR="00580C5C" w:rsidRDefault="00580C5C" w:rsidP="00580C5C">
    <w:pPr>
      <w:pStyle w:val="ProductDescription"/>
      <w:framePr w:w="11339" w:h="1474" w:hRule="exact" w:hSpace="180" w:wrap="around" w:vAnchor="page" w:hAnchor="page" w:x="401" w:y="1141" w:anchorLock="1"/>
      <w:spacing w:after="200"/>
    </w:pPr>
    <w:r w:rsidRPr="00580C5C">
      <w:t>Monthly inflation forecast</w:t>
    </w:r>
    <w:r>
      <w:t xml:space="preserve"> | UK</w:t>
    </w:r>
  </w:p>
  <w:p w14:paraId="0512E9AC" w14:textId="411B916D" w:rsidR="00580C5C" w:rsidRDefault="00F812BB" w:rsidP="00580C5C">
    <w:pPr>
      <w:pStyle w:val="Headline"/>
      <w:framePr w:w="11339" w:h="1474" w:hRule="exact" w:hSpace="180" w:wrap="around" w:vAnchor="page" w:hAnchor="page" w:x="401" w:y="1141" w:anchorLock="1"/>
      <w:spacing w:line="200" w:lineRule="auto"/>
    </w:pPr>
    <w:r>
      <w:t>2025 forecast revised up due to higher energy prices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5C"/>
    <w:rsid w:val="00003BA7"/>
    <w:rsid w:val="00016FCA"/>
    <w:rsid w:val="00022761"/>
    <w:rsid w:val="0005491E"/>
    <w:rsid w:val="00097F8E"/>
    <w:rsid w:val="000C0ADF"/>
    <w:rsid w:val="000C749D"/>
    <w:rsid w:val="000D3E43"/>
    <w:rsid w:val="000E2BD3"/>
    <w:rsid w:val="000F3F52"/>
    <w:rsid w:val="001018E9"/>
    <w:rsid w:val="00120D7A"/>
    <w:rsid w:val="00124E58"/>
    <w:rsid w:val="00160F71"/>
    <w:rsid w:val="0016316B"/>
    <w:rsid w:val="0017078A"/>
    <w:rsid w:val="00190C04"/>
    <w:rsid w:val="00192CDF"/>
    <w:rsid w:val="001A50DC"/>
    <w:rsid w:val="001A5775"/>
    <w:rsid w:val="001A6993"/>
    <w:rsid w:val="001A749F"/>
    <w:rsid w:val="001B2B67"/>
    <w:rsid w:val="001B2C32"/>
    <w:rsid w:val="001D7057"/>
    <w:rsid w:val="001E0785"/>
    <w:rsid w:val="001E0C4A"/>
    <w:rsid w:val="001F3317"/>
    <w:rsid w:val="00242E5E"/>
    <w:rsid w:val="002615F6"/>
    <w:rsid w:val="00262D94"/>
    <w:rsid w:val="00263E48"/>
    <w:rsid w:val="0027337D"/>
    <w:rsid w:val="002745D6"/>
    <w:rsid w:val="00282A8A"/>
    <w:rsid w:val="00286754"/>
    <w:rsid w:val="0029566B"/>
    <w:rsid w:val="002C1955"/>
    <w:rsid w:val="002D0DC9"/>
    <w:rsid w:val="003017D9"/>
    <w:rsid w:val="0031169C"/>
    <w:rsid w:val="00316CBE"/>
    <w:rsid w:val="00370974"/>
    <w:rsid w:val="00374E02"/>
    <w:rsid w:val="003B0CAB"/>
    <w:rsid w:val="003B715A"/>
    <w:rsid w:val="003C1BB1"/>
    <w:rsid w:val="003E7F3C"/>
    <w:rsid w:val="003F0F4E"/>
    <w:rsid w:val="0040359C"/>
    <w:rsid w:val="00405A12"/>
    <w:rsid w:val="00405D65"/>
    <w:rsid w:val="004258C9"/>
    <w:rsid w:val="004458BB"/>
    <w:rsid w:val="004602D9"/>
    <w:rsid w:val="0046292D"/>
    <w:rsid w:val="004677EA"/>
    <w:rsid w:val="004827E3"/>
    <w:rsid w:val="00495DE7"/>
    <w:rsid w:val="004A2A92"/>
    <w:rsid w:val="004B4F66"/>
    <w:rsid w:val="004C7923"/>
    <w:rsid w:val="004D473F"/>
    <w:rsid w:val="004D5B83"/>
    <w:rsid w:val="004D650E"/>
    <w:rsid w:val="005176F2"/>
    <w:rsid w:val="00524103"/>
    <w:rsid w:val="00535C71"/>
    <w:rsid w:val="005414BA"/>
    <w:rsid w:val="0054280C"/>
    <w:rsid w:val="005473C6"/>
    <w:rsid w:val="00563FEB"/>
    <w:rsid w:val="00576CB8"/>
    <w:rsid w:val="00580C5C"/>
    <w:rsid w:val="00592138"/>
    <w:rsid w:val="005B16BE"/>
    <w:rsid w:val="005E404F"/>
    <w:rsid w:val="005F0616"/>
    <w:rsid w:val="006125A3"/>
    <w:rsid w:val="006166EE"/>
    <w:rsid w:val="0067022E"/>
    <w:rsid w:val="00671564"/>
    <w:rsid w:val="006739BF"/>
    <w:rsid w:val="0067595A"/>
    <w:rsid w:val="006A1630"/>
    <w:rsid w:val="006A676D"/>
    <w:rsid w:val="006B76A5"/>
    <w:rsid w:val="006C7C06"/>
    <w:rsid w:val="006F60F1"/>
    <w:rsid w:val="00730E79"/>
    <w:rsid w:val="007723AE"/>
    <w:rsid w:val="00787D0F"/>
    <w:rsid w:val="007A0F18"/>
    <w:rsid w:val="007B57CD"/>
    <w:rsid w:val="007F5D5D"/>
    <w:rsid w:val="00847933"/>
    <w:rsid w:val="00855D68"/>
    <w:rsid w:val="0086090E"/>
    <w:rsid w:val="00874B7C"/>
    <w:rsid w:val="0088455B"/>
    <w:rsid w:val="008D4F08"/>
    <w:rsid w:val="008E11F0"/>
    <w:rsid w:val="008E6EF5"/>
    <w:rsid w:val="008E721D"/>
    <w:rsid w:val="008F1A70"/>
    <w:rsid w:val="009124B9"/>
    <w:rsid w:val="00920D15"/>
    <w:rsid w:val="0093209C"/>
    <w:rsid w:val="00933B30"/>
    <w:rsid w:val="009634AC"/>
    <w:rsid w:val="00963AA5"/>
    <w:rsid w:val="00995E6B"/>
    <w:rsid w:val="009B723B"/>
    <w:rsid w:val="009C7C16"/>
    <w:rsid w:val="009E07F1"/>
    <w:rsid w:val="009E5F70"/>
    <w:rsid w:val="009F37D1"/>
    <w:rsid w:val="009F3F01"/>
    <w:rsid w:val="00A25234"/>
    <w:rsid w:val="00A332D4"/>
    <w:rsid w:val="00A50835"/>
    <w:rsid w:val="00A52669"/>
    <w:rsid w:val="00A576A0"/>
    <w:rsid w:val="00A63323"/>
    <w:rsid w:val="00A66B32"/>
    <w:rsid w:val="00A77085"/>
    <w:rsid w:val="00A9430E"/>
    <w:rsid w:val="00AB24B7"/>
    <w:rsid w:val="00AB6B99"/>
    <w:rsid w:val="00AD07ED"/>
    <w:rsid w:val="00AE76E6"/>
    <w:rsid w:val="00B04E07"/>
    <w:rsid w:val="00B16B5A"/>
    <w:rsid w:val="00B31E88"/>
    <w:rsid w:val="00B70C88"/>
    <w:rsid w:val="00B7343B"/>
    <w:rsid w:val="00B846EA"/>
    <w:rsid w:val="00B910EA"/>
    <w:rsid w:val="00BB6195"/>
    <w:rsid w:val="00BE1485"/>
    <w:rsid w:val="00BF6A2A"/>
    <w:rsid w:val="00C17065"/>
    <w:rsid w:val="00C65A69"/>
    <w:rsid w:val="00C71A9B"/>
    <w:rsid w:val="00C72052"/>
    <w:rsid w:val="00C75153"/>
    <w:rsid w:val="00C76458"/>
    <w:rsid w:val="00C84AD7"/>
    <w:rsid w:val="00C90D41"/>
    <w:rsid w:val="00C93538"/>
    <w:rsid w:val="00C9768F"/>
    <w:rsid w:val="00CA4BF3"/>
    <w:rsid w:val="00CB23EC"/>
    <w:rsid w:val="00CB7716"/>
    <w:rsid w:val="00CC3321"/>
    <w:rsid w:val="00CE3160"/>
    <w:rsid w:val="00CF0B7C"/>
    <w:rsid w:val="00D01AEE"/>
    <w:rsid w:val="00D379EC"/>
    <w:rsid w:val="00D44219"/>
    <w:rsid w:val="00D645EE"/>
    <w:rsid w:val="00D82250"/>
    <w:rsid w:val="00DB0BE6"/>
    <w:rsid w:val="00DC3B6C"/>
    <w:rsid w:val="00DE568D"/>
    <w:rsid w:val="00DF68CB"/>
    <w:rsid w:val="00DF73F9"/>
    <w:rsid w:val="00E10235"/>
    <w:rsid w:val="00E213A8"/>
    <w:rsid w:val="00E23560"/>
    <w:rsid w:val="00EA0803"/>
    <w:rsid w:val="00EA2025"/>
    <w:rsid w:val="00EB24D8"/>
    <w:rsid w:val="00EC10CA"/>
    <w:rsid w:val="00ED615F"/>
    <w:rsid w:val="00ED6FF0"/>
    <w:rsid w:val="00F2643F"/>
    <w:rsid w:val="00F52C66"/>
    <w:rsid w:val="00F72F2A"/>
    <w:rsid w:val="00F812BB"/>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6593CA"/>
  <w15:chartTrackingRefBased/>
  <w15:docId w15:val="{67EC1F52-F592-461B-9649-808F3523C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C5C"/>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580C5C"/>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80C5C"/>
    <w:pPr>
      <w:outlineLvl w:val="1"/>
    </w:pPr>
    <w:rPr>
      <w:sz w:val="28"/>
    </w:rPr>
  </w:style>
  <w:style w:type="paragraph" w:styleId="Heading3">
    <w:name w:val="heading 3"/>
    <w:basedOn w:val="Normal"/>
    <w:next w:val="Normal"/>
    <w:link w:val="Heading3Char"/>
    <w:uiPriority w:val="9"/>
    <w:unhideWhenUsed/>
    <w:qFormat/>
    <w:rsid w:val="00580C5C"/>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80C5C"/>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80C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580C5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580C5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580C5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80C5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580C5C"/>
    <w:rPr>
      <w:noProof w:val="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C5C"/>
  </w:style>
  <w:style w:type="paragraph" w:styleId="Header">
    <w:name w:val="header"/>
    <w:basedOn w:val="Normal"/>
    <w:link w:val="HeaderChar"/>
    <w:uiPriority w:val="99"/>
    <w:unhideWhenUsed/>
    <w:locked/>
    <w:rsid w:val="00580C5C"/>
    <w:pPr>
      <w:tabs>
        <w:tab w:val="center" w:pos="4320"/>
        <w:tab w:val="right" w:pos="8640"/>
      </w:tabs>
    </w:pPr>
  </w:style>
  <w:style w:type="character" w:customStyle="1" w:styleId="HeaderChar">
    <w:name w:val="Header Char"/>
    <w:basedOn w:val="DefaultParagraphFont"/>
    <w:link w:val="Header"/>
    <w:uiPriority w:val="99"/>
    <w:rsid w:val="00580C5C"/>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580C5C"/>
    <w:pPr>
      <w:tabs>
        <w:tab w:val="center" w:pos="4320"/>
        <w:tab w:val="right" w:pos="8640"/>
      </w:tabs>
    </w:pPr>
  </w:style>
  <w:style w:type="character" w:customStyle="1" w:styleId="FooterChar">
    <w:name w:val="Footer Char"/>
    <w:basedOn w:val="DefaultParagraphFont"/>
    <w:link w:val="Footer"/>
    <w:uiPriority w:val="99"/>
    <w:rsid w:val="00580C5C"/>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580C5C"/>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580C5C"/>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580C5C"/>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580C5C"/>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580C5C"/>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580C5C"/>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580C5C"/>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580C5C"/>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80C5C"/>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580C5C"/>
    <w:rPr>
      <w:noProof w:val="0"/>
    </w:rPr>
  </w:style>
  <w:style w:type="character" w:styleId="Hyperlink">
    <w:name w:val="Hyperlink"/>
    <w:basedOn w:val="DefaultParagraphFont"/>
    <w:uiPriority w:val="99"/>
    <w:unhideWhenUsed/>
    <w:rsid w:val="00580C5C"/>
    <w:rPr>
      <w:noProof w:val="0"/>
      <w:color w:val="0563C1" w:themeColor="hyperlink"/>
      <w:u w:val="single"/>
    </w:rPr>
  </w:style>
  <w:style w:type="paragraph" w:styleId="ListParagraph">
    <w:name w:val="List Paragraph"/>
    <w:next w:val="Normal"/>
    <w:link w:val="ListParagraphChar"/>
    <w:uiPriority w:val="34"/>
    <w:locked/>
    <w:rsid w:val="00580C5C"/>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580C5C"/>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580C5C"/>
    <w:pPr>
      <w:spacing w:after="120"/>
    </w:pPr>
    <w:rPr>
      <w:b/>
      <w:bCs/>
      <w:color w:val="FFFFFF"/>
      <w:sz w:val="32"/>
      <w:szCs w:val="32"/>
    </w:rPr>
  </w:style>
  <w:style w:type="paragraph" w:customStyle="1" w:styleId="Headline">
    <w:name w:val="Headline"/>
    <w:basedOn w:val="Normal"/>
    <w:next w:val="Normal"/>
    <w:link w:val="HeadlineChar"/>
    <w:qFormat/>
    <w:rsid w:val="00580C5C"/>
    <w:rPr>
      <w:rFonts w:ascii="Segoe UI Semilight" w:hAnsi="Segoe UI Semilight" w:cs="Segoe UI Semilight"/>
      <w:b/>
      <w:bCs/>
      <w:color w:val="FFFFFF"/>
      <w:sz w:val="40"/>
      <w:szCs w:val="40"/>
    </w:rPr>
  </w:style>
  <w:style w:type="paragraph" w:customStyle="1" w:styleId="ExhibitTitle">
    <w:name w:val="Exhibit Title"/>
    <w:basedOn w:val="Normal"/>
    <w:qFormat/>
    <w:rsid w:val="00580C5C"/>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80C5C"/>
    <w:pPr>
      <w:shd w:val="clear" w:color="auto" w:fill="D6E2FA"/>
      <w:spacing w:after="0"/>
    </w:pPr>
    <w:rPr>
      <w:color w:val="595959" w:themeColor="text1" w:themeTint="A6"/>
      <w:sz w:val="18"/>
    </w:rPr>
  </w:style>
  <w:style w:type="paragraph" w:customStyle="1" w:styleId="ExhibitSource">
    <w:name w:val="Exhibit Source"/>
    <w:next w:val="Normal"/>
    <w:qFormat/>
    <w:rsid w:val="00580C5C"/>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580C5C"/>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580C5C"/>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580C5C"/>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580C5C"/>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80C5C"/>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580C5C"/>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580C5C"/>
    <w:rPr>
      <w:rFonts w:ascii="Segoe UI" w:hAnsi="Segoe UI" w:cs="Segoe UI"/>
      <w:noProof w:val="0"/>
      <w:color w:val="000000" w:themeColor="text1"/>
    </w:rPr>
  </w:style>
  <w:style w:type="paragraph" w:customStyle="1" w:styleId="Summary">
    <w:name w:val="Summary"/>
    <w:basedOn w:val="Normal"/>
    <w:link w:val="SummaryChar"/>
    <w:qFormat/>
    <w:rsid w:val="00580C5C"/>
    <w:pPr>
      <w:numPr>
        <w:numId w:val="1"/>
      </w:numPr>
      <w:ind w:left="1797" w:hanging="357"/>
    </w:pPr>
    <w:rPr>
      <w:kern w:val="2"/>
      <w:sz w:val="22"/>
      <w14:ligatures w14:val="standardContextual"/>
    </w:rPr>
  </w:style>
  <w:style w:type="paragraph" w:customStyle="1" w:styleId="TableData">
    <w:name w:val="Table Data"/>
    <w:link w:val="TableDataChar"/>
    <w:qFormat/>
    <w:rsid w:val="00580C5C"/>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580C5C"/>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580C5C"/>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580C5C"/>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580C5C"/>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580C5C"/>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580C5C"/>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580C5C"/>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580C5C"/>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580C5C"/>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580C5C"/>
    <w:rPr>
      <w:color w:val="003469"/>
    </w:rPr>
  </w:style>
  <w:style w:type="character" w:customStyle="1" w:styleId="RepeatingFooterChar">
    <w:name w:val="Repeating Footer Char"/>
    <w:basedOn w:val="FooterChar"/>
    <w:link w:val="RepeatingFooter"/>
    <w:rsid w:val="00580C5C"/>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580C5C"/>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580C5C"/>
    <w:rPr>
      <w:b/>
      <w:bCs/>
      <w:noProof w:val="0"/>
    </w:rPr>
  </w:style>
  <w:style w:type="character" w:customStyle="1" w:styleId="Italics">
    <w:name w:val="Italics"/>
    <w:uiPriority w:val="1"/>
    <w:qFormat/>
    <w:rsid w:val="00580C5C"/>
    <w:rPr>
      <w:i/>
      <w:iCs/>
      <w:noProof w:val="0"/>
    </w:rPr>
  </w:style>
  <w:style w:type="table" w:customStyle="1" w:styleId="TableGridHeader">
    <w:name w:val="Table Grid Header"/>
    <w:basedOn w:val="TableNormal"/>
    <w:uiPriority w:val="99"/>
    <w:rsid w:val="00580C5C"/>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5098A0F0-8A2F-49E0-879A-93C022DBBFEA}"/>
      </w:docPartPr>
      <w:docPartBody>
        <w:p w:rsidR="001909E6" w:rsidRDefault="001909E6">
          <w:r w:rsidRPr="00C567FF">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E6"/>
    <w:rsid w:val="00190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413</Words>
  <Characters>2031</Characters>
  <Application>Microsoft Office Word</Application>
  <DocSecurity>0</DocSecurity>
  <Lines>27</Lines>
  <Paragraphs>8</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17</cp:revision>
  <dcterms:created xsi:type="dcterms:W3CDTF">2025-01-15T11:44:00Z</dcterms:created>
  <dcterms:modified xsi:type="dcterms:W3CDTF">2025-01-15T12:41:00Z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v0.8.0.9</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2025-01-15T12:34:49.000Z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v0.8.0.9</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HART1">
    <vt:lpwstr>Conts to CPI fcst chart,Z:\UK Team\Inflation Model\20250115 Inflation Forecast.xlsx</vt:lpwstr>
  </property>
  <property fmtid="{D5CDD505-2E9C-101B-9397-08002B2CF9AE}" pid="15" name="OEP_DATA_FILEPATH">
    <vt:lpwstr>Z:\UK Team\Inflation Model\20250115 UK IF.xlsx</vt:lpwstr>
  </property>
  <property fmtid="{D5CDD505-2E9C-101B-9397-08002B2CF9AE}" pid="16" name="OEP_CHART1_DATA">
    <vt:lpwstr>Conts to CPI fcst chart,Z:\UK Team\Inflation Model\20250115 Inflation Forecast.xlsx</vt:lpwstr>
  </property>
  <property fmtid="{D5CDD505-2E9C-101B-9397-08002B2CF9AE}" pid="17" name="OEP_EXHIBIT_FILEPATHS">
    <vt:lpwstr>Z:\UK Team\Inflation Model\20250115 Inflation Forecast.xlsx</vt:lpwstr>
  </property>
  <property fmtid="{D5CDD505-2E9C-101B-9397-08002B2CF9AE}" pid="18" name="OEP_CATEGORIES">
    <vt:lpwstr>AnalysisbyRegion-Europe-UnitedKingdom,Macro-UKMonthlyInflation</vt:lpwstr>
  </property>
  <property fmtid="{D5CDD505-2E9C-101B-9397-08002B2CF9AE}" pid="19" name="OEP_TAGS">
    <vt:lpwstr>Key Themes:inflation</vt:lpwstr>
  </property>
  <property fmtid="{D5CDD505-2E9C-101B-9397-08002B2CF9AE}" pid="20" name="OEP_PRODUCT_CODE">
    <vt:lpwstr>6Cbc0dcF80464549bB2F22</vt:lpwstr>
  </property>
  <property fmtid="{D5CDD505-2E9C-101B-9397-08002B2CF9AE}" pid="21" name="OEP_PUBLISH_DATE">
    <vt:lpwstr/>
  </property>
</Properties>
</file>