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AAD93" w14:textId="0F6CBF30" w:rsidR="00482ABE" w:rsidRDefault="00482ABE" w:rsidP="00492949">
      <w:pPr>
        <w:pStyle w:val="Bullet"/>
      </w:pPr>
      <w:r>
        <w:t xml:space="preserve">We forecast that UK CPI inflation will average 3.2% in 2025, slightly higher than projected last month. This reflects the announcement that water bills </w:t>
      </w:r>
      <w:r w:rsidR="00543B6D">
        <w:t xml:space="preserve">will increase sharply </w:t>
      </w:r>
      <w:r>
        <w:t>in April</w:t>
      </w:r>
      <w:r w:rsidR="000A6174">
        <w:t xml:space="preserve"> and </w:t>
      </w:r>
      <w:r>
        <w:t xml:space="preserve">our weaker </w:t>
      </w:r>
      <w:r w:rsidR="000A6174">
        <w:t xml:space="preserve">forecast </w:t>
      </w:r>
      <w:r>
        <w:t>for sterling</w:t>
      </w:r>
      <w:r w:rsidR="000A6174">
        <w:t>, which</w:t>
      </w:r>
      <w:r>
        <w:t xml:space="preserve"> points to greater upward pressure on imported goods prices.</w:t>
      </w:r>
    </w:p>
    <w:p w14:paraId="0A01C2A3" w14:textId="3254EA23" w:rsidR="00482ABE" w:rsidRDefault="00482ABE" w:rsidP="00492949">
      <w:pPr>
        <w:pStyle w:val="Bullet"/>
      </w:pPr>
      <w:r>
        <w:t>January's rise in inflation was largely as expected, with the services and food categories the primary drivers of the increase. We expect inflation to remain elevated throughout this year due to higher energy prices, weaker sterling, and firms passing on some of the rise in labour costs.</w:t>
      </w:r>
    </w:p>
    <w:p w14:paraId="00949FB7" w14:textId="1051B1C6" w:rsidR="00482ABE" w:rsidRDefault="00482ABE" w:rsidP="00492949">
      <w:r>
        <w:t xml:space="preserve">CPI inflation rose to 3% in January, from 2.5% in December. The increase reflected two key drivers. First, services inflation accelerated due to the unwinding of December's </w:t>
      </w:r>
      <w:hyperlink r:id="rId7" w:history="1">
        <w:r w:rsidRPr="00C94E22">
          <w:rPr>
            <w:rStyle w:val="Hyperlink"/>
          </w:rPr>
          <w:t>temporary weakness</w:t>
        </w:r>
      </w:hyperlink>
      <w:r>
        <w:t xml:space="preserve"> in the erratic air fares sub-category and the imposition of VAT on private school fees. Second, there was a notable rise in food prices, though </w:t>
      </w:r>
      <w:r w:rsidR="00D06257">
        <w:t xml:space="preserve">this was partly due to base effects caused by </w:t>
      </w:r>
      <w:r w:rsidR="00EE46D3">
        <w:t>an</w:t>
      </w:r>
      <w:r>
        <w:t xml:space="preserve"> unusually weak reading last January. Together, these factors were more than enough to offset a slightly larger drag from the energy category, as </w:t>
      </w:r>
      <w:r w:rsidR="00EE46D3">
        <w:t xml:space="preserve">the </w:t>
      </w:r>
      <w:hyperlink r:id="rId8" w:history="1">
        <w:r w:rsidRPr="001D6FD7">
          <w:rPr>
            <w:rStyle w:val="Hyperlink"/>
          </w:rPr>
          <w:t>1.2% hike in the energy price cap</w:t>
        </w:r>
      </w:hyperlink>
      <w:r>
        <w:t xml:space="preserve"> was much smaller than the increase a year earlier. Elsewhere, RPI and RPIX inflation climbed to 3.6% and 3.2% respectively in January, from 3.5% and 2.9% in December.</w:t>
      </w:r>
    </w:p>
    <w:p w14:paraId="60BFE14E" w14:textId="222C7B1B" w:rsidR="00482ABE" w:rsidRDefault="00482ABE" w:rsidP="00492949">
      <w:r>
        <w:t xml:space="preserve">We </w:t>
      </w:r>
      <w:r w:rsidR="00A77C39">
        <w:t>expect</w:t>
      </w:r>
      <w:r>
        <w:t xml:space="preserve"> that CPI inflation </w:t>
      </w:r>
      <w:r w:rsidR="00A77C39">
        <w:t>will</w:t>
      </w:r>
      <w:r>
        <w:t xml:space="preserve"> edge downwards over the next couple of months before rebounding again </w:t>
      </w:r>
      <w:r w:rsidR="00A77C39">
        <w:t xml:space="preserve">from </w:t>
      </w:r>
      <w:r>
        <w:t xml:space="preserve">April, with the energy price cap set to rise by more than 6% that month. </w:t>
      </w:r>
      <w:r w:rsidR="00A77C39">
        <w:t>W</w:t>
      </w:r>
      <w:r>
        <w:t xml:space="preserve">e </w:t>
      </w:r>
      <w:r w:rsidR="00A77C39">
        <w:t xml:space="preserve">then </w:t>
      </w:r>
      <w:r>
        <w:t xml:space="preserve">expect inflation to remain </w:t>
      </w:r>
      <w:r w:rsidR="005224D0">
        <w:t>above 3% for</w:t>
      </w:r>
      <w:r>
        <w:t xml:space="preserve"> the rest of 2025</w:t>
      </w:r>
      <w:r w:rsidR="005224D0">
        <w:t>. T</w:t>
      </w:r>
      <w:r>
        <w:t xml:space="preserve">he depreciation in sterling </w:t>
      </w:r>
      <w:r w:rsidR="005224D0">
        <w:t>in recent months will</w:t>
      </w:r>
      <w:r>
        <w:t xml:space="preserve"> push up the prices of imported goods, while </w:t>
      </w:r>
      <w:r w:rsidR="005224D0">
        <w:t xml:space="preserve">we expect </w:t>
      </w:r>
      <w:r>
        <w:t>firms</w:t>
      </w:r>
      <w:r w:rsidR="005224D0">
        <w:t xml:space="preserve"> to</w:t>
      </w:r>
      <w:r>
        <w:t xml:space="preserve"> pass on some of the </w:t>
      </w:r>
      <w:hyperlink r:id="rId9" w:history="1">
        <w:r w:rsidRPr="005B3377">
          <w:rPr>
            <w:rStyle w:val="Hyperlink"/>
          </w:rPr>
          <w:t>rise in labour costs</w:t>
        </w:r>
      </w:hyperlink>
      <w:r>
        <w:t xml:space="preserve"> caused by </w:t>
      </w:r>
      <w:r w:rsidRPr="00E85768">
        <w:t>increases in employers' national insurance contributions and the national living wage.</w:t>
      </w:r>
    </w:p>
    <w:p w14:paraId="3C336586" w14:textId="2EA8CA6E" w:rsidR="00482ABE" w:rsidRDefault="00A706F8" w:rsidP="00492949">
      <w:r>
        <w:t>T</w:t>
      </w:r>
      <w:r w:rsidR="00482ABE">
        <w:t xml:space="preserve">he pickup in inflation this year is likely to be slightly stronger than we previously forecast. This is partly due to the announcement of hefty increases in water bills, which are set to take effect from April. </w:t>
      </w:r>
      <w:r>
        <w:t>W</w:t>
      </w:r>
      <w:r w:rsidR="00482ABE">
        <w:t>e also</w:t>
      </w:r>
      <w:r w:rsidR="00F013C4">
        <w:t xml:space="preserve"> expect sterling to remain weaker ag</w:t>
      </w:r>
      <w:r w:rsidR="00212150">
        <w:t xml:space="preserve">ainst the </w:t>
      </w:r>
      <w:r w:rsidR="00482ABE">
        <w:t>dollar</w:t>
      </w:r>
      <w:r w:rsidR="00212150">
        <w:t xml:space="preserve">, with </w:t>
      </w:r>
      <w:r w:rsidR="00482ABE" w:rsidRPr="00566C61">
        <w:t xml:space="preserve">the </w:t>
      </w:r>
      <w:hyperlink r:id="rId10" w:history="1">
        <w:r w:rsidR="00482ABE" w:rsidRPr="00566C61">
          <w:rPr>
            <w:rStyle w:val="Hyperlink"/>
          </w:rPr>
          <w:t>Federal Reserve likely to loosen policy more gradually</w:t>
        </w:r>
      </w:hyperlink>
      <w:r w:rsidR="00212150">
        <w:rPr>
          <w:rStyle w:val="Hyperlink"/>
        </w:rPr>
        <w:t xml:space="preserve"> than we previously thought</w:t>
      </w:r>
      <w:r w:rsidR="00482ABE">
        <w:t>. Overall, we now expect CPI inflation to average 3.2% this year, up from 3% last month.</w:t>
      </w:r>
    </w:p>
    <w:p w14:paraId="1ACA921C" w14:textId="77777777" w:rsidR="00482ABE" w:rsidRDefault="00482ABE" w:rsidP="00492949">
      <w:pPr>
        <w:pStyle w:val="ExhibitTitle"/>
        <w:jc w:val="center"/>
      </w:pPr>
      <w:r>
        <w:t xml:space="preserve">Chart </w:t>
      </w:r>
      <w:r>
        <w:fldChar w:fldCharType="begin"/>
      </w:r>
      <w:r>
        <w:instrText>SEQ CHART</w:instrText>
      </w:r>
      <w:r>
        <w:fldChar w:fldCharType="separate"/>
      </w:r>
      <w:r>
        <w:rPr>
          <w:noProof/>
        </w:rPr>
        <w:t>1</w:t>
      </w:r>
      <w:r>
        <w:fldChar w:fldCharType="end"/>
      </w:r>
      <w:r>
        <w:t>: Higher water bills and weaker sterling have raised our 2025 inflation forecast to 3.2%</w:t>
      </w:r>
    </w:p>
    <w:p w14:paraId="6853FA23" w14:textId="77777777" w:rsidR="00482ABE" w:rsidRDefault="00482ABE" w:rsidP="00492949">
      <w:pPr>
        <w:spacing w:after="0"/>
        <w:jc w:val="center"/>
        <w:rPr>
          <w:noProof/>
        </w:rPr>
      </w:pPr>
      <w:r>
        <w:rPr>
          <w:noProof/>
        </w:rPr>
        <w:drawing>
          <wp:inline distT="0" distB="0" distL="0" distR="0" wp14:anchorId="11052CE8" wp14:editId="037209F3">
            <wp:extent cx="4006964" cy="3162836"/>
            <wp:effectExtent l="0" t="0" r="0" b="0"/>
            <wp:docPr id="8235775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77503" name=""/>
                    <pic:cNvPicPr/>
                  </pic:nvPicPr>
                  <pic:blipFill>
                    <a:blip r:embed="rId11">
                      <a:extLst>
                        <a:ext uri="{96DAC541-7B7A-43D3-8B79-37D633B846F1}">
                          <asvg:svgBlip xmlns:asvg="http://schemas.microsoft.com/office/drawing/2016/SVG/main" r:embed="rId12"/>
                        </a:ext>
                      </a:extLst>
                    </a:blip>
                    <a:srcRect b="1258"/>
                    <a:stretch>
                      <a:fillRect/>
                    </a:stretch>
                  </pic:blipFill>
                  <pic:spPr>
                    <a:xfrm>
                      <a:off x="0" y="0"/>
                      <a:ext cx="4006964" cy="3162836"/>
                    </a:xfrm>
                    <a:prstGeom prst="rect">
                      <a:avLst/>
                    </a:prstGeom>
                  </pic:spPr>
                </pic:pic>
              </a:graphicData>
            </a:graphic>
          </wp:inline>
        </w:drawing>
      </w:r>
    </w:p>
    <w:p w14:paraId="78AFF2DE" w14:textId="77777777" w:rsidR="00482ABE" w:rsidRDefault="00482ABE" w:rsidP="00492949">
      <w:pPr>
        <w:pStyle w:val="ExhibitSource"/>
        <w:jc w:val="center"/>
      </w:pPr>
      <w:r>
        <w:t>Source: Oxford Economics, Haver Analytics</w:t>
      </w:r>
    </w:p>
    <w:p w14:paraId="325A1F41" w14:textId="77777777" w:rsidR="00CF3431" w:rsidRPr="00CF3431" w:rsidRDefault="00CF3431" w:rsidP="000A6D9D"/>
    <w:sectPr w:rsidR="00CF3431" w:rsidRPr="00CF3431" w:rsidSect="00566C61">
      <w:headerReference w:type="even" r:id="rId13"/>
      <w:headerReference w:type="default" r:id="rId14"/>
      <w:footerReference w:type="even"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23ACC" w14:textId="77777777" w:rsidR="00562E47" w:rsidRDefault="00562E47" w:rsidP="00D257EE">
      <w:pPr>
        <w:spacing w:before="0" w:after="0"/>
      </w:pPr>
      <w:r>
        <w:separator/>
      </w:r>
    </w:p>
  </w:endnote>
  <w:endnote w:type="continuationSeparator" w:id="0">
    <w:p w14:paraId="758D99C6" w14:textId="77777777" w:rsidR="00562E47" w:rsidRDefault="00562E47" w:rsidP="00D257EE">
      <w:pPr>
        <w:spacing w:before="0" w:after="0"/>
      </w:pPr>
      <w:r>
        <w:continuationSeparator/>
      </w:r>
    </w:p>
  </w:endnote>
  <w:endnote w:type="continuationNotice" w:id="1">
    <w:p w14:paraId="48965134" w14:textId="77777777" w:rsidR="00562E47" w:rsidRDefault="00562E4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02DA" w14:textId="77777777" w:rsidR="008954AA" w:rsidRDefault="00895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5987" w14:textId="77777777" w:rsidR="008954AA" w:rsidRDefault="008954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88086" w14:textId="6BB6F11D" w:rsidR="00D257EE" w:rsidRDefault="00D257EE" w:rsidP="00D257EE">
    <w:pPr>
      <w:pStyle w:val="Author"/>
    </w:pPr>
    <w:r>
      <w:t>Edward Allenby</w:t>
    </w:r>
    <w:r w:rsidR="000A6D9D">
      <w:t xml:space="preserve"> - </w:t>
    </w:r>
    <w:r>
      <w:t>UK Economist</w:t>
    </w:r>
    <w:r w:rsidR="000A6D9D">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CEFBA" w14:textId="77777777" w:rsidR="00562E47" w:rsidRDefault="00562E47" w:rsidP="00D257EE">
      <w:pPr>
        <w:spacing w:before="0" w:after="0"/>
      </w:pPr>
      <w:r>
        <w:separator/>
      </w:r>
    </w:p>
  </w:footnote>
  <w:footnote w:type="continuationSeparator" w:id="0">
    <w:p w14:paraId="2AB0783F" w14:textId="77777777" w:rsidR="00562E47" w:rsidRDefault="00562E47" w:rsidP="00D257EE">
      <w:pPr>
        <w:spacing w:before="0" w:after="0"/>
      </w:pPr>
      <w:r>
        <w:continuationSeparator/>
      </w:r>
    </w:p>
  </w:footnote>
  <w:footnote w:type="continuationNotice" w:id="1">
    <w:p w14:paraId="13D188DC" w14:textId="77777777" w:rsidR="00562E47" w:rsidRDefault="00562E4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AC8A" w14:textId="77777777" w:rsidR="00D257EE" w:rsidRDefault="00D257EE">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83C20" w14:textId="77777777" w:rsidR="00D257EE" w:rsidRDefault="00D257EE">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B6A70" w14:textId="5F22FC4D" w:rsidR="00D257EE" w:rsidRDefault="00D257EE" w:rsidP="00D257EE">
    <w:r w:rsidRPr="00D257EE">
      <w:rPr>
        <w:noProof/>
      </w:rPr>
      <w:drawing>
        <wp:anchor distT="0" distB="0" distL="114300" distR="114300" simplePos="0" relativeHeight="251659264" behindDoc="1" locked="1" layoutInCell="1" allowOverlap="1" wp14:anchorId="5C35FAF9" wp14:editId="13B8D006">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639392815"/>
      <w:lock w:val="sdtLocked"/>
      <w:placeholder>
        <w:docPart w:val="DefaultPlaceholder_-1854013437"/>
      </w:placeholder>
      <w:date w:fullDate="2025-02-19T00:00:00Z">
        <w:dateFormat w:val="d MMMM yyyy"/>
        <w:lid w:val="en-GB"/>
        <w:storeMappedDataAs w:val="dateTime"/>
        <w:calendar w:val="gregorian"/>
      </w:date>
    </w:sdtPr>
    <w:sdtEndPr/>
    <w:sdtContent>
      <w:p w14:paraId="123E3AC8" w14:textId="2B2213C7" w:rsidR="00D257EE" w:rsidRDefault="00D257EE" w:rsidP="00D257EE">
        <w:pPr>
          <w:pStyle w:val="PublishDate"/>
          <w:framePr w:w="2835" w:h="340" w:hRule="exact" w:hSpace="180" w:wrap="around" w:vAnchor="page" w:hAnchor="page" w:x="7801" w:y="601" w:anchorLock="1"/>
        </w:pPr>
        <w:r>
          <w:t>19 February 2025</w:t>
        </w:r>
      </w:p>
    </w:sdtContent>
  </w:sdt>
  <w:p w14:paraId="021EAE50" w14:textId="546FB532" w:rsidR="00D257EE" w:rsidRDefault="00D257EE" w:rsidP="00D257EE">
    <w:pPr>
      <w:pStyle w:val="ProductDescription"/>
      <w:framePr w:w="11339" w:h="1474" w:hRule="exact" w:hSpace="180" w:wrap="around" w:vAnchor="page" w:hAnchor="page" w:x="401" w:y="1141" w:anchorLock="1"/>
      <w:spacing w:after="200"/>
    </w:pPr>
    <w:r>
      <w:t>Monthly inflation forecast | UK</w:t>
    </w:r>
  </w:p>
  <w:p w14:paraId="5C17E9DF" w14:textId="23E0782C" w:rsidR="00D257EE" w:rsidRDefault="00C75386" w:rsidP="00D257EE">
    <w:pPr>
      <w:pStyle w:val="Headline"/>
      <w:framePr w:w="11339" w:h="1474" w:hRule="exact" w:hSpace="180" w:wrap="around" w:vAnchor="page" w:hAnchor="page" w:x="401" w:y="1141" w:anchorLock="1"/>
      <w:spacing w:line="200" w:lineRule="auto"/>
    </w:pPr>
    <w:r>
      <w:t>Water bills and strong dollar push up 2025 inflation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EE"/>
    <w:rsid w:val="00071852"/>
    <w:rsid w:val="000A6174"/>
    <w:rsid w:val="000A6D9D"/>
    <w:rsid w:val="00164758"/>
    <w:rsid w:val="001714F9"/>
    <w:rsid w:val="001D6FD7"/>
    <w:rsid w:val="001E3A65"/>
    <w:rsid w:val="00203EA9"/>
    <w:rsid w:val="00212150"/>
    <w:rsid w:val="00235C14"/>
    <w:rsid w:val="002652C2"/>
    <w:rsid w:val="002E6BE5"/>
    <w:rsid w:val="00345722"/>
    <w:rsid w:val="00371DCE"/>
    <w:rsid w:val="00373C0C"/>
    <w:rsid w:val="00437D77"/>
    <w:rsid w:val="00482ABE"/>
    <w:rsid w:val="005224D0"/>
    <w:rsid w:val="00530BDD"/>
    <w:rsid w:val="00543B6D"/>
    <w:rsid w:val="00562E47"/>
    <w:rsid w:val="00566C61"/>
    <w:rsid w:val="005B3377"/>
    <w:rsid w:val="00612028"/>
    <w:rsid w:val="00673B00"/>
    <w:rsid w:val="00676B9B"/>
    <w:rsid w:val="007E0FC5"/>
    <w:rsid w:val="00801542"/>
    <w:rsid w:val="008559C9"/>
    <w:rsid w:val="00876796"/>
    <w:rsid w:val="008954AA"/>
    <w:rsid w:val="008A71F6"/>
    <w:rsid w:val="008A7345"/>
    <w:rsid w:val="008E39AB"/>
    <w:rsid w:val="00945F2F"/>
    <w:rsid w:val="00A706F8"/>
    <w:rsid w:val="00A7715E"/>
    <w:rsid w:val="00A77C39"/>
    <w:rsid w:val="00AA2717"/>
    <w:rsid w:val="00B877AC"/>
    <w:rsid w:val="00C02251"/>
    <w:rsid w:val="00C75386"/>
    <w:rsid w:val="00C94E22"/>
    <w:rsid w:val="00CB79D3"/>
    <w:rsid w:val="00CF3431"/>
    <w:rsid w:val="00D06257"/>
    <w:rsid w:val="00D257EE"/>
    <w:rsid w:val="00D66B69"/>
    <w:rsid w:val="00E85768"/>
    <w:rsid w:val="00EE46D3"/>
    <w:rsid w:val="00F013C4"/>
    <w:rsid w:val="00F136D9"/>
    <w:rsid w:val="00F41653"/>
    <w:rsid w:val="00F555A7"/>
    <w:rsid w:val="00F779D8"/>
    <w:rsid w:val="00FA512F"/>
    <w:rsid w:val="00FE5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4CE37"/>
  <w15:chartTrackingRefBased/>
  <w15:docId w15:val="{DFE422FD-ED73-4104-A8C3-1C345E8E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7EE"/>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D257E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257EE"/>
    <w:pPr>
      <w:outlineLvl w:val="1"/>
    </w:pPr>
    <w:rPr>
      <w:sz w:val="28"/>
    </w:rPr>
  </w:style>
  <w:style w:type="paragraph" w:styleId="Heading3">
    <w:name w:val="heading 3"/>
    <w:basedOn w:val="Normal"/>
    <w:next w:val="Normal"/>
    <w:link w:val="Heading3Char"/>
    <w:uiPriority w:val="9"/>
    <w:unhideWhenUsed/>
    <w:qFormat/>
    <w:rsid w:val="00D257E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257E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257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D257E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D257E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D257E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257E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EE"/>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D257EE"/>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D257EE"/>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D257EE"/>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D257EE"/>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D257EE"/>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D257EE"/>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D257EE"/>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D257EE"/>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D257E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257EE"/>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D257EE"/>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D257EE"/>
    <w:pPr>
      <w:tabs>
        <w:tab w:val="center" w:pos="4320"/>
        <w:tab w:val="right" w:pos="8640"/>
      </w:tabs>
    </w:pPr>
  </w:style>
  <w:style w:type="character" w:customStyle="1" w:styleId="HeaderChar">
    <w:name w:val="Header Char"/>
    <w:basedOn w:val="DefaultParagraphFont"/>
    <w:link w:val="Header"/>
    <w:uiPriority w:val="99"/>
    <w:rsid w:val="00D257EE"/>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D257EE"/>
    <w:pPr>
      <w:tabs>
        <w:tab w:val="center" w:pos="4320"/>
        <w:tab w:val="right" w:pos="8640"/>
      </w:tabs>
    </w:pPr>
  </w:style>
  <w:style w:type="character" w:customStyle="1" w:styleId="FooterChar">
    <w:name w:val="Footer Char"/>
    <w:basedOn w:val="DefaultParagraphFont"/>
    <w:link w:val="Footer"/>
    <w:uiPriority w:val="99"/>
    <w:rsid w:val="00D257EE"/>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D257EE"/>
    <w:rPr>
      <w:noProof w:val="0"/>
    </w:rPr>
  </w:style>
  <w:style w:type="character" w:styleId="Hyperlink">
    <w:name w:val="Hyperlink"/>
    <w:basedOn w:val="DefaultParagraphFont"/>
    <w:uiPriority w:val="99"/>
    <w:unhideWhenUsed/>
    <w:rsid w:val="00D257EE"/>
    <w:rPr>
      <w:noProof w:val="0"/>
      <w:color w:val="467886" w:themeColor="hyperlink"/>
      <w:u w:val="single"/>
    </w:rPr>
  </w:style>
  <w:style w:type="paragraph" w:styleId="Revision">
    <w:name w:val="Revision"/>
    <w:hidden/>
    <w:uiPriority w:val="99"/>
    <w:semiHidden/>
    <w:rsid w:val="00D257EE"/>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D257EE"/>
    <w:pPr>
      <w:spacing w:after="120"/>
    </w:pPr>
    <w:rPr>
      <w:b/>
      <w:bCs/>
      <w:color w:val="FFFFFF"/>
      <w:sz w:val="32"/>
      <w:szCs w:val="32"/>
    </w:rPr>
  </w:style>
  <w:style w:type="paragraph" w:customStyle="1" w:styleId="Headline">
    <w:name w:val="Headline"/>
    <w:basedOn w:val="Normal"/>
    <w:next w:val="Normal"/>
    <w:link w:val="HeadlineChar"/>
    <w:qFormat/>
    <w:rsid w:val="00D257EE"/>
    <w:rPr>
      <w:rFonts w:ascii="Segoe UI Semilight" w:hAnsi="Segoe UI Semilight" w:cs="Segoe UI Semilight"/>
      <w:b/>
      <w:bCs/>
      <w:color w:val="FFFFFF"/>
      <w:sz w:val="40"/>
      <w:szCs w:val="40"/>
    </w:rPr>
  </w:style>
  <w:style w:type="paragraph" w:customStyle="1" w:styleId="ExhibitTitle">
    <w:name w:val="Exhibit Title"/>
    <w:basedOn w:val="Normal"/>
    <w:qFormat/>
    <w:rsid w:val="00D257E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257EE"/>
    <w:pPr>
      <w:shd w:val="clear" w:color="auto" w:fill="D6E2FA"/>
      <w:spacing w:after="0"/>
    </w:pPr>
    <w:rPr>
      <w:color w:val="595959" w:themeColor="text1" w:themeTint="A6"/>
      <w:sz w:val="18"/>
    </w:rPr>
  </w:style>
  <w:style w:type="paragraph" w:customStyle="1" w:styleId="ExhibitSource">
    <w:name w:val="Exhibit Source"/>
    <w:next w:val="Normal"/>
    <w:qFormat/>
    <w:rsid w:val="00D257E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D257EE"/>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D257EE"/>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D257EE"/>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D257EE"/>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D257EE"/>
    <w:rPr>
      <w:rFonts w:ascii="Segoe UI" w:hAnsi="Segoe UI" w:cs="Segoe UI"/>
      <w:noProof w:val="0"/>
      <w:color w:val="000000" w:themeColor="text1"/>
    </w:rPr>
  </w:style>
  <w:style w:type="paragraph" w:customStyle="1" w:styleId="Summary">
    <w:name w:val="Summary"/>
    <w:basedOn w:val="Normal"/>
    <w:link w:val="SummaryChar"/>
    <w:qFormat/>
    <w:rsid w:val="00D257EE"/>
    <w:pPr>
      <w:numPr>
        <w:numId w:val="1"/>
      </w:numPr>
      <w:ind w:left="1797" w:hanging="357"/>
    </w:pPr>
    <w:rPr>
      <w:kern w:val="2"/>
      <w:sz w:val="22"/>
      <w14:ligatures w14:val="standardContextual"/>
    </w:rPr>
  </w:style>
  <w:style w:type="paragraph" w:customStyle="1" w:styleId="TableData">
    <w:name w:val="Table Data"/>
    <w:link w:val="TableDataChar"/>
    <w:qFormat/>
    <w:rsid w:val="00D257EE"/>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D257EE"/>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D257EE"/>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D257EE"/>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D257EE"/>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D257EE"/>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D257EE"/>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D257EE"/>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D257EE"/>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D257EE"/>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D257EE"/>
    <w:rPr>
      <w:color w:val="003469"/>
    </w:rPr>
  </w:style>
  <w:style w:type="character" w:customStyle="1" w:styleId="RepeatingFooterChar">
    <w:name w:val="Repeating Footer Char"/>
    <w:basedOn w:val="FooterChar"/>
    <w:link w:val="RepeatingFooter"/>
    <w:rsid w:val="00D257EE"/>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D257EE"/>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D257EE"/>
    <w:rPr>
      <w:b/>
      <w:bCs/>
      <w:noProof w:val="0"/>
    </w:rPr>
  </w:style>
  <w:style w:type="character" w:customStyle="1" w:styleId="Italics">
    <w:name w:val="Italics"/>
    <w:uiPriority w:val="1"/>
    <w:qFormat/>
    <w:rsid w:val="00D257EE"/>
    <w:rPr>
      <w:i/>
      <w:iCs/>
      <w:noProof w:val="0"/>
    </w:rPr>
  </w:style>
  <w:style w:type="table" w:customStyle="1" w:styleId="TableGridHeader">
    <w:name w:val="Table Grid Header"/>
    <w:basedOn w:val="TableNormal"/>
    <w:uiPriority w:val="99"/>
    <w:rsid w:val="00D257EE"/>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gem.gov.uk/news/changes-energy-price-cap-between-1-january-and-31-march-202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y.oxfordeconomics.com/reports/903FCbC90a31440685986c" TargetMode="External"/><Relationship Id="rId12" Type="http://schemas.openxmlformats.org/officeDocument/2006/relationships/image" Target="media/image2.sv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my.oxfordeconomics.com/reportaction/44e56369a4E84517b86Ae7/To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y.oxfordeconomics.com/reports/8512Dd98595F43E480dB85"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E3F71DA6-D43F-4882-A876-8584A41BBEF4}"/>
      </w:docPartPr>
      <w:docPartBody>
        <w:p w:rsidR="000964B0" w:rsidRDefault="000964B0">
          <w:r w:rsidRPr="00DE6D4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B0"/>
    <w:rsid w:val="000964B0"/>
    <w:rsid w:val="00164758"/>
    <w:rsid w:val="00437D77"/>
    <w:rsid w:val="00562986"/>
    <w:rsid w:val="00B877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463</Words>
  <Characters>2299</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20</cp:revision>
  <dcterms:created xsi:type="dcterms:W3CDTF">2025-02-19T11:53:00Z</dcterms:created>
  <dcterms:modified xsi:type="dcterms:W3CDTF">2025-02-19T13:20:00Z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2025-02-19T13:15:39.000Z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v0.8.1.0</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Themes:inflation,forecast,energy prices</vt:lpwstr>
  </property>
  <property fmtid="{D5CDD505-2E9C-101B-9397-08002B2CF9AE}" pid="16" name="OEP_DATA_FILEPATH">
    <vt:lpwstr>Z:\UK Team\Inflation Model\20250219 UK IF.xlsx</vt:lpwstr>
  </property>
  <property fmtid="{D5CDD505-2E9C-101B-9397-08002B2CF9AE}" pid="17" name="OEP_PRODUCT_CODE">
    <vt:lpwstr>74474442080D452c9407Ac</vt:lpwstr>
  </property>
  <property fmtid="{D5CDD505-2E9C-101B-9397-08002B2CF9AE}" pid="18" name="OEP_PUBLISH_DATE">
    <vt:lpwstr/>
  </property>
</Properties>
</file>