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0AA9D8" w14:textId="4C1A50D0" w:rsidR="006D2F2C" w:rsidRDefault="00065C5D" w:rsidP="006D2F2C">
      <w:pPr>
        <w:pStyle w:val="Bullet"/>
      </w:pPr>
      <w:r>
        <w:t xml:space="preserve">We have </w:t>
      </w:r>
      <w:r w:rsidR="00505276">
        <w:t xml:space="preserve">cut </w:t>
      </w:r>
      <w:r>
        <w:t>our forecast for UK CPI inflation over the next couple of years</w:t>
      </w:r>
      <w:r w:rsidR="006D2F2C">
        <w:t>.</w:t>
      </w:r>
      <w:r>
        <w:t xml:space="preserve"> This </w:t>
      </w:r>
      <w:r w:rsidR="00607197">
        <w:t xml:space="preserve">largely </w:t>
      </w:r>
      <w:r>
        <w:t>reflects the financial market fallout from recent US tariff announcement</w:t>
      </w:r>
      <w:r w:rsidR="00505276">
        <w:t>s</w:t>
      </w:r>
      <w:r>
        <w:t xml:space="preserve">, with the dollar having weakened and </w:t>
      </w:r>
      <w:r w:rsidR="00607197">
        <w:t xml:space="preserve">key commodity </w:t>
      </w:r>
      <w:r>
        <w:t>prices falling back. We expect the bulk of these shifts to stick in the near-term, leading us to lower our projections for imported goods, petrol, and energy prices.</w:t>
      </w:r>
    </w:p>
    <w:p w14:paraId="43E88651" w14:textId="39CDC4A7" w:rsidR="006D2F2C" w:rsidRDefault="008E0766" w:rsidP="006D2F2C">
      <w:pPr>
        <w:pStyle w:val="Bullet"/>
      </w:pPr>
      <w:r>
        <w:t xml:space="preserve">March's fall in inflation was </w:t>
      </w:r>
      <w:r w:rsidR="00FE517F">
        <w:t>as</w:t>
      </w:r>
      <w:r>
        <w:t xml:space="preserve"> expected, with the services and fuel categories the </w:t>
      </w:r>
      <w:r w:rsidR="00FE517F">
        <w:t>main</w:t>
      </w:r>
      <w:r>
        <w:t xml:space="preserve"> drivers. We </w:t>
      </w:r>
      <w:r w:rsidR="00FE517F">
        <w:t>expect inflation to rise sharply from April, due to regulated price increases and firms passing on some of the rise in labour costs</w:t>
      </w:r>
      <w:r w:rsidR="00D64F63">
        <w:t>, then continue to edge up</w:t>
      </w:r>
      <w:r w:rsidR="00FE517F">
        <w:t xml:space="preserve">. But a decline in the contribution from the energy </w:t>
      </w:r>
      <w:r w:rsidR="00D64F63">
        <w:t xml:space="preserve">category </w:t>
      </w:r>
      <w:r w:rsidR="00FE517F">
        <w:t xml:space="preserve">should see </w:t>
      </w:r>
      <w:r w:rsidR="00AF0204">
        <w:t xml:space="preserve">headline </w:t>
      </w:r>
      <w:r w:rsidR="00FE517F">
        <w:t>inflation</w:t>
      </w:r>
      <w:r w:rsidR="00AF0204">
        <w:t xml:space="preserve"> start</w:t>
      </w:r>
      <w:r w:rsidR="00FE517F">
        <w:t xml:space="preserve"> </w:t>
      </w:r>
      <w:r w:rsidR="00AF0204">
        <w:t>to soften</w:t>
      </w:r>
      <w:r w:rsidR="00FE517F">
        <w:t xml:space="preserve"> from the autumn.</w:t>
      </w:r>
    </w:p>
    <w:p w14:paraId="7A3BD9C4" w14:textId="6C005961" w:rsidR="006D2F2C" w:rsidRDefault="00C1118C" w:rsidP="006D2F2C">
      <w:r>
        <w:t xml:space="preserve">CPI inflation fell to </w:t>
      </w:r>
      <w:r w:rsidR="00584B3C">
        <w:t>2.6</w:t>
      </w:r>
      <w:r>
        <w:t xml:space="preserve">% in March, from 2.8% in February, which was in line with </w:t>
      </w:r>
      <w:hyperlink r:id="rId7" w:history="1">
        <w:r w:rsidRPr="00584B3C">
          <w:rPr>
            <w:rStyle w:val="Hyperlink"/>
          </w:rPr>
          <w:t>our forecast</w:t>
        </w:r>
      </w:hyperlink>
      <w:r>
        <w:t>. March's lower headline rate partly reflected strong base effects from the services category. Meanwhile, the fuel category also weighed on headline inflation in March, following a 1.</w:t>
      </w:r>
      <w:r w:rsidR="00584B3C">
        <w:t>1</w:t>
      </w:r>
      <w:r>
        <w:t xml:space="preserve">% m/m drop in petrol prices between March and February, compared to a </w:t>
      </w:r>
      <w:r w:rsidR="00584B3C">
        <w:t>1</w:t>
      </w:r>
      <w:r>
        <w:t xml:space="preserve">.8% rise over the same period </w:t>
      </w:r>
      <w:r w:rsidR="006B5DBF">
        <w:t xml:space="preserve">last year. This downward pressure was mitigated by the unwinding of February's temporary weakness in the volatile clothing sub-category. RPI and RPIX inflation also fell by </w:t>
      </w:r>
      <w:r w:rsidR="00584B3C">
        <w:t>0.2</w:t>
      </w:r>
      <w:r w:rsidR="006B5DBF">
        <w:t xml:space="preserve">ppts to </w:t>
      </w:r>
      <w:r w:rsidR="00584B3C">
        <w:t>3.2</w:t>
      </w:r>
      <w:r w:rsidR="006B5DBF">
        <w:t xml:space="preserve">% and </w:t>
      </w:r>
      <w:r w:rsidR="00584B3C">
        <w:t>2.8</w:t>
      </w:r>
      <w:r w:rsidR="006B5DBF">
        <w:t>% respectively.</w:t>
      </w:r>
    </w:p>
    <w:p w14:paraId="786CFE19" w14:textId="7C3FA914" w:rsidR="006D2F2C" w:rsidRDefault="00932BB8" w:rsidP="006D2F2C">
      <w:r>
        <w:t xml:space="preserve">Despite falling in two consecutive releases, inflation will almost certainly rebound sharply from April. </w:t>
      </w:r>
      <w:r w:rsidR="00FF50B3">
        <w:t>This is due to large regulated price increases coming into play</w:t>
      </w:r>
      <w:r w:rsidR="007A0CA1">
        <w:t xml:space="preserve">, </w:t>
      </w:r>
      <w:r w:rsidR="00FF50B3">
        <w:t>while</w:t>
      </w:r>
      <w:r w:rsidR="00DF55FF">
        <w:t xml:space="preserve"> we also expect</w:t>
      </w:r>
      <w:r w:rsidR="00FF50B3">
        <w:t xml:space="preserve"> firms </w:t>
      </w:r>
      <w:r w:rsidR="007A0CA1">
        <w:t xml:space="preserve">will </w:t>
      </w:r>
      <w:r w:rsidR="00FF50B3">
        <w:t>pas</w:t>
      </w:r>
      <w:r w:rsidR="007A0CA1">
        <w:t>s</w:t>
      </w:r>
      <w:r w:rsidR="00FF50B3">
        <w:t xml:space="preserve"> on some of the rise in labour costs </w:t>
      </w:r>
      <w:r w:rsidR="00FF50B3" w:rsidRPr="00FF50B3">
        <w:t>caused by</w:t>
      </w:r>
      <w:r w:rsidR="00FF50B3">
        <w:t xml:space="preserve"> recent</w:t>
      </w:r>
      <w:r w:rsidR="00FF50B3" w:rsidRPr="00FF50B3">
        <w:t xml:space="preserve"> increases in employers' national insurance contributions and the national living wage.</w:t>
      </w:r>
      <w:r w:rsidR="007A0CA1" w:rsidRPr="007A0CA1">
        <w:t xml:space="preserve"> </w:t>
      </w:r>
      <w:r w:rsidR="007A0CA1">
        <w:t xml:space="preserve">We expect inflation to remain elevated throughout much of this year before cooling from the </w:t>
      </w:r>
      <w:r w:rsidR="00EF2040">
        <w:t>autumn</w:t>
      </w:r>
      <w:r w:rsidR="007A0CA1">
        <w:t>, as the positive contribution from the energy category starts to fall back again.</w:t>
      </w:r>
    </w:p>
    <w:p w14:paraId="749D87E2" w14:textId="5224D4EB" w:rsidR="006D2F2C" w:rsidRDefault="00B1273A" w:rsidP="006D2F2C">
      <w:r>
        <w:t xml:space="preserve">The financial market response to </w:t>
      </w:r>
      <w:r w:rsidR="001B3999">
        <w:t xml:space="preserve">recent </w:t>
      </w:r>
      <w:r>
        <w:t>US tariff announcements suggests inflation is likely to be slightly softer over the next couple of years than we previously expected. The dollar has weakened against sterling, which should weigh on the prices of imported goods. Meanwhile, oil and to a lesser extent European gas futures prices</w:t>
      </w:r>
      <w:r w:rsidR="00012A5F">
        <w:t>, have fallen. We expect the bulk of these shifts to hold</w:t>
      </w:r>
      <w:r w:rsidR="00216002">
        <w:t xml:space="preserve"> in the near-term, leading us to nudge down our CPI inflation forecast to </w:t>
      </w:r>
      <w:r w:rsidR="00D80C25">
        <w:t>3</w:t>
      </w:r>
      <w:r w:rsidR="00216002">
        <w:t>% in 2025 and 2.4% in 2026, from 3.</w:t>
      </w:r>
      <w:r w:rsidR="00D80C25">
        <w:t>1</w:t>
      </w:r>
      <w:r w:rsidR="00216002">
        <w:t>% and 2.</w:t>
      </w:r>
      <w:r w:rsidR="00D80C25">
        <w:t>7</w:t>
      </w:r>
      <w:r w:rsidR="00216002">
        <w:t>% last month.</w:t>
      </w:r>
      <w:r w:rsidR="00012A5F">
        <w:t xml:space="preserve"> </w:t>
      </w:r>
    </w:p>
    <w:p w14:paraId="2EB2E8A4" w14:textId="60E2F455" w:rsidR="006D2F2C" w:rsidRDefault="006D2F2C" w:rsidP="001B3999">
      <w:pPr>
        <w:pStyle w:val="ExhibitTitle"/>
        <w:jc w:val="center"/>
      </w:pPr>
      <w:r>
        <w:t xml:space="preserve">Chart </w:t>
      </w:r>
      <w:r>
        <w:fldChar w:fldCharType="begin"/>
      </w:r>
      <w:r w:rsidR="001B3999">
        <w:instrText>SEQ CHART</w:instrText>
      </w:r>
      <w:r>
        <w:fldChar w:fldCharType="separate"/>
      </w:r>
      <w:r w:rsidR="001B3999">
        <w:rPr>
          <w:noProof/>
        </w:rPr>
        <w:t>1</w:t>
      </w:r>
      <w:r>
        <w:fldChar w:fldCharType="end"/>
      </w:r>
      <w:r>
        <w:t xml:space="preserve">: </w:t>
      </w:r>
      <w:r w:rsidR="00012A5F">
        <w:t>A weaker dollar and lower commodity prices have pulled down our near-term inflation forecast</w:t>
      </w:r>
    </w:p>
    <w:p w14:paraId="58FC7D69" w14:textId="3D7BCCBC" w:rsidR="001B3999" w:rsidRDefault="001B3999" w:rsidP="001B3999">
      <w:pPr>
        <w:spacing w:after="0"/>
        <w:jc w:val="center"/>
        <w:rPr>
          <w:noProof/>
        </w:rPr>
      </w:pPr>
      <w:r>
        <w:rPr>
          <w:noProof/>
        </w:rPr>
        <w:drawing>
          <wp:inline distT="0" distB="0" distL="0" distR="0" wp14:anchorId="516A207D" wp14:editId="5BC8CBB2">
            <wp:extent cx="4006964" cy="3146389"/>
            <wp:effectExtent l="0" t="0" r="0" b="0"/>
            <wp:docPr id="17569820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8203" name=""/>
                    <pic:cNvPicPr/>
                  </pic:nvPicPr>
                  <pic:blipFill>
                    <a:blip r:embed="rId8">
                      <a:extLst>
                        <a:ext uri="{96DAC541-7B7A-43D3-8B79-37D633B846F1}">
                          <asvg:svgBlip xmlns:asvg="http://schemas.microsoft.com/office/drawing/2016/SVG/main" r:embed="rId9"/>
                        </a:ext>
                      </a:extLst>
                    </a:blip>
                    <a:srcRect b="1797"/>
                    <a:stretch>
                      <a:fillRect/>
                    </a:stretch>
                  </pic:blipFill>
                  <pic:spPr>
                    <a:xfrm>
                      <a:off x="0" y="0"/>
                      <a:ext cx="4006964" cy="3146389"/>
                    </a:xfrm>
                    <a:prstGeom prst="rect">
                      <a:avLst/>
                    </a:prstGeom>
                  </pic:spPr>
                </pic:pic>
              </a:graphicData>
            </a:graphic>
          </wp:inline>
        </w:drawing>
      </w:r>
    </w:p>
    <w:p w14:paraId="7663C195" w14:textId="6D6946DD" w:rsidR="00673B00" w:rsidRDefault="001B3999" w:rsidP="001B3999">
      <w:pPr>
        <w:pStyle w:val="ExhibitSource"/>
        <w:jc w:val="center"/>
      </w:pPr>
      <w:r>
        <w:t>Source: Oxford Economics, Haver Analytics</w:t>
      </w:r>
    </w:p>
    <w:p w14:paraId="2D29B356" w14:textId="77777777" w:rsidR="00E74051" w:rsidRPr="00E74051" w:rsidRDefault="00E74051" w:rsidP="00186C61"/>
    <w:sectPr w:rsidR="00E74051" w:rsidRPr="00E74051" w:rsidSect="006D2F2C">
      <w:headerReference w:type="even" r:id="rId10"/>
      <w:headerReference w:type="default" r:id="rId11"/>
      <w:footerReference w:type="even" r:id="rId12"/>
      <w:footerReference w:type="default" r:id="rId13"/>
      <w:headerReference w:type="first" r:id="rId14"/>
      <w:footerReference w:type="first" r:id="rId15"/>
      <w:pgSz w:w="11906" w:h="16838"/>
      <w:pgMar w:top="2665" w:right="1276" w:bottom="838" w:left="1134" w:header="708" w:footer="30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5B1502" w14:textId="77777777" w:rsidR="00377C4B" w:rsidRDefault="00377C4B" w:rsidP="006D2F2C">
      <w:pPr>
        <w:spacing w:before="0" w:after="0"/>
      </w:pPr>
      <w:r>
        <w:separator/>
      </w:r>
    </w:p>
  </w:endnote>
  <w:endnote w:type="continuationSeparator" w:id="0">
    <w:p w14:paraId="3FC5EC0A" w14:textId="77777777" w:rsidR="00377C4B" w:rsidRDefault="00377C4B" w:rsidP="006D2F2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1C6BA" w14:textId="77777777" w:rsidR="00CE0CA8" w:rsidRDefault="00CE0C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0F769" w14:textId="77777777" w:rsidR="00CE0CA8" w:rsidRDefault="00CE0CA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73F69" w14:textId="30B6A718" w:rsidR="006D2F2C" w:rsidRDefault="006D2F2C" w:rsidP="006D2F2C">
    <w:pPr>
      <w:pStyle w:val="Author"/>
    </w:pPr>
    <w:r>
      <w:t>Edward Allenby</w:t>
    </w:r>
    <w:r w:rsidR="00186C61">
      <w:t xml:space="preserve"> - </w:t>
    </w:r>
    <w:r>
      <w:t>UK Economist</w:t>
    </w:r>
    <w:r w:rsidR="00186C61">
      <w:t xml:space="preserve"> - </w:t>
    </w:r>
    <w:r>
      <w:t>eallenby@oxfordeconomics.com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849D96" w14:textId="77777777" w:rsidR="00377C4B" w:rsidRDefault="00377C4B" w:rsidP="006D2F2C">
      <w:pPr>
        <w:spacing w:before="0" w:after="0"/>
      </w:pPr>
      <w:r>
        <w:separator/>
      </w:r>
    </w:p>
  </w:footnote>
  <w:footnote w:type="continuationSeparator" w:id="0">
    <w:p w14:paraId="3497ECC3" w14:textId="77777777" w:rsidR="00377C4B" w:rsidRDefault="00377C4B" w:rsidP="006D2F2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BBA2B" w14:textId="77777777" w:rsidR="006D2F2C" w:rsidRDefault="006D2F2C">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6B828" w14:textId="77777777" w:rsidR="006D2F2C" w:rsidRDefault="006D2F2C">
    <w:pPr>
      <w:spacing w:before="0"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7E044" w14:textId="652C34E3" w:rsidR="006D2F2C" w:rsidRDefault="006D2F2C" w:rsidP="006D2F2C">
    <w:r w:rsidRPr="006D2F2C">
      <w:rPr>
        <w:noProof/>
      </w:rPr>
      <w:drawing>
        <wp:anchor distT="0" distB="0" distL="114300" distR="114300" simplePos="0" relativeHeight="251659264" behindDoc="1" locked="1" layoutInCell="1" allowOverlap="1" wp14:anchorId="6BF5D8A1" wp14:editId="6E78F452">
          <wp:simplePos x="0" y="0"/>
          <wp:positionH relativeFrom="page">
            <wp:posOffset>0</wp:posOffset>
          </wp:positionH>
          <wp:positionV relativeFrom="page">
            <wp:posOffset>190500</wp:posOffset>
          </wp:positionV>
          <wp:extent cx="7569200" cy="1503667"/>
          <wp:effectExtent l="0" t="0" r="0" b="1905"/>
          <wp:wrapNone/>
          <wp:docPr id="15" name="Picture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1885832110"/>
      <w:lock w:val="sdtLocked"/>
      <w:placeholder>
        <w:docPart w:val="DefaultPlaceholder_-1854013437"/>
      </w:placeholder>
      <w:date w:fullDate="2025-04-16T00:00:00Z">
        <w:dateFormat w:val="d MMMM yyyy"/>
        <w:lid w:val="en-GB"/>
        <w:storeMappedDataAs w:val="dateTime"/>
        <w:calendar w:val="gregorian"/>
      </w:date>
    </w:sdtPr>
    <w:sdtEndPr/>
    <w:sdtContent>
      <w:p w14:paraId="4A0ED28A" w14:textId="54B761CD" w:rsidR="006D2F2C" w:rsidRPr="006D2F2C" w:rsidRDefault="006D2F2C" w:rsidP="006D2F2C">
        <w:pPr>
          <w:pStyle w:val="PublishDate"/>
          <w:framePr w:w="2835" w:h="340" w:hRule="exact" w:hSpace="180" w:wrap="around" w:vAnchor="page" w:hAnchor="page" w:x="7801" w:y="601" w:anchorLock="1"/>
        </w:pPr>
        <w:r>
          <w:t>16 April 2025</w:t>
        </w:r>
      </w:p>
    </w:sdtContent>
  </w:sdt>
  <w:p w14:paraId="56BAA1E2" w14:textId="79BEB5DB" w:rsidR="006D2F2C" w:rsidRDefault="006D2F2C" w:rsidP="006D2F2C">
    <w:pPr>
      <w:pStyle w:val="ProductDescription"/>
      <w:framePr w:w="11339" w:h="1474" w:hRule="exact" w:hSpace="180" w:wrap="around" w:vAnchor="page" w:hAnchor="page" w:x="401" w:y="1141" w:anchorLock="1"/>
      <w:spacing w:after="200"/>
    </w:pPr>
    <w:r>
      <w:t>Monthly inflation forecast | UK</w:t>
    </w:r>
  </w:p>
  <w:p w14:paraId="351FAEBE" w14:textId="7E0771AC" w:rsidR="006D2F2C" w:rsidRDefault="00EC6AFD" w:rsidP="006D2F2C">
    <w:pPr>
      <w:pStyle w:val="Headline"/>
      <w:framePr w:w="11339" w:h="1474" w:hRule="exact" w:hSpace="180" w:wrap="around" w:vAnchor="page" w:hAnchor="page" w:x="401" w:y="1141" w:anchorLock="1"/>
      <w:spacing w:line="200" w:lineRule="auto"/>
    </w:pPr>
    <w:r>
      <w:t>Lower dollar and commodity prices weigh on inflation forecast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EAAA1E9E"/>
    <w:lvl w:ilvl="0" w:tplc="F766AABE">
      <w:start w:val="1"/>
      <w:numFmt w:val="bullet"/>
      <w:lvlText w:val=""/>
      <w:lvlJc w:val="left"/>
      <w:pPr>
        <w:ind w:left="360" w:hanging="360"/>
      </w:pPr>
      <w:rPr>
        <w:rFonts w:ascii="Wingdings" w:hAnsi="Wingdings" w:hint="default"/>
        <w:color w:val="D86DCB"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38D3E6D"/>
    <w:multiLevelType w:val="hybridMultilevel"/>
    <w:tmpl w:val="9370A748"/>
    <w:lvl w:ilvl="0" w:tplc="5528530E">
      <w:start w:val="1"/>
      <w:numFmt w:val="bullet"/>
      <w:pStyle w:val="Bullet"/>
      <w:lvlText w:val=""/>
      <w:lvlJc w:val="left"/>
      <w:pPr>
        <w:ind w:left="360" w:hanging="360"/>
      </w:pPr>
      <w:rPr>
        <w:rFonts w:ascii="Wingdings" w:hAnsi="Wingdings" w:hint="default"/>
        <w:color w:val="92CDDC"/>
        <w:sz w:val="20"/>
        <w:u w:val="no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3"/>
  </w:num>
  <w:num w:numId="2" w16cid:durableId="2074311132">
    <w:abstractNumId w:val="1"/>
  </w:num>
  <w:num w:numId="3" w16cid:durableId="1590693657">
    <w:abstractNumId w:val="4"/>
  </w:num>
  <w:num w:numId="4" w16cid:durableId="1590037850">
    <w:abstractNumId w:val="0"/>
  </w:num>
  <w:num w:numId="5" w16cid:durableId="5543199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F2C"/>
    <w:rsid w:val="00012A5F"/>
    <w:rsid w:val="00013E5C"/>
    <w:rsid w:val="000547F0"/>
    <w:rsid w:val="00065C5D"/>
    <w:rsid w:val="00146C25"/>
    <w:rsid w:val="00186C61"/>
    <w:rsid w:val="001B3999"/>
    <w:rsid w:val="001D6F3A"/>
    <w:rsid w:val="00216002"/>
    <w:rsid w:val="00230D52"/>
    <w:rsid w:val="00233BD5"/>
    <w:rsid w:val="00235C14"/>
    <w:rsid w:val="002E29CF"/>
    <w:rsid w:val="002E6BE5"/>
    <w:rsid w:val="00377C4B"/>
    <w:rsid w:val="00505276"/>
    <w:rsid w:val="00584B3C"/>
    <w:rsid w:val="00607197"/>
    <w:rsid w:val="0062475C"/>
    <w:rsid w:val="00634328"/>
    <w:rsid w:val="00673B00"/>
    <w:rsid w:val="00676B9B"/>
    <w:rsid w:val="006B5DBF"/>
    <w:rsid w:val="006D2F2C"/>
    <w:rsid w:val="00733E21"/>
    <w:rsid w:val="00740362"/>
    <w:rsid w:val="00782716"/>
    <w:rsid w:val="007A0CA1"/>
    <w:rsid w:val="007E3DD6"/>
    <w:rsid w:val="00851EFA"/>
    <w:rsid w:val="008A0BB1"/>
    <w:rsid w:val="008E0766"/>
    <w:rsid w:val="00932BB8"/>
    <w:rsid w:val="009A2EBF"/>
    <w:rsid w:val="00AF0204"/>
    <w:rsid w:val="00B1273A"/>
    <w:rsid w:val="00BA3601"/>
    <w:rsid w:val="00C1118C"/>
    <w:rsid w:val="00C60917"/>
    <w:rsid w:val="00CC09ED"/>
    <w:rsid w:val="00CE0CA8"/>
    <w:rsid w:val="00CF3EC9"/>
    <w:rsid w:val="00D05ECC"/>
    <w:rsid w:val="00D07416"/>
    <w:rsid w:val="00D64F63"/>
    <w:rsid w:val="00D80C25"/>
    <w:rsid w:val="00DF55FF"/>
    <w:rsid w:val="00E70F26"/>
    <w:rsid w:val="00E74051"/>
    <w:rsid w:val="00EB0874"/>
    <w:rsid w:val="00EC6AFD"/>
    <w:rsid w:val="00EF2040"/>
    <w:rsid w:val="00F1194C"/>
    <w:rsid w:val="00FE517F"/>
    <w:rsid w:val="00FF12FF"/>
    <w:rsid w:val="00FF50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530149"/>
  <w15:chartTrackingRefBased/>
  <w15:docId w15:val="{9A940D61-03B7-47FD-BD4E-9DC4C6C63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F2C"/>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6D2F2C"/>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6D2F2C"/>
    <w:pPr>
      <w:outlineLvl w:val="1"/>
    </w:pPr>
    <w:rPr>
      <w:sz w:val="28"/>
    </w:rPr>
  </w:style>
  <w:style w:type="paragraph" w:styleId="Heading3">
    <w:name w:val="heading 3"/>
    <w:basedOn w:val="Normal"/>
    <w:next w:val="Normal"/>
    <w:link w:val="Heading3Char"/>
    <w:uiPriority w:val="9"/>
    <w:unhideWhenUsed/>
    <w:qFormat/>
    <w:rsid w:val="006D2F2C"/>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6D2F2C"/>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6D2F2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locked/>
    <w:rsid w:val="006D2F2C"/>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locked/>
    <w:rsid w:val="006D2F2C"/>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locked/>
    <w:rsid w:val="006D2F2C"/>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6D2F2C"/>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F2C"/>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6D2F2C"/>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6D2F2C"/>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6D2F2C"/>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6D2F2C"/>
    <w:rPr>
      <w:rFonts w:asciiTheme="majorHAnsi" w:eastAsiaTheme="majorEastAsia" w:hAnsiTheme="majorHAnsi" w:cstheme="majorBidi"/>
      <w:noProof w:val="0"/>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6D2F2C"/>
    <w:rPr>
      <w:rFonts w:asciiTheme="majorHAnsi" w:eastAsiaTheme="majorEastAsia" w:hAnsiTheme="majorHAnsi" w:cstheme="majorBidi"/>
      <w:noProof w:val="0"/>
      <w:color w:val="0A2F40" w:themeColor="accent1" w:themeShade="7F"/>
      <w:kern w:val="0"/>
      <w:sz w:val="20"/>
      <w14:ligatures w14:val="none"/>
    </w:rPr>
  </w:style>
  <w:style w:type="character" w:customStyle="1" w:styleId="Heading7Char">
    <w:name w:val="Heading 7 Char"/>
    <w:basedOn w:val="DefaultParagraphFont"/>
    <w:link w:val="Heading7"/>
    <w:uiPriority w:val="9"/>
    <w:semiHidden/>
    <w:rsid w:val="006D2F2C"/>
    <w:rPr>
      <w:rFonts w:asciiTheme="majorHAnsi" w:eastAsiaTheme="majorEastAsia" w:hAnsiTheme="majorHAnsi" w:cstheme="majorBidi"/>
      <w:i/>
      <w:iCs/>
      <w:noProof w:val="0"/>
      <w:color w:val="0A2F40" w:themeColor="accent1" w:themeShade="7F"/>
      <w:kern w:val="0"/>
      <w:sz w:val="20"/>
      <w14:ligatures w14:val="none"/>
    </w:rPr>
  </w:style>
  <w:style w:type="character" w:customStyle="1" w:styleId="Heading8Char">
    <w:name w:val="Heading 8 Char"/>
    <w:basedOn w:val="DefaultParagraphFont"/>
    <w:link w:val="Heading8"/>
    <w:uiPriority w:val="9"/>
    <w:semiHidden/>
    <w:rsid w:val="006D2F2C"/>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6D2F2C"/>
    <w:rPr>
      <w:rFonts w:asciiTheme="majorHAnsi" w:eastAsiaTheme="majorEastAsia" w:hAnsiTheme="majorHAnsi" w:cstheme="majorBidi"/>
      <w:i/>
      <w:iCs/>
      <w:noProof w:val="0"/>
      <w:color w:val="272727" w:themeColor="text1" w:themeTint="D8"/>
      <w:kern w:val="0"/>
      <w:sz w:val="21"/>
      <w:szCs w:val="21"/>
      <w14:ligatures w14:val="none"/>
    </w:rPr>
  </w:style>
  <w:style w:type="paragraph" w:styleId="Quote">
    <w:name w:val="Quote"/>
    <w:basedOn w:val="Normal"/>
    <w:next w:val="Normal"/>
    <w:link w:val="QuoteChar"/>
    <w:uiPriority w:val="29"/>
    <w:qFormat/>
    <w:rsid w:val="006D2F2C"/>
    <w:pPr>
      <w:ind w:left="862" w:right="862"/>
      <w:jc w:val="center"/>
    </w:pPr>
    <w:rPr>
      <w:i/>
      <w:iCs/>
      <w:color w:val="404040" w:themeColor="text1" w:themeTint="BF"/>
    </w:rPr>
  </w:style>
  <w:style w:type="character" w:customStyle="1" w:styleId="QuoteChar">
    <w:name w:val="Quote Char"/>
    <w:basedOn w:val="DefaultParagraphFont"/>
    <w:link w:val="Quote"/>
    <w:uiPriority w:val="29"/>
    <w:rsid w:val="006D2F2C"/>
    <w:rPr>
      <w:rFonts w:ascii="Segoe UI" w:hAnsi="Segoe UI" w:cs="Segoe UI"/>
      <w:i/>
      <w:iCs/>
      <w:noProof w:val="0"/>
      <w:color w:val="404040" w:themeColor="text1" w:themeTint="BF"/>
      <w:kern w:val="0"/>
      <w:sz w:val="20"/>
      <w14:ligatures w14:val="none"/>
    </w:rPr>
  </w:style>
  <w:style w:type="paragraph" w:styleId="ListParagraph">
    <w:name w:val="List Paragraph"/>
    <w:next w:val="Normal"/>
    <w:link w:val="ListParagraphChar"/>
    <w:uiPriority w:val="34"/>
    <w:locked/>
    <w:rsid w:val="006D2F2C"/>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Header">
    <w:name w:val="header"/>
    <w:basedOn w:val="Normal"/>
    <w:link w:val="HeaderChar"/>
    <w:uiPriority w:val="99"/>
    <w:unhideWhenUsed/>
    <w:locked/>
    <w:rsid w:val="006D2F2C"/>
    <w:pPr>
      <w:tabs>
        <w:tab w:val="center" w:pos="4320"/>
        <w:tab w:val="right" w:pos="8640"/>
      </w:tabs>
    </w:pPr>
  </w:style>
  <w:style w:type="character" w:customStyle="1" w:styleId="HeaderChar">
    <w:name w:val="Header Char"/>
    <w:basedOn w:val="DefaultParagraphFont"/>
    <w:link w:val="Header"/>
    <w:uiPriority w:val="99"/>
    <w:rsid w:val="006D2F2C"/>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6D2F2C"/>
    <w:pPr>
      <w:tabs>
        <w:tab w:val="center" w:pos="4320"/>
        <w:tab w:val="right" w:pos="8640"/>
      </w:tabs>
    </w:pPr>
  </w:style>
  <w:style w:type="character" w:customStyle="1" w:styleId="FooterChar">
    <w:name w:val="Footer Char"/>
    <w:basedOn w:val="DefaultParagraphFont"/>
    <w:link w:val="Footer"/>
    <w:uiPriority w:val="99"/>
    <w:rsid w:val="006D2F2C"/>
    <w:rPr>
      <w:rFonts w:ascii="Segoe UI" w:hAnsi="Segoe UI" w:cs="Segoe UI"/>
      <w:noProof w:val="0"/>
      <w:color w:val="000000" w:themeColor="text1"/>
      <w:kern w:val="0"/>
      <w:sz w:val="20"/>
      <w14:ligatures w14:val="none"/>
    </w:rPr>
  </w:style>
  <w:style w:type="character" w:styleId="PageNumber">
    <w:name w:val="page number"/>
    <w:basedOn w:val="DefaultParagraphFont"/>
    <w:uiPriority w:val="99"/>
    <w:unhideWhenUsed/>
    <w:locked/>
    <w:rsid w:val="006D2F2C"/>
    <w:rPr>
      <w:noProof w:val="0"/>
    </w:rPr>
  </w:style>
  <w:style w:type="character" w:styleId="Hyperlink">
    <w:name w:val="Hyperlink"/>
    <w:basedOn w:val="DefaultParagraphFont"/>
    <w:uiPriority w:val="99"/>
    <w:unhideWhenUsed/>
    <w:rsid w:val="006D2F2C"/>
    <w:rPr>
      <w:noProof w:val="0"/>
      <w:color w:val="467886" w:themeColor="hyperlink"/>
      <w:u w:val="single"/>
    </w:rPr>
  </w:style>
  <w:style w:type="paragraph" w:styleId="Revision">
    <w:name w:val="Revision"/>
    <w:hidden/>
    <w:uiPriority w:val="99"/>
    <w:semiHidden/>
    <w:rsid w:val="006D2F2C"/>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6D2F2C"/>
    <w:pPr>
      <w:spacing w:after="120"/>
    </w:pPr>
    <w:rPr>
      <w:b/>
      <w:bCs/>
      <w:color w:val="FFFFFF"/>
      <w:sz w:val="32"/>
      <w:szCs w:val="32"/>
    </w:rPr>
  </w:style>
  <w:style w:type="paragraph" w:customStyle="1" w:styleId="Headline">
    <w:name w:val="Headline"/>
    <w:basedOn w:val="Normal"/>
    <w:next w:val="Normal"/>
    <w:link w:val="HeadlineChar"/>
    <w:qFormat/>
    <w:rsid w:val="006D2F2C"/>
    <w:rPr>
      <w:rFonts w:ascii="Segoe UI Semilight" w:hAnsi="Segoe UI Semilight" w:cs="Segoe UI Semilight"/>
      <w:b/>
      <w:bCs/>
      <w:color w:val="FFFFFF"/>
      <w:sz w:val="40"/>
      <w:szCs w:val="40"/>
    </w:rPr>
  </w:style>
  <w:style w:type="paragraph" w:customStyle="1" w:styleId="ExhibitTitle">
    <w:name w:val="Exhibit Title"/>
    <w:basedOn w:val="Normal"/>
    <w:qFormat/>
    <w:rsid w:val="006D2F2C"/>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6D2F2C"/>
    <w:pPr>
      <w:shd w:val="clear" w:color="auto" w:fill="D6E2FA"/>
      <w:spacing w:after="0"/>
    </w:pPr>
    <w:rPr>
      <w:color w:val="595959" w:themeColor="text1" w:themeTint="A6"/>
      <w:sz w:val="18"/>
    </w:rPr>
  </w:style>
  <w:style w:type="paragraph" w:customStyle="1" w:styleId="ExhibitSource">
    <w:name w:val="Exhibit Source"/>
    <w:next w:val="Normal"/>
    <w:qFormat/>
    <w:rsid w:val="006D2F2C"/>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6D2F2C"/>
    <w:pPr>
      <w:shd w:val="clear" w:color="auto" w:fill="70A9E0" w:themeFill="text2" w:themeFillTint="66"/>
      <w:ind w:left="198" w:right="80"/>
      <w:contextualSpacing/>
    </w:pPr>
    <w:rPr>
      <w:color w:val="595959" w:themeColor="text1" w:themeTint="A6"/>
    </w:rPr>
  </w:style>
  <w:style w:type="paragraph" w:customStyle="1" w:styleId="Bullet">
    <w:name w:val="Bullet"/>
    <w:link w:val="BulletChar"/>
    <w:qFormat/>
    <w:rsid w:val="006D2F2C"/>
    <w:pPr>
      <w:numPr>
        <w:numId w:val="5"/>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6D2F2C"/>
    <w:rPr>
      <w:rFonts w:ascii="Segoe UI" w:hAnsi="Segoe UI" w:cs="Segoe UI"/>
      <w:b/>
      <w:bCs/>
      <w:noProof w:val="0"/>
      <w:color w:val="003469"/>
      <w:kern w:val="0"/>
      <w:sz w:val="20"/>
      <w:szCs w:val="20"/>
      <w:shd w:val="clear" w:color="auto" w:fill="F2F2F2" w:themeFill="background1" w:themeFillShade="F2"/>
      <w14:ligatures w14:val="none"/>
    </w:rPr>
  </w:style>
  <w:style w:type="paragraph" w:customStyle="1" w:styleId="TableHeader">
    <w:name w:val="Table Header"/>
    <w:basedOn w:val="TableData"/>
    <w:qFormat/>
    <w:rsid w:val="006D2F2C"/>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6D2F2C"/>
    <w:rPr>
      <w:rFonts w:ascii="Segoe UI" w:hAnsi="Segoe UI" w:cs="Segoe UI"/>
      <w:noProof w:val="0"/>
      <w:color w:val="000000" w:themeColor="text1"/>
    </w:rPr>
  </w:style>
  <w:style w:type="paragraph" w:customStyle="1" w:styleId="Summary">
    <w:name w:val="Summary"/>
    <w:basedOn w:val="Normal"/>
    <w:link w:val="SummaryChar"/>
    <w:qFormat/>
    <w:rsid w:val="006D2F2C"/>
    <w:pPr>
      <w:numPr>
        <w:numId w:val="1"/>
      </w:numPr>
      <w:ind w:left="1797" w:hanging="357"/>
    </w:pPr>
    <w:rPr>
      <w:kern w:val="2"/>
      <w:sz w:val="22"/>
      <w14:ligatures w14:val="standardContextual"/>
    </w:rPr>
  </w:style>
  <w:style w:type="paragraph" w:customStyle="1" w:styleId="TableData">
    <w:name w:val="Table Data"/>
    <w:link w:val="TableDataChar"/>
    <w:qFormat/>
    <w:rsid w:val="006D2F2C"/>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6D2F2C"/>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6D2F2C"/>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6D2F2C"/>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6D2F2C"/>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6D2F2C"/>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6D2F2C"/>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6D2F2C"/>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6D2F2C"/>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6D2F2C"/>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6D2F2C"/>
    <w:rPr>
      <w:color w:val="003469"/>
    </w:rPr>
  </w:style>
  <w:style w:type="character" w:customStyle="1" w:styleId="RepeatingFooterChar">
    <w:name w:val="Repeating Footer Char"/>
    <w:basedOn w:val="FooterChar"/>
    <w:link w:val="RepeatingFooter"/>
    <w:rsid w:val="006D2F2C"/>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6D2F2C"/>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6D2F2C"/>
    <w:rPr>
      <w:b/>
      <w:bCs/>
      <w:noProof w:val="0"/>
    </w:rPr>
  </w:style>
  <w:style w:type="character" w:customStyle="1" w:styleId="Italics">
    <w:name w:val="Italics"/>
    <w:uiPriority w:val="1"/>
    <w:qFormat/>
    <w:rsid w:val="006D2F2C"/>
    <w:rPr>
      <w:i/>
      <w:iCs/>
      <w:noProof w:val="0"/>
    </w:rPr>
  </w:style>
  <w:style w:type="table" w:customStyle="1" w:styleId="TableGridHeader">
    <w:name w:val="Table Grid Header"/>
    <w:basedOn w:val="TableNormal"/>
    <w:uiPriority w:val="99"/>
    <w:rsid w:val="006D2F2C"/>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y.oxfordeconomics.com/reportaction/5d1A9797bD5148249dF9A2/Toc" TargetMode="Externa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svg"/><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0C9F513E-0B70-4163-BE64-197C24C46E8D}"/>
      </w:docPartPr>
      <w:docPartBody>
        <w:p w:rsidR="00D407A1" w:rsidRDefault="00D407A1">
          <w:r w:rsidRPr="004B7A92">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7A1"/>
    <w:rsid w:val="000547F0"/>
    <w:rsid w:val="00146C25"/>
    <w:rsid w:val="002E29CF"/>
    <w:rsid w:val="002F726C"/>
    <w:rsid w:val="008A0BB1"/>
    <w:rsid w:val="00D07416"/>
    <w:rsid w:val="00D407A1"/>
    <w:rsid w:val="00E70F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435</Words>
  <Characters>2219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Allenby</dc:creator>
  <cp:keywords/>
  <dc:description/>
  <cp:lastModifiedBy>Edward Allenby</cp:lastModifiedBy>
  <cp:revision>14</cp:revision>
  <dcterms:created xsi:type="dcterms:W3CDTF">2025-04-16T09:48:00Z</dcterms:created>
  <dcterms:modified xsi:type="dcterms:W3CDTF">2025-04-16T10:21:00Z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2025-04-16T10:17:42.000Z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v0.8.1.1</vt:lpwstr>
  </property>
  <property fmtid="{D5CDD505-2E9C-101B-9397-08002B2CF9AE}" pid="10" name="OEP_ANALYST_FULLNAME">
    <vt:lpwstr>Edward Allenby</vt:lpwstr>
  </property>
  <property fmtid="{D5CDD505-2E9C-101B-9397-08002B2CF9AE}" pid="11" name="OEP_ANALYST_JOBTITLE">
    <vt:lpwstr>UK Economist</vt:lpwstr>
  </property>
  <property fmtid="{D5CDD505-2E9C-101B-9397-08002B2CF9AE}" pid="12" name="OEP_ANALYST_EMAIL">
    <vt:lpwstr>eallenby@oxfordeconomics.com</vt:lpwstr>
  </property>
  <property fmtid="{D5CDD505-2E9C-101B-9397-08002B2CF9AE}" pid="13" name="OEP_AUTHORS">
    <vt:lpwstr>Edward Allenby|UK Economist|eallenby@oxfordeconomics.com_x000d_</vt:lpwstr>
  </property>
  <property fmtid="{D5CDD505-2E9C-101B-9397-08002B2CF9AE}" pid="14" name="OEP_CATEGORIES">
    <vt:lpwstr>AnalysisbyRegion-Europe-UnitedKingdom,Macro-UKMonthlyInflation</vt:lpwstr>
  </property>
  <property fmtid="{D5CDD505-2E9C-101B-9397-08002B2CF9AE}" pid="15" name="OEP_TAGS">
    <vt:lpwstr>Key Themes:inflation,forecast</vt:lpwstr>
  </property>
  <property fmtid="{D5CDD505-2E9C-101B-9397-08002B2CF9AE}" pid="16" name="OEP_DATA_FILEPATH">
    <vt:lpwstr>Z:\UK Team\Inflation Model\20250416 UK IF.xlsx</vt:lpwstr>
  </property>
  <property fmtid="{D5CDD505-2E9C-101B-9397-08002B2CF9AE}" pid="17" name="OEP_PRODUCT_CODE">
    <vt:lpwstr>b721eb460B1C4B5aacE87c</vt:lpwstr>
  </property>
  <property fmtid="{D5CDD505-2E9C-101B-9397-08002B2CF9AE}" pid="18" name="OEP_PUBLISH_DATE">
    <vt:lpwstr/>
  </property>
</Properties>
</file>