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FF8DD" w14:textId="7F0A4771" w:rsidR="00F72D52" w:rsidRPr="00F72D52" w:rsidRDefault="00F72D52" w:rsidP="00F72D52">
      <w:pPr>
        <w:pStyle w:val="Bullet"/>
      </w:pPr>
      <w:r>
        <w:t xml:space="preserve">The slight softening in UK CPI inflation in May reflected a fall in services </w:t>
      </w:r>
      <w:r w:rsidR="00B01009">
        <w:t>inflation</w:t>
      </w:r>
      <w:r w:rsidR="00114055">
        <w:t>,</w:t>
      </w:r>
      <w:r>
        <w:t xml:space="preserve"> as the </w:t>
      </w:r>
      <w:r w:rsidRPr="00F72D52">
        <w:t>Office for National Statistics corrected April's vehicle exercise duty error</w:t>
      </w:r>
      <w:r>
        <w:t xml:space="preserve"> and </w:t>
      </w:r>
      <w:r w:rsidR="00114055">
        <w:t xml:space="preserve">the Easter jump in air fares unwound. We expect inflation to edge up </w:t>
      </w:r>
      <w:r w:rsidR="001F2578">
        <w:t>in the short-term,</w:t>
      </w:r>
      <w:r w:rsidR="00114055">
        <w:t xml:space="preserve"> peak</w:t>
      </w:r>
      <w:r w:rsidR="001F2578">
        <w:t>ing</w:t>
      </w:r>
      <w:r w:rsidR="00114055">
        <w:t xml:space="preserve"> in September, but a drop in the contribution from the energy category should see inflation cool from the autumn.</w:t>
      </w:r>
    </w:p>
    <w:p w14:paraId="7D840D50" w14:textId="633CDF38" w:rsidR="000648D4" w:rsidRDefault="00F72D52" w:rsidP="00714F77">
      <w:pPr>
        <w:pStyle w:val="Bullet"/>
      </w:pPr>
      <w:r>
        <w:t xml:space="preserve">The vehicle excise duty </w:t>
      </w:r>
      <w:r w:rsidR="008D5E1F">
        <w:t xml:space="preserve">correction </w:t>
      </w:r>
      <w:r>
        <w:t xml:space="preserve">means the services category should offer slightly less support over the next year than previously thought. </w:t>
      </w:r>
      <w:r w:rsidR="00114055">
        <w:t>W</w:t>
      </w:r>
      <w:r>
        <w:t>e have also taken on board a stronger outlook for fuel prices due to heightened tensions in the Middle East</w:t>
      </w:r>
      <w:r w:rsidR="000648D4">
        <w:t>.</w:t>
      </w:r>
      <w:r>
        <w:t xml:space="preserve"> </w:t>
      </w:r>
      <w:r w:rsidR="001D3921">
        <w:t>T</w:t>
      </w:r>
      <w:r w:rsidR="00114055">
        <w:t xml:space="preserve">hese </w:t>
      </w:r>
      <w:r w:rsidR="001D3921">
        <w:t xml:space="preserve">offsetting </w:t>
      </w:r>
      <w:r w:rsidR="00114055">
        <w:t>changes</w:t>
      </w:r>
      <w:r>
        <w:t xml:space="preserve"> leave our annual CPI forecast unchanged at 3.3% in 2025 and 2.5% in 2026.</w:t>
      </w:r>
    </w:p>
    <w:p w14:paraId="09415C14" w14:textId="2EBB895F" w:rsidR="008C0045" w:rsidRDefault="009C10B6" w:rsidP="000648D4">
      <w:r>
        <w:t xml:space="preserve">CPI inflation fell fractionally to 3.4% in May, from 3.5% in April. The modest decline </w:t>
      </w:r>
      <w:r w:rsidR="008C0045">
        <w:t xml:space="preserve">was </w:t>
      </w:r>
      <w:r w:rsidR="00AE67D6">
        <w:t>the</w:t>
      </w:r>
      <w:r w:rsidR="008C0045">
        <w:t xml:space="preserve"> result of a smaller contribution from the services category. In part, this reflected </w:t>
      </w:r>
      <w:r w:rsidR="00061DA9">
        <w:t>the Office for National Statistics</w:t>
      </w:r>
      <w:r w:rsidR="008C0045">
        <w:t xml:space="preserve"> correctin</w:t>
      </w:r>
      <w:r w:rsidR="00061DA9">
        <w:t>g</w:t>
      </w:r>
      <w:r w:rsidR="008C0045">
        <w:t xml:space="preserve"> </w:t>
      </w:r>
      <w:hyperlink r:id="rId7" w:history="1">
        <w:r w:rsidR="00061DA9" w:rsidRPr="00061DA9">
          <w:rPr>
            <w:rStyle w:val="Hyperlink"/>
          </w:rPr>
          <w:t>an error</w:t>
        </w:r>
      </w:hyperlink>
      <w:r w:rsidR="00061DA9">
        <w:t xml:space="preserve"> </w:t>
      </w:r>
      <w:r w:rsidR="008C0045">
        <w:t xml:space="preserve">in the vehicle excise duty sub-category that </w:t>
      </w:r>
      <w:r w:rsidR="004D7ECE">
        <w:t xml:space="preserve">had </w:t>
      </w:r>
      <w:r w:rsidR="008C0045">
        <w:t xml:space="preserve">meant it had overstated April's increase. There was also some downward pressure from the air fares sub-category in May, with the timing of the Easter holidays having temporarily boosted April's outturn. May's fall in services </w:t>
      </w:r>
      <w:r w:rsidR="00B01009" w:rsidRPr="00B01009">
        <w:t>inflation</w:t>
      </w:r>
      <w:r w:rsidR="00B01009">
        <w:t xml:space="preserve"> </w:t>
      </w:r>
      <w:r w:rsidR="008C0045">
        <w:t xml:space="preserve">was more than enough to offset modest rises in the food and core goods categories. RPI and RPIX inflation </w:t>
      </w:r>
      <w:r w:rsidR="00FA742E">
        <w:t>edged down to 4.3% and 4.1% respectively, from 4.5% and 4.2% in April.</w:t>
      </w:r>
    </w:p>
    <w:p w14:paraId="5119524E" w14:textId="1E39C779" w:rsidR="004057CA" w:rsidRDefault="004057CA" w:rsidP="000648D4">
      <w:r>
        <w:t xml:space="preserve">Looking ahead, </w:t>
      </w:r>
      <w:r w:rsidR="003C5157">
        <w:t xml:space="preserve">we expect headline inflation to rise gradually in the coming months, and peak in September. But from the autumn, inflation is likely to cool as the </w:t>
      </w:r>
      <w:r w:rsidR="00616C24">
        <w:t>positive contribution</w:t>
      </w:r>
      <w:r w:rsidR="003C5157">
        <w:t xml:space="preserve"> from the energy category disappears, which should outweigh the impact of sticky services inflation</w:t>
      </w:r>
      <w:r w:rsidR="005F6D2A">
        <w:t>.</w:t>
      </w:r>
    </w:p>
    <w:p w14:paraId="192206D4" w14:textId="71C82422" w:rsidR="009C10B6" w:rsidRDefault="003C5157" w:rsidP="00A52162">
      <w:r>
        <w:t>T</w:t>
      </w:r>
      <w:r w:rsidR="008573A5">
        <w:t xml:space="preserve">he ONS' correction in the vehicle excise duty sub-category means we now think the services category will offer slightly less support </w:t>
      </w:r>
      <w:r>
        <w:t xml:space="preserve">to </w:t>
      </w:r>
      <w:r w:rsidR="004F77D6">
        <w:t>inflation</w:t>
      </w:r>
      <w:r>
        <w:t xml:space="preserve"> </w:t>
      </w:r>
      <w:r w:rsidR="008573A5">
        <w:t xml:space="preserve">over the next year than we did previously. However, we have also incorporated a slightly stronger </w:t>
      </w:r>
      <w:r w:rsidR="00A03CCD">
        <w:t xml:space="preserve">near-term </w:t>
      </w:r>
      <w:r w:rsidR="008573A5">
        <w:t xml:space="preserve">outlook for fuel prices into our forecast, following an escalation in Middle East tensions. </w:t>
      </w:r>
      <w:r w:rsidR="008077D4">
        <w:t>T</w:t>
      </w:r>
      <w:r w:rsidR="008573A5">
        <w:t>he offsetting nature of these changes means our annual CPI inflation forecast remains at 3.3% this year and 2.5% in 2026.</w:t>
      </w:r>
    </w:p>
    <w:p w14:paraId="714333D3" w14:textId="3F5D67F4" w:rsidR="000648D4" w:rsidRDefault="000648D4" w:rsidP="00A52162">
      <w:pPr>
        <w:pStyle w:val="ExhibitTitle"/>
        <w:jc w:val="center"/>
      </w:pPr>
      <w:r>
        <w:t xml:space="preserve">Chart </w:t>
      </w:r>
      <w:r>
        <w:fldChar w:fldCharType="begin"/>
      </w:r>
      <w:r w:rsidR="00122E8C">
        <w:instrText>SEQ CHART</w:instrText>
      </w:r>
      <w:r>
        <w:fldChar w:fldCharType="separate"/>
      </w:r>
      <w:r w:rsidR="00122E8C">
        <w:rPr>
          <w:noProof/>
        </w:rPr>
        <w:t>1</w:t>
      </w:r>
      <w:r>
        <w:fldChar w:fldCharType="end"/>
      </w:r>
      <w:r>
        <w:t xml:space="preserve">: </w:t>
      </w:r>
      <w:r w:rsidR="002A110B">
        <w:t>We still forecast CPI inflation to average 3.3% this year and 2.5% in 2026</w:t>
      </w:r>
    </w:p>
    <w:p w14:paraId="7CE2A1E9" w14:textId="176392E5" w:rsidR="00A52162" w:rsidRDefault="00A52162" w:rsidP="00A52162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20708E5" wp14:editId="02C95F63">
            <wp:extent cx="4006964" cy="3145495"/>
            <wp:effectExtent l="0" t="0" r="0" b="0"/>
            <wp:docPr id="17759287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879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FD59" w14:textId="701AEB90" w:rsidR="00673B00" w:rsidRDefault="00A52162" w:rsidP="00A52162">
      <w:pPr>
        <w:pStyle w:val="ExhibitSource"/>
        <w:jc w:val="center"/>
      </w:pPr>
      <w:r>
        <w:t>Source: Oxford Economics, Haver Analytics</w:t>
      </w:r>
    </w:p>
    <w:p w14:paraId="0C42388E" w14:textId="77777777" w:rsidR="00050481" w:rsidRPr="00050481" w:rsidRDefault="00050481" w:rsidP="008E3C45"/>
    <w:sectPr w:rsidR="00050481" w:rsidRPr="00050481" w:rsidSect="00A5216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CFA4E" w14:textId="77777777" w:rsidR="00176E36" w:rsidRDefault="00176E36" w:rsidP="000648D4">
      <w:pPr>
        <w:spacing w:before="0" w:after="0"/>
      </w:pPr>
      <w:r>
        <w:separator/>
      </w:r>
    </w:p>
  </w:endnote>
  <w:endnote w:type="continuationSeparator" w:id="0">
    <w:p w14:paraId="6E2511DB" w14:textId="77777777" w:rsidR="00176E36" w:rsidRDefault="00176E36" w:rsidP="000648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4C08F" w14:textId="77777777" w:rsidR="007938C0" w:rsidRDefault="007938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247DF" w14:textId="77777777" w:rsidR="007938C0" w:rsidRDefault="007938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60FA1" w14:textId="04A2BED6" w:rsidR="000648D4" w:rsidRDefault="000648D4" w:rsidP="000648D4">
    <w:pPr>
      <w:pStyle w:val="Author"/>
    </w:pPr>
    <w:r>
      <w:t>Edward Allenby</w:t>
    </w:r>
    <w:r w:rsidR="008E3C45">
      <w:t xml:space="preserve"> - </w:t>
    </w:r>
    <w:r>
      <w:t>UK Economist</w:t>
    </w:r>
    <w:r w:rsidR="008E3C45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8B333" w14:textId="77777777" w:rsidR="00176E36" w:rsidRDefault="00176E36" w:rsidP="000648D4">
      <w:pPr>
        <w:spacing w:before="0" w:after="0"/>
      </w:pPr>
      <w:r>
        <w:separator/>
      </w:r>
    </w:p>
  </w:footnote>
  <w:footnote w:type="continuationSeparator" w:id="0">
    <w:p w14:paraId="0605EC26" w14:textId="77777777" w:rsidR="00176E36" w:rsidRDefault="00176E36" w:rsidP="000648D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78A88" w14:textId="77777777" w:rsidR="000648D4" w:rsidRDefault="000648D4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0DCD5" w14:textId="77777777" w:rsidR="000648D4" w:rsidRDefault="000648D4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74197" w14:textId="39429ED2" w:rsidR="000648D4" w:rsidRDefault="000648D4" w:rsidP="000648D4">
    <w:r w:rsidRPr="000648D4">
      <w:rPr>
        <w:noProof/>
      </w:rPr>
      <w:drawing>
        <wp:anchor distT="0" distB="0" distL="114300" distR="114300" simplePos="0" relativeHeight="251659264" behindDoc="1" locked="1" layoutInCell="1" allowOverlap="1" wp14:anchorId="4BD3ADA3" wp14:editId="17106C20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219479902"/>
      <w:lock w:val="sdtLocked"/>
      <w:placeholder>
        <w:docPart w:val="DefaultPlaceholder_-1854013437"/>
      </w:placeholder>
      <w:date w:fullDate="2025-06-18T00:00:00Z">
        <w:dateFormat w:val="d MMMM yyyy"/>
        <w:lid w:val="en-GB"/>
        <w:storeMappedDataAs w:val="dateTime"/>
        <w:calendar w:val="gregorian"/>
      </w:date>
    </w:sdtPr>
    <w:sdtEndPr/>
    <w:sdtContent>
      <w:p w14:paraId="5AA711F1" w14:textId="4EC7B22E" w:rsidR="000648D4" w:rsidRPr="000648D4" w:rsidRDefault="000648D4" w:rsidP="000648D4">
        <w:pPr>
          <w:pStyle w:val="PublishDate"/>
          <w:framePr w:w="2835" w:h="340" w:hRule="exact" w:hSpace="180" w:wrap="around" w:vAnchor="page" w:hAnchor="page" w:x="7801" w:y="601" w:anchorLock="1"/>
        </w:pPr>
        <w:r>
          <w:t>1</w:t>
        </w:r>
        <w:r w:rsidR="00714F77">
          <w:t>8</w:t>
        </w:r>
        <w:r>
          <w:t xml:space="preserve"> June 2025</w:t>
        </w:r>
      </w:p>
    </w:sdtContent>
  </w:sdt>
  <w:p w14:paraId="021A2917" w14:textId="0B6BFEF3" w:rsidR="000648D4" w:rsidRDefault="00714F77" w:rsidP="000648D4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</w:t>
    </w:r>
    <w:r w:rsidR="000648D4">
      <w:t xml:space="preserve"> | </w:t>
    </w:r>
    <w:r>
      <w:t>UK</w:t>
    </w:r>
  </w:p>
  <w:p w14:paraId="75A1D27A" w14:textId="729392BB" w:rsidR="000648D4" w:rsidRDefault="00920A47" w:rsidP="000648D4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Offsetting forces leave our </w:t>
    </w:r>
    <w:r w:rsidR="002D091C">
      <w:t xml:space="preserve">near-term </w:t>
    </w:r>
    <w:r>
      <w:t>forecast unchanged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D4"/>
    <w:rsid w:val="00050481"/>
    <w:rsid w:val="00061DA9"/>
    <w:rsid w:val="000648D4"/>
    <w:rsid w:val="000E6AE7"/>
    <w:rsid w:val="00114055"/>
    <w:rsid w:val="00122E8C"/>
    <w:rsid w:val="00176E36"/>
    <w:rsid w:val="001A4976"/>
    <w:rsid w:val="001D3921"/>
    <w:rsid w:val="001F2578"/>
    <w:rsid w:val="002355F5"/>
    <w:rsid w:val="00235C14"/>
    <w:rsid w:val="002948C3"/>
    <w:rsid w:val="002A110B"/>
    <w:rsid w:val="002D091C"/>
    <w:rsid w:val="002E6BE5"/>
    <w:rsid w:val="0031754C"/>
    <w:rsid w:val="003846D4"/>
    <w:rsid w:val="003B1FBB"/>
    <w:rsid w:val="003C5157"/>
    <w:rsid w:val="003E338E"/>
    <w:rsid w:val="004057CA"/>
    <w:rsid w:val="004D7ECE"/>
    <w:rsid w:val="004E1967"/>
    <w:rsid w:val="004F77D6"/>
    <w:rsid w:val="005A036C"/>
    <w:rsid w:val="005F6D2A"/>
    <w:rsid w:val="00616C24"/>
    <w:rsid w:val="00673B00"/>
    <w:rsid w:val="00676B9B"/>
    <w:rsid w:val="006F132D"/>
    <w:rsid w:val="00714F77"/>
    <w:rsid w:val="007938C0"/>
    <w:rsid w:val="008077D4"/>
    <w:rsid w:val="008573A5"/>
    <w:rsid w:val="008B1332"/>
    <w:rsid w:val="008C0045"/>
    <w:rsid w:val="008D5E1F"/>
    <w:rsid w:val="008E231F"/>
    <w:rsid w:val="008E3C45"/>
    <w:rsid w:val="00917FF8"/>
    <w:rsid w:val="00920A47"/>
    <w:rsid w:val="0095370F"/>
    <w:rsid w:val="00981A27"/>
    <w:rsid w:val="009C10B6"/>
    <w:rsid w:val="00A03CCD"/>
    <w:rsid w:val="00A52162"/>
    <w:rsid w:val="00AE58E9"/>
    <w:rsid w:val="00AE67D6"/>
    <w:rsid w:val="00B01009"/>
    <w:rsid w:val="00B440C7"/>
    <w:rsid w:val="00BD277C"/>
    <w:rsid w:val="00BE70E1"/>
    <w:rsid w:val="00CB46EE"/>
    <w:rsid w:val="00CF64F6"/>
    <w:rsid w:val="00D1530A"/>
    <w:rsid w:val="00D534B1"/>
    <w:rsid w:val="00DF286F"/>
    <w:rsid w:val="00E31D88"/>
    <w:rsid w:val="00ED2D1E"/>
    <w:rsid w:val="00F04F1F"/>
    <w:rsid w:val="00F72D52"/>
    <w:rsid w:val="00F83CC5"/>
    <w:rsid w:val="00FA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4E885"/>
  <w15:chartTrackingRefBased/>
  <w15:docId w15:val="{946EA7D5-B694-44FE-907D-C08C05C4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8D4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8D4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648D4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8D4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8D4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0648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0648D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0648D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0648D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0648D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D4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648D4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48D4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648D4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648D4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D4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D4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D4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D4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648D4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D4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0648D4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0648D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8D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48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D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0648D4"/>
    <w:rPr>
      <w:noProof w:val="0"/>
    </w:rPr>
  </w:style>
  <w:style w:type="character" w:styleId="Hyperlink">
    <w:name w:val="Hyperlink"/>
    <w:basedOn w:val="DefaultParagraphFont"/>
    <w:uiPriority w:val="99"/>
    <w:unhideWhenUsed/>
    <w:rsid w:val="000648D4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0648D4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0648D4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0648D4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0648D4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0648D4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0648D4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0648D4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0648D4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0648D4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0648D4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0648D4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0648D4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0648D4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0648D4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0648D4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0648D4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0648D4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0648D4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0648D4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48D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0648D4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0648D4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0648D4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0648D4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0648D4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0648D4"/>
    <w:rPr>
      <w:b/>
      <w:bCs/>
      <w:noProof w:val="0"/>
    </w:rPr>
  </w:style>
  <w:style w:type="character" w:customStyle="1" w:styleId="Italics">
    <w:name w:val="Italics"/>
    <w:uiPriority w:val="1"/>
    <w:qFormat/>
    <w:rsid w:val="000648D4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0648D4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ns.gov.uk/news/statementsandletters/vehicleexcisedutyimpactonconsumerpriceinflation" TargetMode="Externa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5826B-F23F-47DA-B998-B6D9A0171B0F}"/>
      </w:docPartPr>
      <w:docPartBody>
        <w:p w:rsidR="00AE6AD5" w:rsidRDefault="00AE6AD5">
          <w:r w:rsidRPr="001D3C43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D5"/>
    <w:rsid w:val="001A4976"/>
    <w:rsid w:val="002355F5"/>
    <w:rsid w:val="004D0AC5"/>
    <w:rsid w:val="005A036C"/>
    <w:rsid w:val="00AE6AD5"/>
    <w:rsid w:val="00DF286F"/>
    <w:rsid w:val="00ED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398</Words>
  <Characters>2043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28</cp:revision>
  <dcterms:created xsi:type="dcterms:W3CDTF">2025-06-18T10:05:00Z</dcterms:created>
  <dcterms:modified xsi:type="dcterms:W3CDTF">2025-06-18T10:46:00Z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2025-06-18T10:41:40.000Z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DATA_FILEPATH">
    <vt:lpwstr>Z:\UK Team\Inflation Model\20250618 UK IF.xlsx</vt:lpwstr>
  </property>
  <property fmtid="{D5CDD505-2E9C-101B-9397-08002B2CF9AE}" pid="17" name="OEP_PRODUCT_CODE">
    <vt:lpwstr>e1584465fA734197a15228</vt:lpwstr>
  </property>
  <property fmtid="{D5CDD505-2E9C-101B-9397-08002B2CF9AE}" pid="18" name="OEP_PUBLISH_DATE">
    <vt:lpwstr/>
  </property>
</Properties>
</file>