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A259" w14:textId="03E96DDC" w:rsidR="007643DD" w:rsidRDefault="00093596" w:rsidP="007643DD">
      <w:pPr>
        <w:pStyle w:val="Bullet"/>
      </w:pPr>
      <w:r>
        <w:t>UK CPI inflation was a little hotter than expected in June. Some of this was due to movements in volatile components of the core category, which should unwind</w:t>
      </w:r>
      <w:r w:rsidR="000F4713">
        <w:t xml:space="preserve"> soon</w:t>
      </w:r>
      <w:r>
        <w:t>. But the broader services category showed continued stickiness. We expect CPI inflation to average 3.4% this year and 2.7% in 2026.</w:t>
      </w:r>
    </w:p>
    <w:p w14:paraId="1DE14B1C" w14:textId="30A23882" w:rsidR="007643DD" w:rsidRDefault="00093596" w:rsidP="007643DD">
      <w:pPr>
        <w:pStyle w:val="Bullet"/>
      </w:pPr>
      <w:r>
        <w:t xml:space="preserve">We think headline inflation </w:t>
      </w:r>
      <w:r w:rsidR="00530407">
        <w:t>will</w:t>
      </w:r>
      <w:r>
        <w:t xml:space="preserve"> edge up further over the coming months, peak</w:t>
      </w:r>
      <w:r w:rsidR="00530407">
        <w:t>ing</w:t>
      </w:r>
      <w:r>
        <w:t xml:space="preserve"> in September. Thereafter, </w:t>
      </w:r>
      <w:r w:rsidR="00D356ED">
        <w:t>inflation is expected to cool gradually</w:t>
      </w:r>
      <w:r w:rsidR="00530407">
        <w:t>. T</w:t>
      </w:r>
      <w:r w:rsidR="00D356ED">
        <w:t xml:space="preserve">he positive contribution from the energy category </w:t>
      </w:r>
      <w:r w:rsidR="00530407">
        <w:t>will fade, food inflation should cool, while services inflation is expected to steadily drop as pay growth slows.</w:t>
      </w:r>
    </w:p>
    <w:p w14:paraId="2EB4BB89" w14:textId="588F42B1" w:rsidR="009E42A5" w:rsidRDefault="00AC645F" w:rsidP="007643DD">
      <w:r>
        <w:t>CPI inflation rose to 3.6% in June from 3.4% in May, slightly above our forecast and consensus expectations. June</w:t>
      </w:r>
      <w:r w:rsidR="00482BDC">
        <w:t>'</w:t>
      </w:r>
      <w:r>
        <w:t xml:space="preserve">s modest upside surprise </w:t>
      </w:r>
      <w:r w:rsidR="008816A4">
        <w:t xml:space="preserve">partly reflected larger contributions </w:t>
      </w:r>
      <w:r w:rsidR="00DA72A2">
        <w:t xml:space="preserve">from </w:t>
      </w:r>
      <w:r w:rsidR="00131A2A">
        <w:t>some volatile sub-categories of core inflation</w:t>
      </w:r>
      <w:r w:rsidR="008816A4">
        <w:t xml:space="preserve">, but </w:t>
      </w:r>
      <w:r w:rsidR="00DA72A2">
        <w:t>inflation in</w:t>
      </w:r>
      <w:r w:rsidR="008816A4">
        <w:t xml:space="preserve"> the </w:t>
      </w:r>
      <w:r w:rsidR="00DA72A2">
        <w:t xml:space="preserve">broader </w:t>
      </w:r>
      <w:r w:rsidR="008816A4">
        <w:t xml:space="preserve">services category </w:t>
      </w:r>
      <w:r w:rsidR="00183DCB">
        <w:t>was</w:t>
      </w:r>
      <w:r w:rsidR="001B1F79">
        <w:t xml:space="preserve"> also</w:t>
      </w:r>
      <w:r w:rsidR="008816A4">
        <w:t xml:space="preserve"> slightly stick</w:t>
      </w:r>
      <w:r w:rsidR="00482BDC">
        <w:t>i</w:t>
      </w:r>
      <w:r w:rsidR="008816A4">
        <w:t>er</w:t>
      </w:r>
      <w:r w:rsidR="00482BDC">
        <w:t xml:space="preserve"> </w:t>
      </w:r>
      <w:r w:rsidR="008816A4">
        <w:t>than</w:t>
      </w:r>
      <w:r w:rsidR="00482BDC">
        <w:t xml:space="preserve"> anticipated</w:t>
      </w:r>
      <w:r w:rsidR="008816A4">
        <w:t xml:space="preserve">. </w:t>
      </w:r>
      <w:r w:rsidR="00DA72A2">
        <w:t>In terms of the month-to-month changes in inflation</w:t>
      </w:r>
      <w:r w:rsidR="00223569">
        <w:t>,</w:t>
      </w:r>
      <w:r w:rsidR="00DA72A2">
        <w:t xml:space="preserve"> the most notable </w:t>
      </w:r>
      <w:r w:rsidR="008816A4">
        <w:t>upward pressure</w:t>
      </w:r>
      <w:r w:rsidR="00DA72A2">
        <w:t>s came</w:t>
      </w:r>
      <w:r w:rsidR="008816A4">
        <w:t xml:space="preserve"> from the fuel category, as the fall in petrol prices between May and June was smaller than the drop seen over the same period last year</w:t>
      </w:r>
      <w:r w:rsidR="00DA72A2">
        <w:t xml:space="preserve">, and </w:t>
      </w:r>
      <w:r w:rsidR="008816A4">
        <w:t>food price</w:t>
      </w:r>
      <w:r w:rsidR="00DA72A2">
        <w:t>s</w:t>
      </w:r>
      <w:r w:rsidR="008816A4">
        <w:t>. RPI and RPIX inflation climbed to 4.4% and 4.3% respectively in June, from 4.3% and 4.1% in May.</w:t>
      </w:r>
    </w:p>
    <w:p w14:paraId="5535284D" w14:textId="7A27B1F3" w:rsidR="00673703" w:rsidRDefault="0064045F" w:rsidP="00B4767A">
      <w:r>
        <w:t xml:space="preserve">We now expect CPI inflation to average 3.4% this year and 2.7% in 2026. </w:t>
      </w:r>
      <w:r w:rsidR="009E42A5">
        <w:t>The upward pressure from volatile core goods and services sub-categories</w:t>
      </w:r>
      <w:r w:rsidR="004F7EF5">
        <w:t xml:space="preserve"> in today's release</w:t>
      </w:r>
      <w:r w:rsidR="009E42A5">
        <w:t xml:space="preserve"> </w:t>
      </w:r>
      <w:r w:rsidR="00131A2A">
        <w:t xml:space="preserve">reflected a combination </w:t>
      </w:r>
      <w:r w:rsidR="00482BDC">
        <w:t>of</w:t>
      </w:r>
      <w:r w:rsidR="00131A2A">
        <w:t xml:space="preserve"> base effects and one-off factors. </w:t>
      </w:r>
      <w:r w:rsidR="00280F6B">
        <w:t>Some of t</w:t>
      </w:r>
      <w:r w:rsidR="00131A2A">
        <w:t xml:space="preserve">hese </w:t>
      </w:r>
      <w:r w:rsidR="00280F6B">
        <w:t xml:space="preserve">effects </w:t>
      </w:r>
      <w:r w:rsidR="009E42A5">
        <w:t>should unwind in next month's data.</w:t>
      </w:r>
      <w:r w:rsidR="00280F6B">
        <w:t xml:space="preserve"> But further base effects will </w:t>
      </w:r>
      <w:r w:rsidR="00B4767A">
        <w:t>mean that CPI</w:t>
      </w:r>
      <w:r w:rsidR="00725051">
        <w:t xml:space="preserve"> inflation </w:t>
      </w:r>
      <w:r w:rsidR="006D27D6">
        <w:t xml:space="preserve">continues to </w:t>
      </w:r>
      <w:r w:rsidR="00B4767A">
        <w:t xml:space="preserve">edge up </w:t>
      </w:r>
      <w:r w:rsidR="00725051">
        <w:t>over the coming months</w:t>
      </w:r>
      <w:r w:rsidR="00B4767A">
        <w:t xml:space="preserve">, </w:t>
      </w:r>
      <w:r w:rsidR="00725051">
        <w:t>peak</w:t>
      </w:r>
      <w:r w:rsidR="00B4767A">
        <w:t>ing</w:t>
      </w:r>
      <w:r w:rsidR="00725051">
        <w:t xml:space="preserve"> in September. </w:t>
      </w:r>
    </w:p>
    <w:p w14:paraId="607C61E2" w14:textId="75BA96BD" w:rsidR="009E42A5" w:rsidRDefault="00913EA1" w:rsidP="00B4767A">
      <w:r>
        <w:t>After that, we expect inflation will start to drift downwards gradually</w:t>
      </w:r>
      <w:r w:rsidR="00673703">
        <w:t>. T</w:t>
      </w:r>
      <w:r>
        <w:t xml:space="preserve">he positive contribution from the energy category </w:t>
      </w:r>
      <w:r w:rsidR="00673703">
        <w:t xml:space="preserve">should </w:t>
      </w:r>
      <w:r>
        <w:t xml:space="preserve">fade over the </w:t>
      </w:r>
      <w:r w:rsidR="00D356ED">
        <w:t>final months</w:t>
      </w:r>
      <w:r>
        <w:t xml:space="preserve"> of </w:t>
      </w:r>
      <w:r w:rsidR="006B2898">
        <w:t xml:space="preserve">this </w:t>
      </w:r>
      <w:r>
        <w:t xml:space="preserve">year and into </w:t>
      </w:r>
      <w:r w:rsidR="00D356ED">
        <w:t>2026</w:t>
      </w:r>
      <w:r>
        <w:t xml:space="preserve">. </w:t>
      </w:r>
      <w:r w:rsidR="00673703">
        <w:t xml:space="preserve">Food price inflation </w:t>
      </w:r>
      <w:r w:rsidR="00087466">
        <w:t>is expected</w:t>
      </w:r>
      <w:r w:rsidR="00673703">
        <w:t xml:space="preserve"> cool</w:t>
      </w:r>
      <w:r w:rsidR="00087466">
        <w:t xml:space="preserve"> as the impact of a stronger pound feeds through. And though progress will be gradual, we expect services inflation will cool as </w:t>
      </w:r>
      <w:r w:rsidR="006E77C2">
        <w:t xml:space="preserve">pay growth continues to slow and the impact of firms passing on this year's increase in </w:t>
      </w:r>
      <w:r w:rsidR="003A42B1">
        <w:t xml:space="preserve">employers' </w:t>
      </w:r>
      <w:r w:rsidR="006E77C2">
        <w:t>national insurance contributions fades</w:t>
      </w:r>
      <w:r>
        <w:t>.</w:t>
      </w:r>
    </w:p>
    <w:p w14:paraId="162FAD3F" w14:textId="17EDA2F6" w:rsidR="007643DD" w:rsidRDefault="007643DD" w:rsidP="009E42A5">
      <w:pPr>
        <w:pStyle w:val="ExhibitTitle"/>
        <w:jc w:val="center"/>
      </w:pPr>
      <w:r>
        <w:t xml:space="preserve">Chart </w:t>
      </w:r>
      <w:r>
        <w:fldChar w:fldCharType="begin"/>
      </w:r>
      <w:r w:rsidR="006A6DA1">
        <w:instrText>SEQ CHART</w:instrText>
      </w:r>
      <w:r>
        <w:fldChar w:fldCharType="separate"/>
      </w:r>
      <w:r w:rsidR="006A6DA1">
        <w:rPr>
          <w:noProof/>
        </w:rPr>
        <w:t>1</w:t>
      </w:r>
      <w:r>
        <w:fldChar w:fldCharType="end"/>
      </w:r>
      <w:r>
        <w:t xml:space="preserve">: </w:t>
      </w:r>
      <w:r w:rsidR="001F0B8F">
        <w:t>CPI inflation is forecast to average 3.4% in 2025 and 2.7% in 2026</w:t>
      </w:r>
    </w:p>
    <w:p w14:paraId="7C954D45" w14:textId="656EF154" w:rsidR="009E42A5" w:rsidRDefault="009E42A5" w:rsidP="009E42A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C2D1674" wp14:editId="26E4FA12">
            <wp:extent cx="4006964" cy="3145495"/>
            <wp:effectExtent l="0" t="0" r="0" b="0"/>
            <wp:docPr id="20745878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8782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BA0D" w14:textId="7E975506" w:rsidR="00673B00" w:rsidRDefault="009E42A5" w:rsidP="009E42A5">
      <w:pPr>
        <w:pStyle w:val="ExhibitSource"/>
        <w:jc w:val="center"/>
      </w:pPr>
      <w:r>
        <w:t>Source: Oxford Economics, Haver Analytics</w:t>
      </w:r>
    </w:p>
    <w:p w14:paraId="70944870" w14:textId="77777777" w:rsidR="006A6DA1" w:rsidRPr="006A6DA1" w:rsidRDefault="006A6DA1" w:rsidP="002E121F"/>
    <w:sectPr w:rsidR="006A6DA1" w:rsidRPr="006A6DA1" w:rsidSect="009E42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6D353" w14:textId="77777777" w:rsidR="007643DD" w:rsidRDefault="007643DD" w:rsidP="007643DD">
      <w:pPr>
        <w:spacing w:before="0" w:after="0"/>
      </w:pPr>
      <w:r>
        <w:separator/>
      </w:r>
    </w:p>
  </w:endnote>
  <w:endnote w:type="continuationSeparator" w:id="0">
    <w:p w14:paraId="3C859C07" w14:textId="77777777" w:rsidR="007643DD" w:rsidRDefault="007643DD" w:rsidP="007643D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AA0A4" w14:textId="77777777" w:rsidR="00FB464E" w:rsidRDefault="00FB46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C993B" w14:textId="77777777" w:rsidR="00FB464E" w:rsidRDefault="00FB46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8FF9" w14:textId="0B6ACB97" w:rsidR="007643DD" w:rsidRDefault="007643DD" w:rsidP="007643DD">
    <w:pPr>
      <w:pStyle w:val="Author"/>
    </w:pPr>
    <w:r>
      <w:t>Edward Allenby</w:t>
    </w:r>
    <w:r w:rsidR="002E121F">
      <w:t xml:space="preserve"> - </w:t>
    </w:r>
    <w:r>
      <w:t>UK Economist</w:t>
    </w:r>
    <w:r w:rsidR="002E121F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FBAE7" w14:textId="77777777" w:rsidR="007643DD" w:rsidRDefault="007643DD" w:rsidP="007643DD">
      <w:pPr>
        <w:spacing w:before="0" w:after="0"/>
      </w:pPr>
      <w:r>
        <w:separator/>
      </w:r>
    </w:p>
  </w:footnote>
  <w:footnote w:type="continuationSeparator" w:id="0">
    <w:p w14:paraId="5EEC9A0E" w14:textId="77777777" w:rsidR="007643DD" w:rsidRDefault="007643DD" w:rsidP="007643D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E7F17" w14:textId="77777777" w:rsidR="007643DD" w:rsidRDefault="007643DD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7BABE" w14:textId="77777777" w:rsidR="007643DD" w:rsidRDefault="007643DD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89910" w14:textId="76EA4521" w:rsidR="007643DD" w:rsidRDefault="007643DD" w:rsidP="007643DD">
    <w:r w:rsidRPr="007643DD">
      <w:rPr>
        <w:noProof/>
      </w:rPr>
      <w:drawing>
        <wp:anchor distT="0" distB="0" distL="114300" distR="114300" simplePos="0" relativeHeight="251659264" behindDoc="1" locked="1" layoutInCell="1" allowOverlap="1" wp14:anchorId="146AFE66" wp14:editId="4288C2F9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605487246"/>
      <w:lock w:val="sdtLocked"/>
      <w:placeholder>
        <w:docPart w:val="DefaultPlaceholder_-1854013437"/>
      </w:placeholder>
      <w:date w:fullDate="2025-07-16T00:00:00Z">
        <w:dateFormat w:val="d MMMM yyyy"/>
        <w:lid w:val="en-GB"/>
        <w:storeMappedDataAs w:val="dateTime"/>
        <w:calendar w:val="gregorian"/>
      </w:date>
    </w:sdtPr>
    <w:sdtEndPr/>
    <w:sdtContent>
      <w:p w14:paraId="61DCE122" w14:textId="182C455F" w:rsidR="007643DD" w:rsidRPr="007643DD" w:rsidRDefault="007643DD" w:rsidP="007643DD">
        <w:pPr>
          <w:pStyle w:val="PublishDate"/>
          <w:framePr w:w="2835" w:h="340" w:hRule="exact" w:hSpace="180" w:wrap="around" w:vAnchor="page" w:hAnchor="page" w:x="7801" w:y="601" w:anchorLock="1"/>
        </w:pPr>
        <w:r>
          <w:t>16 July 2025</w:t>
        </w:r>
      </w:p>
    </w:sdtContent>
  </w:sdt>
  <w:p w14:paraId="66C52791" w14:textId="2733B205" w:rsidR="007643DD" w:rsidRDefault="007643DD" w:rsidP="007643DD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63538DDB" w14:textId="457100E9" w:rsidR="007643DD" w:rsidRDefault="00D356ED" w:rsidP="007643DD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CPI inflation forecast to average 3.4% in 2025 and 2.7% in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DD"/>
    <w:rsid w:val="0007117A"/>
    <w:rsid w:val="00087466"/>
    <w:rsid w:val="00093596"/>
    <w:rsid w:val="000F4713"/>
    <w:rsid w:val="00131A2A"/>
    <w:rsid w:val="00183DCB"/>
    <w:rsid w:val="001B1F79"/>
    <w:rsid w:val="001F0B8F"/>
    <w:rsid w:val="00223569"/>
    <w:rsid w:val="00235C14"/>
    <w:rsid w:val="00280F6B"/>
    <w:rsid w:val="002E121F"/>
    <w:rsid w:val="002E6BE5"/>
    <w:rsid w:val="003A42B1"/>
    <w:rsid w:val="004664F2"/>
    <w:rsid w:val="00482BDC"/>
    <w:rsid w:val="00493617"/>
    <w:rsid w:val="004F7EF5"/>
    <w:rsid w:val="00530407"/>
    <w:rsid w:val="00534FB9"/>
    <w:rsid w:val="0064045F"/>
    <w:rsid w:val="00673703"/>
    <w:rsid w:val="00673B00"/>
    <w:rsid w:val="00676B9B"/>
    <w:rsid w:val="006A6DA1"/>
    <w:rsid w:val="006B2898"/>
    <w:rsid w:val="006D27D6"/>
    <w:rsid w:val="006E77C2"/>
    <w:rsid w:val="00725051"/>
    <w:rsid w:val="00762C45"/>
    <w:rsid w:val="007643DD"/>
    <w:rsid w:val="00874E55"/>
    <w:rsid w:val="008816A4"/>
    <w:rsid w:val="00913EA1"/>
    <w:rsid w:val="00915BA1"/>
    <w:rsid w:val="009359E4"/>
    <w:rsid w:val="009E42A5"/>
    <w:rsid w:val="00A34F3D"/>
    <w:rsid w:val="00AC645F"/>
    <w:rsid w:val="00AF7431"/>
    <w:rsid w:val="00B01CB9"/>
    <w:rsid w:val="00B4767A"/>
    <w:rsid w:val="00BD3517"/>
    <w:rsid w:val="00D016EF"/>
    <w:rsid w:val="00D356ED"/>
    <w:rsid w:val="00D63B2C"/>
    <w:rsid w:val="00DA72A2"/>
    <w:rsid w:val="00DB0137"/>
    <w:rsid w:val="00E86923"/>
    <w:rsid w:val="00EB7D5A"/>
    <w:rsid w:val="00F8288F"/>
    <w:rsid w:val="00FB464E"/>
    <w:rsid w:val="00FB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C64BAA6"/>
  <w15:chartTrackingRefBased/>
  <w15:docId w15:val="{B3AAB96C-0623-4508-A811-CC4A6629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3DD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3DD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643DD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3DD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3DD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7643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7643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7643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7643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7643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3DD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43DD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43DD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643DD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643DD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3DD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3DD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3DD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3DD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43DD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3DD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7643DD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7643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3D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43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3D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7643DD"/>
    <w:rPr>
      <w:noProof w:val="0"/>
    </w:rPr>
  </w:style>
  <w:style w:type="character" w:styleId="Hyperlink">
    <w:name w:val="Hyperlink"/>
    <w:basedOn w:val="DefaultParagraphFont"/>
    <w:uiPriority w:val="99"/>
    <w:unhideWhenUsed/>
    <w:rsid w:val="007643DD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7643DD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7643DD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7643DD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7643DD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7643DD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7643DD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7643DD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7643DD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7643DD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7643DD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7643DD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7643DD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7643DD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7643DD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7643DD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7643DD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7643DD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7643DD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7643DD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643D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7643DD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7643DD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7643DD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7643DD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7643DD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7643DD"/>
    <w:rPr>
      <w:b/>
      <w:bCs/>
      <w:noProof w:val="0"/>
    </w:rPr>
  </w:style>
  <w:style w:type="character" w:customStyle="1" w:styleId="Italics">
    <w:name w:val="Italics"/>
    <w:uiPriority w:val="1"/>
    <w:qFormat/>
    <w:rsid w:val="007643DD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7643DD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B8467-F66D-4F63-BB16-226E89C9FE24}"/>
      </w:docPartPr>
      <w:docPartBody>
        <w:p w:rsidR="00F15470" w:rsidRDefault="00F15470">
          <w:r w:rsidRPr="004C2642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70"/>
    <w:rsid w:val="00874E55"/>
    <w:rsid w:val="00AF7431"/>
    <w:rsid w:val="00BD3517"/>
    <w:rsid w:val="00F15470"/>
    <w:rsid w:val="00FB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373</Words>
  <Characters>1930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21</cp:revision>
  <dcterms:created xsi:type="dcterms:W3CDTF">2025-07-16T10:17:00Z</dcterms:created>
  <dcterms:modified xsi:type="dcterms:W3CDTF">2025-07-16T10:41:00Z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2025-07-16T10:38:22.000Z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Model\20250716 UK IF.xlsx</vt:lpwstr>
  </property>
  <property fmtid="{D5CDD505-2E9C-101B-9397-08002B2CF9AE}" pid="17" name="OEP_PRODUCT_CODE">
    <vt:lpwstr>364Ba48285364B2e9c1f8e</vt:lpwstr>
  </property>
  <property fmtid="{D5CDD505-2E9C-101B-9397-08002B2CF9AE}" pid="18" name="OEP_PUBLISH_DATE">
    <vt:lpwstr/>
  </property>
</Properties>
</file>