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5075" w14:textId="44E3D494" w:rsidR="00D3543B" w:rsidRDefault="00D3543B" w:rsidP="0043785F">
      <w:pPr>
        <w:pStyle w:val="Bullet"/>
      </w:pPr>
      <w:r>
        <w:t>There was a small downside surprise for UK CPI inflation in September, as food price inflation undershot expectations. Part of this was due to greater sales and discounting, which is unlikely to be sustained</w:t>
      </w:r>
      <w:r w:rsidR="00F10276">
        <w:t>, so we don't see today's data as reason to make wholesale changes to our inflation forecast. Therefore, our annual CPI forecast is unchanged at 2.8% in 2026.</w:t>
      </w:r>
    </w:p>
    <w:p w14:paraId="140BB3E5" w14:textId="58686D39" w:rsidR="0043785F" w:rsidRDefault="00F10276" w:rsidP="00F10276">
      <w:pPr>
        <w:pStyle w:val="Bullet"/>
      </w:pPr>
      <w:r>
        <w:t xml:space="preserve">We think inflation </w:t>
      </w:r>
      <w:r w:rsidR="001E7302">
        <w:t xml:space="preserve">is at </w:t>
      </w:r>
      <w:r>
        <w:t>its near-term peak. A smaller rise in October's energy price cap than last year should see the positive contribution from the energy category drop</w:t>
      </w:r>
      <w:r w:rsidR="001E7302">
        <w:t xml:space="preserve"> in next month's release</w:t>
      </w:r>
      <w:r>
        <w:t xml:space="preserve">. But the easing in inflation further out </w:t>
      </w:r>
      <w:r w:rsidR="001E7302">
        <w:t>should</w:t>
      </w:r>
      <w:r>
        <w:t xml:space="preserve"> </w:t>
      </w:r>
      <w:r w:rsidR="001E7302">
        <w:t xml:space="preserve">be </w:t>
      </w:r>
      <w:r>
        <w:t>gradual, as the impact of stronger sterling and weaker wholesale prices slowly feed</w:t>
      </w:r>
      <w:r w:rsidR="00063107">
        <w:t>s</w:t>
      </w:r>
      <w:r>
        <w:t xml:space="preserve"> through to food prices and services </w:t>
      </w:r>
      <w:r w:rsidR="001E7302">
        <w:t>prices</w:t>
      </w:r>
      <w:r>
        <w:t xml:space="preserve"> remain sticky.</w:t>
      </w:r>
    </w:p>
    <w:p w14:paraId="406ACD01" w14:textId="06D38202" w:rsidR="00FF6C23" w:rsidRDefault="0056382F" w:rsidP="0043785F">
      <w:r>
        <w:t xml:space="preserve">CPI inflation </w:t>
      </w:r>
      <w:r w:rsidR="00F37976">
        <w:t xml:space="preserve">was unchanged at 3.8% in September, an outturn that was </w:t>
      </w:r>
      <w:r w:rsidR="00724226">
        <w:t>fractionally</w:t>
      </w:r>
      <w:r w:rsidR="00F37976">
        <w:t xml:space="preserve"> </w:t>
      </w:r>
      <w:r w:rsidR="008C3243">
        <w:t>below</w:t>
      </w:r>
      <w:r w:rsidR="00F37976">
        <w:t xml:space="preserve"> our forecast. </w:t>
      </w:r>
      <w:r w:rsidR="00811B11">
        <w:t xml:space="preserve">Base effects </w:t>
      </w:r>
      <w:r w:rsidR="00FF6C23">
        <w:t>meant</w:t>
      </w:r>
      <w:r w:rsidR="00811B11">
        <w:t xml:space="preserve"> the fuel category weigh</w:t>
      </w:r>
      <w:r w:rsidR="00FF6C23">
        <w:t>ed</w:t>
      </w:r>
      <w:r w:rsidR="00811B11">
        <w:t xml:space="preserve"> on headline inflation less strongly, following a </w:t>
      </w:r>
      <w:r w:rsidR="00FF6C23">
        <w:t>0.2</w:t>
      </w:r>
      <w:r w:rsidR="00811B11">
        <w:t xml:space="preserve">% m/m fall in petrol prices between September and August, compared to a 3.9% fall in the same period last year. But this was offset by a surprisingly </w:t>
      </w:r>
      <w:r w:rsidR="00063107">
        <w:t>weak</w:t>
      </w:r>
      <w:r w:rsidR="00811B11">
        <w:t xml:space="preserve"> outturn for food price</w:t>
      </w:r>
      <w:r w:rsidR="00FF6C23">
        <w:t>s</w:t>
      </w:r>
      <w:r w:rsidR="00811B11">
        <w:t xml:space="preserve">, with the </w:t>
      </w:r>
      <w:r w:rsidR="00FF6C23">
        <w:t>ONS</w:t>
      </w:r>
      <w:r w:rsidR="00811B11">
        <w:t xml:space="preserve"> suggesting this partly reflected greater sales and discounting</w:t>
      </w:r>
      <w:r w:rsidR="00FF6C23">
        <w:t xml:space="preserve"> efforts</w:t>
      </w:r>
      <w:r w:rsidR="00811B11">
        <w:t xml:space="preserve">. </w:t>
      </w:r>
      <w:r w:rsidR="00FF6C23">
        <w:t xml:space="preserve">Elsewhere, there was also </w:t>
      </w:r>
      <w:r w:rsidR="00811B11">
        <w:t>a very modest softening in core inflation</w:t>
      </w:r>
      <w:r w:rsidR="00FF6C23">
        <w:t xml:space="preserve">. </w:t>
      </w:r>
      <w:r w:rsidR="00CE0A6C">
        <w:t xml:space="preserve">RPI </w:t>
      </w:r>
      <w:r w:rsidR="00FF6C23">
        <w:t>inflation edged downwards by 0.1ppt to 4.5%, while RPIX inflation remained at 4.4% in September.</w:t>
      </w:r>
    </w:p>
    <w:p w14:paraId="7EB0C233" w14:textId="4C34E81F" w:rsidR="006B72F2" w:rsidRDefault="00AA4929" w:rsidP="00CE3215">
      <w:r>
        <w:t>We think inflation</w:t>
      </w:r>
      <w:r w:rsidR="00724226">
        <w:t xml:space="preserve"> is at </w:t>
      </w:r>
      <w:r>
        <w:t>its near-term peak</w:t>
      </w:r>
      <w:r w:rsidR="00C20E63">
        <w:t xml:space="preserve">. The positive contribution from the energy category should drop from October, with this year's rise in the energy price cap being much smaller than </w:t>
      </w:r>
      <w:r w:rsidR="00387C56">
        <w:t xml:space="preserve">last year's </w:t>
      </w:r>
      <w:r w:rsidR="00C20E63">
        <w:t xml:space="preserve">increase. </w:t>
      </w:r>
      <w:r w:rsidR="00FF6C23">
        <w:t>T</w:t>
      </w:r>
      <w:r w:rsidR="006B72F2">
        <w:t>he impact of stronger sterling</w:t>
      </w:r>
      <w:r w:rsidR="00063107">
        <w:t xml:space="preserve"> and weaker wholesale price</w:t>
      </w:r>
      <w:r w:rsidR="007A29AD">
        <w:t>s</w:t>
      </w:r>
      <w:r w:rsidR="006B72F2">
        <w:t xml:space="preserve"> should start to weigh on food price inflation</w:t>
      </w:r>
      <w:r w:rsidR="00FF6C23">
        <w:t xml:space="preserve"> </w:t>
      </w:r>
      <w:r w:rsidR="006B72F2">
        <w:t xml:space="preserve">around the turn of the year. But the path to softer services inflation is likely to prove more gradual, </w:t>
      </w:r>
      <w:r w:rsidR="004B4775">
        <w:t>as</w:t>
      </w:r>
      <w:r w:rsidR="006B72F2">
        <w:t xml:space="preserve"> pay growth cool</w:t>
      </w:r>
      <w:r w:rsidR="00063107">
        <w:t>s</w:t>
      </w:r>
      <w:r w:rsidR="006B72F2">
        <w:t xml:space="preserve"> </w:t>
      </w:r>
      <w:r w:rsidR="00387C56">
        <w:t>steadily</w:t>
      </w:r>
      <w:r w:rsidR="006B72F2">
        <w:t xml:space="preserve">, </w:t>
      </w:r>
      <w:r w:rsidR="006B72F2" w:rsidRPr="006B72F2">
        <w:t xml:space="preserve">the impact of firms passing on this year's increase in employers' national insurance contributions </w:t>
      </w:r>
      <w:r w:rsidR="00387C56">
        <w:t>slowly</w:t>
      </w:r>
      <w:r w:rsidR="00063107">
        <w:t xml:space="preserve"> </w:t>
      </w:r>
      <w:r w:rsidR="006B72F2" w:rsidRPr="006B72F2">
        <w:t>fades</w:t>
      </w:r>
      <w:r w:rsidR="004B4775">
        <w:t xml:space="preserve">, and base effects </w:t>
      </w:r>
      <w:r w:rsidR="00387C56">
        <w:t xml:space="preserve">from regulated price changes </w:t>
      </w:r>
      <w:r w:rsidR="001E7302">
        <w:t xml:space="preserve">only </w:t>
      </w:r>
      <w:r w:rsidR="004B4775">
        <w:t>come into play in the spring.</w:t>
      </w:r>
    </w:p>
    <w:p w14:paraId="70462DC4" w14:textId="1A86A85F" w:rsidR="00EB4A0B" w:rsidRDefault="00D3543B" w:rsidP="00CE3215">
      <w:r>
        <w:t xml:space="preserve">Though September's headline reading was slightly lower than expected, this was </w:t>
      </w:r>
      <w:r w:rsidR="008C3243">
        <w:t>partly</w:t>
      </w:r>
      <w:r>
        <w:t xml:space="preserve"> due to the temporary impact of discounting and sales in the food category, and</w:t>
      </w:r>
      <w:r w:rsidRPr="00D3543B">
        <w:t xml:space="preserve"> </w:t>
      </w:r>
      <w:r>
        <w:t xml:space="preserve">there was </w:t>
      </w:r>
      <w:r w:rsidR="00387C56">
        <w:t>little</w:t>
      </w:r>
      <w:r>
        <w:t xml:space="preserve"> movement in the </w:t>
      </w:r>
      <w:r w:rsidR="00387C56">
        <w:t>underlying</w:t>
      </w:r>
      <w:r>
        <w:t xml:space="preserve"> drivers of inflation. So while the lower starting point from today's data has nudged down our near-term projection slightly, our 2026 CPI inflation forecast remains at 2.8%.</w:t>
      </w:r>
    </w:p>
    <w:p w14:paraId="081CCC3C" w14:textId="67756BD7" w:rsidR="0043785F" w:rsidRDefault="0043785F" w:rsidP="00A62492">
      <w:pPr>
        <w:pStyle w:val="ExhibitTitle"/>
        <w:jc w:val="center"/>
      </w:pPr>
      <w:r>
        <w:t xml:space="preserve">Chart </w:t>
      </w:r>
      <w:r>
        <w:fldChar w:fldCharType="begin"/>
      </w:r>
      <w:r w:rsidR="009A2868">
        <w:instrText>SEQ CHART</w:instrText>
      </w:r>
      <w:r>
        <w:fldChar w:fldCharType="separate"/>
      </w:r>
      <w:r w:rsidR="009A2868">
        <w:rPr>
          <w:noProof/>
        </w:rPr>
        <w:t>1</w:t>
      </w:r>
      <w:r>
        <w:fldChar w:fldCharType="end"/>
      </w:r>
      <w:r>
        <w:t xml:space="preserve">: </w:t>
      </w:r>
      <w:r w:rsidR="007446F0">
        <w:t xml:space="preserve">We </w:t>
      </w:r>
      <w:r w:rsidR="00724226">
        <w:t>still forecast CPI inflation to average 2.8% in 2026</w:t>
      </w:r>
    </w:p>
    <w:p w14:paraId="55088C0F" w14:textId="33A111F6" w:rsidR="00A62492" w:rsidRDefault="00A62492" w:rsidP="00A62492">
      <w:pPr>
        <w:spacing w:after="0"/>
        <w:jc w:val="center"/>
        <w:rPr>
          <w:noProof/>
        </w:rPr>
      </w:pPr>
      <w:r>
        <w:rPr>
          <w:noProof/>
        </w:rPr>
        <w:drawing>
          <wp:inline distT="0" distB="0" distL="0" distR="0" wp14:anchorId="453AE315" wp14:editId="1F6E6DE9">
            <wp:extent cx="4006964" cy="3145495"/>
            <wp:effectExtent l="0" t="0" r="0" b="0"/>
            <wp:docPr id="19706327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2727" name=""/>
                    <pic:cNvPicPr/>
                  </pic:nvPicPr>
                  <pic:blipFill>
                    <a:blip r:embed="rId7">
                      <a:extLst>
                        <a:ext uri="{96DAC541-7B7A-43D3-8B79-37D633B846F1}">
                          <asvg:svgBlip xmlns:asvg="http://schemas.microsoft.com/office/drawing/2016/SVG/main" r:embed="rId8"/>
                        </a:ext>
                      </a:extLst>
                    </a:blip>
                    <a:srcRect b="1799"/>
                    <a:stretch>
                      <a:fillRect/>
                    </a:stretch>
                  </pic:blipFill>
                  <pic:spPr>
                    <a:xfrm>
                      <a:off x="0" y="0"/>
                      <a:ext cx="4006964" cy="3145495"/>
                    </a:xfrm>
                    <a:prstGeom prst="rect">
                      <a:avLst/>
                    </a:prstGeom>
                  </pic:spPr>
                </pic:pic>
              </a:graphicData>
            </a:graphic>
          </wp:inline>
        </w:drawing>
      </w:r>
    </w:p>
    <w:p w14:paraId="34435AEB" w14:textId="7408CEE6" w:rsidR="00673B00" w:rsidRDefault="00A62492" w:rsidP="00A62492">
      <w:pPr>
        <w:pStyle w:val="ExhibitSource"/>
        <w:jc w:val="center"/>
      </w:pPr>
      <w:r>
        <w:t>Source: Oxford Economics, Haver Analytics</w:t>
      </w:r>
    </w:p>
    <w:p w14:paraId="6FB8925F" w14:textId="77777777" w:rsidR="009A2868" w:rsidRPr="009A2868" w:rsidRDefault="009A2868" w:rsidP="00D9131C"/>
    <w:sectPr w:rsidR="009A2868" w:rsidRPr="009A2868" w:rsidSect="00A62492">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7B59" w14:textId="77777777" w:rsidR="0043785F" w:rsidRDefault="0043785F" w:rsidP="0043785F">
      <w:pPr>
        <w:spacing w:before="0" w:after="0"/>
      </w:pPr>
      <w:r>
        <w:separator/>
      </w:r>
    </w:p>
  </w:endnote>
  <w:endnote w:type="continuationSeparator" w:id="0">
    <w:p w14:paraId="61C2698A" w14:textId="77777777" w:rsidR="0043785F" w:rsidRDefault="0043785F" w:rsidP="0043785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D62E" w14:textId="77777777" w:rsidR="00590123" w:rsidRDefault="005901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9947" w14:textId="77777777" w:rsidR="00590123" w:rsidRDefault="00590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BD0B" w14:textId="73DDFC68" w:rsidR="0043785F" w:rsidRDefault="0043785F" w:rsidP="0043785F">
    <w:pPr>
      <w:pStyle w:val="Author"/>
    </w:pPr>
    <w:r>
      <w:t>Edward Allenby</w:t>
    </w:r>
    <w:r w:rsidR="00D9131C">
      <w:t xml:space="preserve"> - </w:t>
    </w:r>
    <w:r>
      <w:t>Senior UK Economist</w:t>
    </w:r>
    <w:r w:rsidR="00D9131C">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F781" w14:textId="77777777" w:rsidR="0043785F" w:rsidRDefault="0043785F" w:rsidP="0043785F">
      <w:pPr>
        <w:spacing w:before="0" w:after="0"/>
      </w:pPr>
      <w:r>
        <w:separator/>
      </w:r>
    </w:p>
  </w:footnote>
  <w:footnote w:type="continuationSeparator" w:id="0">
    <w:p w14:paraId="6EED0BEE" w14:textId="77777777" w:rsidR="0043785F" w:rsidRDefault="0043785F" w:rsidP="0043785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9C64" w14:textId="77777777" w:rsidR="0043785F" w:rsidRDefault="0043785F">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7C25" w14:textId="77777777" w:rsidR="0043785F" w:rsidRDefault="0043785F">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82F7" w14:textId="7E5E6866" w:rsidR="0043785F" w:rsidRPr="0043785F" w:rsidRDefault="0043785F" w:rsidP="0043785F">
    <w:pPr>
      <w:rPr>
        <w:sz w:val="4"/>
      </w:rPr>
    </w:pPr>
    <w:r w:rsidRPr="0043785F">
      <w:rPr>
        <w:noProof/>
        <w:sz w:val="4"/>
      </w:rPr>
      <w:drawing>
        <wp:anchor distT="0" distB="0" distL="114300" distR="114300" simplePos="0" relativeHeight="251658239" behindDoc="1" locked="1" layoutInCell="1" allowOverlap="1" wp14:anchorId="06D7FAB5" wp14:editId="795477A1">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43785F">
      <w:rPr>
        <w:noProof/>
        <w:sz w:val="4"/>
      </w:rPr>
      <w:drawing>
        <wp:anchor distT="0" distB="0" distL="114300" distR="114300" simplePos="0" relativeHeight="251659264" behindDoc="1" locked="1" layoutInCell="1" allowOverlap="1" wp14:anchorId="07C21E75" wp14:editId="123B0C95">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835463727"/>
      <w:lock w:val="sdtLocked"/>
      <w:placeholder>
        <w:docPart w:val="DefaultPlaceholder_-1854013437"/>
      </w:placeholder>
      <w:date w:fullDate="2025-10-22T00:00:00Z">
        <w:dateFormat w:val="d MMMM yyyy"/>
        <w:lid w:val="en-GB"/>
        <w:storeMappedDataAs w:val="dateTime"/>
        <w:calendar w:val="gregorian"/>
      </w:date>
    </w:sdtPr>
    <w:sdtEndPr/>
    <w:sdtContent>
      <w:p w14:paraId="3039512E" w14:textId="1FF8224F" w:rsidR="0043785F" w:rsidRPr="0043785F" w:rsidRDefault="00AC25B2" w:rsidP="0043785F">
        <w:pPr>
          <w:pStyle w:val="PublishDate"/>
          <w:framePr w:w="2835" w:h="340" w:hRule="exact" w:hSpace="180" w:wrap="around" w:vAnchor="page" w:hAnchor="page" w:x="7801" w:y="601" w:anchorLock="1"/>
        </w:pPr>
        <w:r>
          <w:t>22</w:t>
        </w:r>
        <w:r w:rsidR="0043785F">
          <w:t xml:space="preserve"> October 2025</w:t>
        </w:r>
      </w:p>
    </w:sdtContent>
  </w:sdt>
  <w:p w14:paraId="628C011A" w14:textId="3E80B1C0" w:rsidR="0043785F" w:rsidRDefault="00AC25B2" w:rsidP="0043785F">
    <w:pPr>
      <w:pStyle w:val="ProductDescription"/>
      <w:framePr w:w="11339" w:h="1474" w:hRule="exact" w:hSpace="180" w:wrap="around" w:vAnchor="page" w:hAnchor="page" w:x="401" w:y="1141" w:anchorLock="1"/>
      <w:spacing w:after="200"/>
    </w:pPr>
    <w:r>
      <w:t>Monthly inflation forecast</w:t>
    </w:r>
    <w:r w:rsidR="0043785F">
      <w:t xml:space="preserve"> | </w:t>
    </w:r>
    <w:r>
      <w:t>UK</w:t>
    </w:r>
  </w:p>
  <w:p w14:paraId="612BF715" w14:textId="7FED49AC" w:rsidR="0043785F" w:rsidRDefault="00724226" w:rsidP="0043785F">
    <w:pPr>
      <w:pStyle w:val="Headline"/>
      <w:framePr w:w="11339" w:h="1474" w:hRule="exact" w:hSpace="180" w:wrap="around" w:vAnchor="page" w:hAnchor="page" w:x="401" w:y="1141" w:anchorLock="1"/>
      <w:spacing w:line="200" w:lineRule="auto"/>
    </w:pPr>
    <w:r>
      <w:t>September's downside surprise does little to alter 2026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5F"/>
    <w:rsid w:val="00000FF6"/>
    <w:rsid w:val="00052ECA"/>
    <w:rsid w:val="00063107"/>
    <w:rsid w:val="001E7302"/>
    <w:rsid w:val="00235C14"/>
    <w:rsid w:val="002B22A2"/>
    <w:rsid w:val="002B5624"/>
    <w:rsid w:val="002E6BE5"/>
    <w:rsid w:val="00387C56"/>
    <w:rsid w:val="003B3455"/>
    <w:rsid w:val="003F583D"/>
    <w:rsid w:val="0043785F"/>
    <w:rsid w:val="004B4775"/>
    <w:rsid w:val="0055668B"/>
    <w:rsid w:val="0056382F"/>
    <w:rsid w:val="00590123"/>
    <w:rsid w:val="005B19B4"/>
    <w:rsid w:val="00604DE0"/>
    <w:rsid w:val="00650EAE"/>
    <w:rsid w:val="00673B00"/>
    <w:rsid w:val="00676B9B"/>
    <w:rsid w:val="006A051C"/>
    <w:rsid w:val="006B72F2"/>
    <w:rsid w:val="006E6F03"/>
    <w:rsid w:val="00724226"/>
    <w:rsid w:val="007446F0"/>
    <w:rsid w:val="007A29AD"/>
    <w:rsid w:val="00811B11"/>
    <w:rsid w:val="0088419A"/>
    <w:rsid w:val="008C3243"/>
    <w:rsid w:val="00901EE3"/>
    <w:rsid w:val="009A2868"/>
    <w:rsid w:val="00A62492"/>
    <w:rsid w:val="00A82EF9"/>
    <w:rsid w:val="00A835BA"/>
    <w:rsid w:val="00AA4929"/>
    <w:rsid w:val="00AC25B2"/>
    <w:rsid w:val="00AF4C11"/>
    <w:rsid w:val="00C0642A"/>
    <w:rsid w:val="00C174C2"/>
    <w:rsid w:val="00C20E63"/>
    <w:rsid w:val="00CE0A6C"/>
    <w:rsid w:val="00CE3215"/>
    <w:rsid w:val="00D3543B"/>
    <w:rsid w:val="00D9131C"/>
    <w:rsid w:val="00DA0566"/>
    <w:rsid w:val="00E208FD"/>
    <w:rsid w:val="00E631C2"/>
    <w:rsid w:val="00EB4A0B"/>
    <w:rsid w:val="00EE28B9"/>
    <w:rsid w:val="00F10276"/>
    <w:rsid w:val="00F37976"/>
    <w:rsid w:val="00FF6C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1000407"/>
  <w15:chartTrackingRefBased/>
  <w15:docId w15:val="{0C73BCEE-40DD-4330-805E-CCDA1FA3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85F"/>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3785F"/>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3785F"/>
    <w:pPr>
      <w:outlineLvl w:val="1"/>
    </w:pPr>
    <w:rPr>
      <w:sz w:val="28"/>
    </w:rPr>
  </w:style>
  <w:style w:type="paragraph" w:styleId="Heading3">
    <w:name w:val="heading 3"/>
    <w:basedOn w:val="Normal"/>
    <w:next w:val="Normal"/>
    <w:link w:val="Heading3Char"/>
    <w:uiPriority w:val="9"/>
    <w:unhideWhenUsed/>
    <w:qFormat/>
    <w:rsid w:val="0043785F"/>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3785F"/>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3785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43785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43785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43785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3785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85F"/>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3785F"/>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3785F"/>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3785F"/>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3785F"/>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43785F"/>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43785F"/>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43785F"/>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3785F"/>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43785F"/>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3785F"/>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43785F"/>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43785F"/>
    <w:pPr>
      <w:tabs>
        <w:tab w:val="center" w:pos="4320"/>
        <w:tab w:val="right" w:pos="8640"/>
      </w:tabs>
    </w:pPr>
  </w:style>
  <w:style w:type="character" w:customStyle="1" w:styleId="HeaderChar">
    <w:name w:val="Header Char"/>
    <w:basedOn w:val="DefaultParagraphFont"/>
    <w:link w:val="Header"/>
    <w:uiPriority w:val="99"/>
    <w:rsid w:val="0043785F"/>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3785F"/>
    <w:pPr>
      <w:tabs>
        <w:tab w:val="center" w:pos="4320"/>
        <w:tab w:val="right" w:pos="8640"/>
      </w:tabs>
    </w:pPr>
  </w:style>
  <w:style w:type="character" w:customStyle="1" w:styleId="FooterChar">
    <w:name w:val="Footer Char"/>
    <w:basedOn w:val="DefaultParagraphFont"/>
    <w:link w:val="Footer"/>
    <w:uiPriority w:val="99"/>
    <w:rsid w:val="0043785F"/>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43785F"/>
    <w:rPr>
      <w:noProof w:val="0"/>
    </w:rPr>
  </w:style>
  <w:style w:type="character" w:styleId="Hyperlink">
    <w:name w:val="Hyperlink"/>
    <w:basedOn w:val="DefaultParagraphFont"/>
    <w:uiPriority w:val="99"/>
    <w:unhideWhenUsed/>
    <w:rsid w:val="0043785F"/>
    <w:rPr>
      <w:noProof w:val="0"/>
      <w:color w:val="467886" w:themeColor="hyperlink"/>
      <w:u w:val="single"/>
    </w:rPr>
  </w:style>
  <w:style w:type="paragraph" w:styleId="Revision">
    <w:name w:val="Revision"/>
    <w:hidden/>
    <w:uiPriority w:val="99"/>
    <w:semiHidden/>
    <w:rsid w:val="0043785F"/>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3785F"/>
    <w:pPr>
      <w:spacing w:after="120"/>
    </w:pPr>
    <w:rPr>
      <w:b/>
      <w:bCs/>
      <w:color w:val="FFFFFF"/>
      <w:sz w:val="32"/>
      <w:szCs w:val="32"/>
    </w:rPr>
  </w:style>
  <w:style w:type="paragraph" w:customStyle="1" w:styleId="Headline">
    <w:name w:val="Headline"/>
    <w:basedOn w:val="Normal"/>
    <w:next w:val="Normal"/>
    <w:link w:val="HeadlineChar"/>
    <w:qFormat/>
    <w:rsid w:val="0043785F"/>
    <w:rPr>
      <w:rFonts w:ascii="Segoe UI Semilight" w:hAnsi="Segoe UI Semilight" w:cs="Segoe UI Semilight"/>
      <w:b/>
      <w:bCs/>
      <w:color w:val="FFFFFF"/>
      <w:sz w:val="40"/>
      <w:szCs w:val="40"/>
    </w:rPr>
  </w:style>
  <w:style w:type="paragraph" w:customStyle="1" w:styleId="ExhibitTitle">
    <w:name w:val="Exhibit Title"/>
    <w:basedOn w:val="Normal"/>
    <w:qFormat/>
    <w:rsid w:val="0043785F"/>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3785F"/>
    <w:pPr>
      <w:shd w:val="clear" w:color="auto" w:fill="D6E2FA"/>
      <w:spacing w:after="0"/>
    </w:pPr>
    <w:rPr>
      <w:color w:val="595959" w:themeColor="text1" w:themeTint="A6"/>
      <w:sz w:val="18"/>
    </w:rPr>
  </w:style>
  <w:style w:type="paragraph" w:customStyle="1" w:styleId="ExhibitSource">
    <w:name w:val="Exhibit Source"/>
    <w:next w:val="Normal"/>
    <w:qFormat/>
    <w:rsid w:val="0043785F"/>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43785F"/>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43785F"/>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3785F"/>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43785F"/>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3785F"/>
    <w:rPr>
      <w:rFonts w:ascii="Segoe UI" w:hAnsi="Segoe UI" w:cs="Segoe UI"/>
      <w:noProof w:val="0"/>
      <w:color w:val="000000" w:themeColor="text1"/>
    </w:rPr>
  </w:style>
  <w:style w:type="paragraph" w:customStyle="1" w:styleId="Summary">
    <w:name w:val="Summary"/>
    <w:basedOn w:val="Normal"/>
    <w:link w:val="SummaryChar"/>
    <w:qFormat/>
    <w:rsid w:val="0043785F"/>
    <w:pPr>
      <w:numPr>
        <w:numId w:val="1"/>
      </w:numPr>
      <w:ind w:left="1797" w:hanging="357"/>
    </w:pPr>
    <w:rPr>
      <w:kern w:val="2"/>
      <w:sz w:val="22"/>
      <w14:ligatures w14:val="standardContextual"/>
    </w:rPr>
  </w:style>
  <w:style w:type="paragraph" w:customStyle="1" w:styleId="TableData">
    <w:name w:val="Table Data"/>
    <w:link w:val="TableDataChar"/>
    <w:qFormat/>
    <w:rsid w:val="0043785F"/>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3785F"/>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3785F"/>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43785F"/>
    <w:pPr>
      <w:spacing w:before="0" w:after="0"/>
      <w:jc w:val="right"/>
    </w:pPr>
    <w:rPr>
      <w:color w:val="003469"/>
      <w:sz w:val="24"/>
      <w:szCs w:val="24"/>
    </w:rPr>
  </w:style>
  <w:style w:type="paragraph" w:customStyle="1" w:styleId="Author">
    <w:name w:val="Author"/>
    <w:basedOn w:val="Bullet"/>
    <w:link w:val="AuthorChar"/>
    <w:qFormat/>
    <w:rsid w:val="0043785F"/>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43785F"/>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43785F"/>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3785F"/>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3785F"/>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3785F"/>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3785F"/>
    <w:rPr>
      <w:color w:val="003469"/>
    </w:rPr>
  </w:style>
  <w:style w:type="character" w:customStyle="1" w:styleId="RepeatingFooterChar">
    <w:name w:val="Repeating Footer Char"/>
    <w:basedOn w:val="FooterChar"/>
    <w:link w:val="RepeatingFooter"/>
    <w:rsid w:val="0043785F"/>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3785F"/>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3785F"/>
    <w:rPr>
      <w:b/>
      <w:bCs/>
      <w:noProof w:val="0"/>
    </w:rPr>
  </w:style>
  <w:style w:type="character" w:customStyle="1" w:styleId="Italics">
    <w:name w:val="Italics"/>
    <w:uiPriority w:val="1"/>
    <w:qFormat/>
    <w:rsid w:val="0043785F"/>
    <w:rPr>
      <w:i/>
      <w:iCs/>
      <w:noProof w:val="0"/>
    </w:rPr>
  </w:style>
  <w:style w:type="table" w:customStyle="1" w:styleId="TableGridHeader">
    <w:name w:val="Table Grid Header"/>
    <w:basedOn w:val="TableNormal"/>
    <w:uiPriority w:val="99"/>
    <w:rsid w:val="0043785F"/>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AF66BAAB-B12E-4322-808E-19DCE6842030}"/>
      </w:docPartPr>
      <w:docPartBody>
        <w:p w:rsidR="00BD5B83" w:rsidRDefault="00BD5B83">
          <w:r w:rsidRPr="000B5B2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83"/>
    <w:rsid w:val="002B22A2"/>
    <w:rsid w:val="00604DE0"/>
    <w:rsid w:val="006A051C"/>
    <w:rsid w:val="00BD5B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Pages>
  <Words>414</Words>
  <Characters>2130</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38</cp:revision>
  <dcterms:created xsi:type="dcterms:W3CDTF">2025-10-19T14:32:00Z</dcterms:created>
  <dcterms:modified xsi:type="dcterms:W3CDTF">2025-10-22T09:59:00Z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2025-10-22T09:54:13.000Z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vt:lpwstr>
  </property>
  <property fmtid="{D5CDD505-2E9C-101B-9397-08002B2CF9AE}" pid="16" name="OEP_KEY_THEMES">
    <vt:lpwstr>inflation,forecast</vt:lpwstr>
  </property>
  <property fmtid="{D5CDD505-2E9C-101B-9397-08002B2CF9AE}" pid="17" name="OEP_DATA_FILEPATH">
    <vt:lpwstr>Z:\UK Team\Inflation Model\20251022 UK IF.xlsx</vt:lpwstr>
  </property>
  <property fmtid="{D5CDD505-2E9C-101B-9397-08002B2CF9AE}" pid="18" name="OEP_PRODUCT_CODE">
    <vt:lpwstr>74f283801EC64D55a86b12</vt:lpwstr>
  </property>
  <property fmtid="{D5CDD505-2E9C-101B-9397-08002B2CF9AE}" pid="19" name="OEP_PUBLISH_DATE">
    <vt:lpwstr/>
  </property>
</Properties>
</file>