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D4E1" w14:textId="492D0125" w:rsidR="00C44A9A" w:rsidRDefault="00907D38" w:rsidP="00C44A9A">
      <w:pPr>
        <w:pStyle w:val="Bullet"/>
      </w:pPr>
      <w:r>
        <w:t xml:space="preserve">The drop in UK CPI inflation in October </w:t>
      </w:r>
      <w:r w:rsidR="00AD240B">
        <w:t xml:space="preserve">primarily </w:t>
      </w:r>
      <w:r>
        <w:t>reflected a smaller rise in Ofgem's energy price cap than</w:t>
      </w:r>
      <w:r w:rsidR="00866165">
        <w:t xml:space="preserve"> was</w:t>
      </w:r>
      <w:r>
        <w:t xml:space="preserve"> seen last year. </w:t>
      </w:r>
      <w:r w:rsidR="00996812">
        <w:t>As a result, our inflation forecast is largely unchanged. We expect CPI inflation to average 2.8% in 2026 and 2.5% in 2027.</w:t>
      </w:r>
    </w:p>
    <w:p w14:paraId="70AC092A" w14:textId="6AC83EC7" w:rsidR="00C44A9A" w:rsidRDefault="00996812" w:rsidP="00996812">
      <w:pPr>
        <w:pStyle w:val="Bullet"/>
      </w:pPr>
      <w:r w:rsidRPr="00996812">
        <w:t>We think inflation is likely to remain at similar levels over the final months of this year</w:t>
      </w:r>
      <w:r>
        <w:t>. But we expect to see a gradual cooling in price pressures next year as the energy category starts to weigh on the headline rate, food price inflation eases, and services inflation falls steadily due to weaker pay growth and base effects from this year's increase in national insurance contributions.</w:t>
      </w:r>
    </w:p>
    <w:p w14:paraId="00BE6F90" w14:textId="31DD61E9" w:rsidR="003F63CA" w:rsidRDefault="00581ED6" w:rsidP="00873395">
      <w:r>
        <w:t>CPI inflation slowed to 3.</w:t>
      </w:r>
      <w:r w:rsidR="00BC142A">
        <w:t>6</w:t>
      </w:r>
      <w:r>
        <w:t xml:space="preserve">% in October from 3.8% in September. A smaller contribution from the energy category was the main reason for October's softer outturn, with the month's 2% rise in Ofgem's energy price cap much smaller than the increase seen last year. </w:t>
      </w:r>
      <w:r w:rsidR="00BC142A">
        <w:t xml:space="preserve">Services inflation also softened, though this was largely due to movements in </w:t>
      </w:r>
      <w:r w:rsidR="006A4A7F">
        <w:t>volatile</w:t>
      </w:r>
      <w:r w:rsidR="00BC142A">
        <w:t xml:space="preserve"> categories. </w:t>
      </w:r>
      <w:r w:rsidR="006A4A7F">
        <w:t xml:space="preserve">These downward forces were more than enough to offset </w:t>
      </w:r>
      <w:r w:rsidR="00DE4B9D">
        <w:t>higher</w:t>
      </w:r>
      <w:r w:rsidR="006A4A7F">
        <w:t xml:space="preserve"> food </w:t>
      </w:r>
      <w:r w:rsidR="00DE4B9D">
        <w:t xml:space="preserve">and fuel </w:t>
      </w:r>
      <w:r w:rsidR="006A4A7F">
        <w:t>price</w:t>
      </w:r>
      <w:r w:rsidR="001376E4">
        <w:t>s</w:t>
      </w:r>
      <w:r w:rsidR="006A4A7F">
        <w:t xml:space="preserve">. </w:t>
      </w:r>
      <w:r w:rsidR="00712878">
        <w:t>Elsewhere</w:t>
      </w:r>
      <w:r w:rsidR="006A4A7F">
        <w:t xml:space="preserve">, </w:t>
      </w:r>
      <w:r>
        <w:t>RPI and RPIX inflation fell by 0.</w:t>
      </w:r>
      <w:r w:rsidR="00BC142A">
        <w:t>2</w:t>
      </w:r>
      <w:r>
        <w:t xml:space="preserve">ppts to sit at </w:t>
      </w:r>
      <w:r w:rsidR="006A4A7F">
        <w:t>4.3%</w:t>
      </w:r>
      <w:r>
        <w:t xml:space="preserve"> and </w:t>
      </w:r>
      <w:r w:rsidR="006A4A7F">
        <w:t>4.2%</w:t>
      </w:r>
      <w:r>
        <w:t xml:space="preserve"> in October.</w:t>
      </w:r>
    </w:p>
    <w:p w14:paraId="6982455A" w14:textId="0F2BBC9F" w:rsidR="00907D38" w:rsidRDefault="00907D38" w:rsidP="00873395">
      <w:r>
        <w:t xml:space="preserve">Looking ahead, inflation is likely to remain at similar levels over the final months of this year, but several factors should pull the headline rate down through </w:t>
      </w:r>
      <w:r w:rsidR="006A4A7F">
        <w:t>next year</w:t>
      </w:r>
      <w:r>
        <w:t xml:space="preserve">. </w:t>
      </w:r>
      <w:r w:rsidR="006A4A7F">
        <w:t xml:space="preserve">Base effects should mean that the energy category starts to </w:t>
      </w:r>
      <w:r w:rsidR="00712878">
        <w:t>drag</w:t>
      </w:r>
      <w:r w:rsidR="006A4A7F">
        <w:t xml:space="preserve"> on inflation in H1 2026. </w:t>
      </w:r>
      <w:r w:rsidR="00712878">
        <w:t xml:space="preserve">We think food price inflation has probably passed its peak, with the impact of weaker food commodity prices and stronger sterling set to weigh on the category next year. </w:t>
      </w:r>
      <w:r w:rsidR="001376E4">
        <w:t>S</w:t>
      </w:r>
      <w:r w:rsidR="00E45CD2">
        <w:t xml:space="preserve">ervices inflation is expected to ease </w:t>
      </w:r>
      <w:r w:rsidR="001376E4">
        <w:t>steadily</w:t>
      </w:r>
      <w:r w:rsidR="00E45CD2">
        <w:t xml:space="preserve"> </w:t>
      </w:r>
      <w:r w:rsidR="001376E4">
        <w:t>due to cooling</w:t>
      </w:r>
      <w:r w:rsidR="00E45CD2">
        <w:t xml:space="preserve"> pay growth </w:t>
      </w:r>
      <w:r w:rsidR="001376E4">
        <w:t xml:space="preserve">and </w:t>
      </w:r>
      <w:r w:rsidR="00E45CD2">
        <w:t>strong base effects caused by this year's increase in national insurance contributions.</w:t>
      </w:r>
    </w:p>
    <w:p w14:paraId="4AC5ADD4" w14:textId="59A7999B" w:rsidR="00E47B6C" w:rsidRDefault="00907D38" w:rsidP="00873395">
      <w:r>
        <w:t xml:space="preserve">Our forecast is </w:t>
      </w:r>
      <w:r w:rsidR="00E45CD2">
        <w:t>largely</w:t>
      </w:r>
      <w:r>
        <w:t xml:space="preserve"> </w:t>
      </w:r>
      <w:r w:rsidR="00E45CD2">
        <w:t>un</w:t>
      </w:r>
      <w:r>
        <w:t>change</w:t>
      </w:r>
      <w:r w:rsidR="00E45CD2">
        <w:t>d</w:t>
      </w:r>
      <w:r>
        <w:t xml:space="preserve"> compared with last month</w:t>
      </w:r>
      <w:r w:rsidR="00E45CD2">
        <w:t xml:space="preserve">, with CPI inflation forecast to average 2.8% in 2026 and 2.5% in 2027. The upcoming Budget on November 26 means there is </w:t>
      </w:r>
      <w:r w:rsidR="001376E4">
        <w:t>an elevated</w:t>
      </w:r>
      <w:r w:rsidR="00E45CD2">
        <w:t xml:space="preserve"> </w:t>
      </w:r>
      <w:r w:rsidR="001376E4">
        <w:t>degree</w:t>
      </w:r>
      <w:r w:rsidR="00E45CD2">
        <w:t xml:space="preserve"> of uncertainty surrounding </w:t>
      </w:r>
      <w:r w:rsidR="00C20602">
        <w:t xml:space="preserve">the </w:t>
      </w:r>
      <w:r w:rsidR="00E45CD2">
        <w:t>outlook</w:t>
      </w:r>
      <w:r w:rsidR="001376E4">
        <w:t xml:space="preserve">. </w:t>
      </w:r>
      <w:r w:rsidR="00A1373B">
        <w:t xml:space="preserve">Pre-Budget media speculation has included </w:t>
      </w:r>
      <w:r w:rsidR="001376E4">
        <w:t xml:space="preserve">measures </w:t>
      </w:r>
      <w:r w:rsidR="00A435C6">
        <w:t xml:space="preserve">that could have a direct impact on </w:t>
      </w:r>
      <w:r w:rsidR="001376E4">
        <w:t>inflation</w:t>
      </w:r>
      <w:r w:rsidR="00A435C6">
        <w:t xml:space="preserve">, </w:t>
      </w:r>
      <w:r w:rsidR="001376E4">
        <w:t xml:space="preserve">such as </w:t>
      </w:r>
      <w:r w:rsidR="00A435C6">
        <w:t xml:space="preserve">changing the </w:t>
      </w:r>
      <w:r w:rsidR="001376E4">
        <w:t>VAT</w:t>
      </w:r>
      <w:r w:rsidR="00041420">
        <w:t xml:space="preserve"> rate</w:t>
      </w:r>
      <w:r w:rsidR="001376E4">
        <w:t xml:space="preserve"> </w:t>
      </w:r>
      <w:r w:rsidR="00041420">
        <w:t xml:space="preserve">charged </w:t>
      </w:r>
      <w:r w:rsidR="001376E4">
        <w:t>on household energy bills</w:t>
      </w:r>
      <w:r w:rsidR="00A435C6">
        <w:t>. We will reflect any Budget-related changes in next month's update</w:t>
      </w:r>
      <w:r w:rsidR="001376E4">
        <w:t>.</w:t>
      </w:r>
    </w:p>
    <w:p w14:paraId="4B17625E" w14:textId="0F6D6A5A" w:rsidR="00C44A9A" w:rsidRDefault="00C44A9A" w:rsidP="00E47B6C">
      <w:pPr>
        <w:pStyle w:val="ExhibitTitle"/>
        <w:jc w:val="center"/>
      </w:pPr>
      <w:r>
        <w:t xml:space="preserve">Chart </w:t>
      </w:r>
      <w:r>
        <w:fldChar w:fldCharType="begin"/>
      </w:r>
      <w:r w:rsidR="00E47B6C">
        <w:instrText>SEQ CHART</w:instrText>
      </w:r>
      <w:r>
        <w:fldChar w:fldCharType="separate"/>
      </w:r>
      <w:r w:rsidR="00E47B6C">
        <w:rPr>
          <w:noProof/>
        </w:rPr>
        <w:t>1</w:t>
      </w:r>
      <w:r>
        <w:fldChar w:fldCharType="end"/>
      </w:r>
      <w:r>
        <w:t xml:space="preserve">: </w:t>
      </w:r>
      <w:r w:rsidR="00872CE7">
        <w:t>Inflation is forecast to average 2.8% in 2026 and 2.5% in 2027</w:t>
      </w:r>
    </w:p>
    <w:p w14:paraId="052507AC" w14:textId="49BDA7C0" w:rsidR="00E47B6C" w:rsidRDefault="00E47B6C" w:rsidP="00E47B6C">
      <w:pPr>
        <w:spacing w:after="0"/>
        <w:jc w:val="center"/>
        <w:rPr>
          <w:noProof/>
        </w:rPr>
      </w:pPr>
      <w:r>
        <w:rPr>
          <w:noProof/>
        </w:rPr>
        <w:drawing>
          <wp:inline distT="0" distB="0" distL="0" distR="0" wp14:anchorId="0BD95708" wp14:editId="6E171AE7">
            <wp:extent cx="4006964" cy="3145495"/>
            <wp:effectExtent l="0" t="0" r="0" b="0"/>
            <wp:docPr id="432856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56998" name=""/>
                    <pic:cNvPicPr/>
                  </pic:nvPicPr>
                  <pic:blipFill>
                    <a:blip r:embed="rId7">
                      <a:extLst>
                        <a:ext uri="{96DAC541-7B7A-43D3-8B79-37D633B846F1}">
                          <asvg:svgBlip xmlns:asvg="http://schemas.microsoft.com/office/drawing/2016/SVG/main" r:embed="rId8"/>
                        </a:ext>
                      </a:extLst>
                    </a:blip>
                    <a:srcRect b="1799"/>
                    <a:stretch>
                      <a:fillRect/>
                    </a:stretch>
                  </pic:blipFill>
                  <pic:spPr>
                    <a:xfrm>
                      <a:off x="0" y="0"/>
                      <a:ext cx="4006964" cy="3145495"/>
                    </a:xfrm>
                    <a:prstGeom prst="rect">
                      <a:avLst/>
                    </a:prstGeom>
                  </pic:spPr>
                </pic:pic>
              </a:graphicData>
            </a:graphic>
          </wp:inline>
        </w:drawing>
      </w:r>
    </w:p>
    <w:p w14:paraId="01960996" w14:textId="1A2A0990" w:rsidR="004C7CB8" w:rsidRDefault="00E47B6C" w:rsidP="00200EB5">
      <w:pPr>
        <w:pStyle w:val="ExhibitSource"/>
        <w:jc w:val="center"/>
      </w:pPr>
      <w:r>
        <w:t>Source: Oxford Economics, Haver Analytics</w:t>
      </w:r>
    </w:p>
    <w:p w14:paraId="173DCB11" w14:textId="77777777" w:rsidR="0047413D" w:rsidRPr="0047413D" w:rsidRDefault="0047413D" w:rsidP="003B582A"/>
    <w:sectPr w:rsidR="0047413D" w:rsidRPr="0047413D" w:rsidSect="00E47B6C">
      <w:headerReference w:type="even" r:id="rId9"/>
      <w:headerReference w:type="default" r:id="rId10"/>
      <w:footerReference w:type="even" r:id="rId11"/>
      <w:footerReference w:type="default" r:id="rId12"/>
      <w:headerReference w:type="first" r:id="rId13"/>
      <w:footerReference w:type="first" r:id="rId14"/>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EF70C" w14:textId="77777777" w:rsidR="00B5656F" w:rsidRDefault="00B5656F" w:rsidP="00C44A9A">
      <w:pPr>
        <w:spacing w:before="0" w:after="0"/>
      </w:pPr>
      <w:r>
        <w:separator/>
      </w:r>
    </w:p>
  </w:endnote>
  <w:endnote w:type="continuationSeparator" w:id="0">
    <w:p w14:paraId="5FAF982F" w14:textId="77777777" w:rsidR="00B5656F" w:rsidRDefault="00B5656F" w:rsidP="00C44A9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2A9E" w14:textId="77777777" w:rsidR="00C80D58" w:rsidRDefault="00C80D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6056" w14:textId="77777777" w:rsidR="00C80D58" w:rsidRDefault="00C80D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75AB" w14:textId="47226707" w:rsidR="00C44A9A" w:rsidRDefault="00C44A9A" w:rsidP="00C44A9A">
    <w:pPr>
      <w:pStyle w:val="Author"/>
    </w:pPr>
    <w:r>
      <w:t>Edward Allenby</w:t>
    </w:r>
    <w:r w:rsidR="003B582A">
      <w:t xml:space="preserve"> - </w:t>
    </w:r>
    <w:r>
      <w:t>Senior UK Economist</w:t>
    </w:r>
    <w:r w:rsidR="003B582A">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63A85" w14:textId="77777777" w:rsidR="00B5656F" w:rsidRDefault="00B5656F" w:rsidP="00C44A9A">
      <w:pPr>
        <w:spacing w:before="0" w:after="0"/>
      </w:pPr>
      <w:r>
        <w:separator/>
      </w:r>
    </w:p>
  </w:footnote>
  <w:footnote w:type="continuationSeparator" w:id="0">
    <w:p w14:paraId="0AC35B4C" w14:textId="77777777" w:rsidR="00B5656F" w:rsidRDefault="00B5656F" w:rsidP="00C44A9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3CF1" w14:textId="77777777" w:rsidR="00C44A9A" w:rsidRDefault="00C44A9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8A4E" w14:textId="77777777" w:rsidR="00C44A9A" w:rsidRDefault="00C44A9A">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041E" w14:textId="3B550004" w:rsidR="00C44A9A" w:rsidRPr="00C44A9A" w:rsidRDefault="00C44A9A" w:rsidP="00C44A9A">
    <w:pPr>
      <w:rPr>
        <w:sz w:val="4"/>
      </w:rPr>
    </w:pPr>
    <w:r w:rsidRPr="00C44A9A">
      <w:rPr>
        <w:noProof/>
        <w:sz w:val="4"/>
      </w:rPr>
      <w:drawing>
        <wp:anchor distT="0" distB="0" distL="114300" distR="114300" simplePos="0" relativeHeight="251658239" behindDoc="1" locked="1" layoutInCell="1" allowOverlap="1" wp14:anchorId="46EE6D26" wp14:editId="092CAD44">
          <wp:simplePos x="0" y="0"/>
          <wp:positionH relativeFrom="page">
            <wp:posOffset>107950</wp:posOffset>
          </wp:positionH>
          <wp:positionV relativeFrom="page">
            <wp:posOffset>158750</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C44A9A">
      <w:rPr>
        <w:noProof/>
        <w:sz w:val="4"/>
      </w:rPr>
      <w:drawing>
        <wp:anchor distT="0" distB="0" distL="114300" distR="114300" simplePos="0" relativeHeight="251659264" behindDoc="1" locked="1" layoutInCell="1" allowOverlap="1" wp14:anchorId="23DEC4FD" wp14:editId="07FACB46">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652761904"/>
      <w:lock w:val="sdtLocked"/>
      <w:placeholder>
        <w:docPart w:val="DefaultPlaceholder_-1854013437"/>
      </w:placeholder>
      <w:date w:fullDate="2025-11-19T00:00:00Z">
        <w:dateFormat w:val="d MMMM yyyy"/>
        <w:lid w:val="en-GB"/>
        <w:storeMappedDataAs w:val="dateTime"/>
        <w:calendar w:val="gregorian"/>
      </w:date>
    </w:sdtPr>
    <w:sdtEndPr/>
    <w:sdtContent>
      <w:p w14:paraId="0A8C2D09" w14:textId="13CF0FEF" w:rsidR="00C44A9A" w:rsidRPr="00C44A9A" w:rsidRDefault="00C44A9A" w:rsidP="00C44A9A">
        <w:pPr>
          <w:pStyle w:val="PublishDate"/>
          <w:framePr w:w="2835" w:h="340" w:hRule="exact" w:hSpace="180" w:wrap="around" w:vAnchor="page" w:hAnchor="page" w:x="7801" w:y="601" w:anchorLock="1"/>
        </w:pPr>
        <w:r>
          <w:t>1</w:t>
        </w:r>
        <w:r w:rsidR="00873395">
          <w:t>9</w:t>
        </w:r>
        <w:r>
          <w:t xml:space="preserve"> November 2025</w:t>
        </w:r>
      </w:p>
    </w:sdtContent>
  </w:sdt>
  <w:p w14:paraId="45EE8284" w14:textId="132C2907" w:rsidR="00C44A9A" w:rsidRDefault="00873395" w:rsidP="00C44A9A">
    <w:pPr>
      <w:pStyle w:val="ProductDescription"/>
      <w:framePr w:w="11339" w:h="1474" w:hRule="exact" w:hSpace="180" w:wrap="around" w:vAnchor="page" w:hAnchor="page" w:x="401" w:y="1141" w:anchorLock="1"/>
      <w:spacing w:after="200"/>
    </w:pPr>
    <w:r>
      <w:t>Monthly inflation forecast</w:t>
    </w:r>
    <w:r w:rsidR="00C44A9A">
      <w:t xml:space="preserve"> | </w:t>
    </w:r>
    <w:r>
      <w:t>UK</w:t>
    </w:r>
  </w:p>
  <w:p w14:paraId="1DFD5D5F" w14:textId="6C0990D1" w:rsidR="00C44A9A" w:rsidRDefault="00D754CB" w:rsidP="00C44A9A">
    <w:pPr>
      <w:pStyle w:val="Headline"/>
      <w:framePr w:w="11339" w:h="1474" w:hRule="exact" w:hSpace="180" w:wrap="around" w:vAnchor="page" w:hAnchor="page" w:x="401" w:y="1141" w:anchorLock="1"/>
      <w:spacing w:line="200" w:lineRule="auto"/>
    </w:pPr>
    <w:r>
      <w:t>CPI inflation expected to drift downwards through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9A"/>
    <w:rsid w:val="00041420"/>
    <w:rsid w:val="00085AC2"/>
    <w:rsid w:val="00092907"/>
    <w:rsid w:val="00093491"/>
    <w:rsid w:val="0012759B"/>
    <w:rsid w:val="001376E4"/>
    <w:rsid w:val="00177903"/>
    <w:rsid w:val="00200EB5"/>
    <w:rsid w:val="00235C14"/>
    <w:rsid w:val="002E40E5"/>
    <w:rsid w:val="002E6BE5"/>
    <w:rsid w:val="00340AFF"/>
    <w:rsid w:val="00372BA4"/>
    <w:rsid w:val="00373C4C"/>
    <w:rsid w:val="003943ED"/>
    <w:rsid w:val="003B582A"/>
    <w:rsid w:val="003C6F57"/>
    <w:rsid w:val="003F63CA"/>
    <w:rsid w:val="0047413D"/>
    <w:rsid w:val="004C7CB8"/>
    <w:rsid w:val="00535DFC"/>
    <w:rsid w:val="00581ED6"/>
    <w:rsid w:val="006003A9"/>
    <w:rsid w:val="00673B00"/>
    <w:rsid w:val="00676B9B"/>
    <w:rsid w:val="006A4A7F"/>
    <w:rsid w:val="006A7B7D"/>
    <w:rsid w:val="006C6E38"/>
    <w:rsid w:val="00712878"/>
    <w:rsid w:val="00756765"/>
    <w:rsid w:val="007E785E"/>
    <w:rsid w:val="00866165"/>
    <w:rsid w:val="00872CE7"/>
    <w:rsid w:val="00873395"/>
    <w:rsid w:val="00907D38"/>
    <w:rsid w:val="00996812"/>
    <w:rsid w:val="00A1373B"/>
    <w:rsid w:val="00A435C6"/>
    <w:rsid w:val="00AD240B"/>
    <w:rsid w:val="00B5656F"/>
    <w:rsid w:val="00B82B4D"/>
    <w:rsid w:val="00BC142A"/>
    <w:rsid w:val="00C20602"/>
    <w:rsid w:val="00C26E93"/>
    <w:rsid w:val="00C44A9A"/>
    <w:rsid w:val="00C80D58"/>
    <w:rsid w:val="00D55179"/>
    <w:rsid w:val="00D754CB"/>
    <w:rsid w:val="00DE4B9D"/>
    <w:rsid w:val="00E45CD2"/>
    <w:rsid w:val="00E47B6C"/>
    <w:rsid w:val="00F237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AF482"/>
  <w15:chartTrackingRefBased/>
  <w15:docId w15:val="{45A10FEA-6469-4F76-A15F-176AEBBB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A9A"/>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C44A9A"/>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C44A9A"/>
    <w:pPr>
      <w:outlineLvl w:val="1"/>
    </w:pPr>
    <w:rPr>
      <w:sz w:val="28"/>
    </w:rPr>
  </w:style>
  <w:style w:type="paragraph" w:styleId="Heading3">
    <w:name w:val="heading 3"/>
    <w:basedOn w:val="Normal"/>
    <w:next w:val="Normal"/>
    <w:link w:val="Heading3Char"/>
    <w:uiPriority w:val="9"/>
    <w:unhideWhenUsed/>
    <w:qFormat/>
    <w:rsid w:val="00C44A9A"/>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C44A9A"/>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C44A9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C44A9A"/>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C44A9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C44A9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C44A9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9A"/>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C44A9A"/>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C44A9A"/>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C44A9A"/>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C44A9A"/>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C44A9A"/>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C44A9A"/>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C44A9A"/>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C44A9A"/>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C44A9A"/>
    <w:pPr>
      <w:ind w:left="862" w:right="862"/>
      <w:jc w:val="center"/>
    </w:pPr>
    <w:rPr>
      <w:i/>
      <w:iCs/>
      <w:color w:val="404040" w:themeColor="text1" w:themeTint="BF"/>
    </w:rPr>
  </w:style>
  <w:style w:type="character" w:customStyle="1" w:styleId="QuoteChar">
    <w:name w:val="Quote Char"/>
    <w:basedOn w:val="DefaultParagraphFont"/>
    <w:link w:val="Quote"/>
    <w:uiPriority w:val="29"/>
    <w:rsid w:val="00C44A9A"/>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C44A9A"/>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C44A9A"/>
    <w:pPr>
      <w:tabs>
        <w:tab w:val="center" w:pos="4320"/>
        <w:tab w:val="right" w:pos="8640"/>
      </w:tabs>
    </w:pPr>
  </w:style>
  <w:style w:type="character" w:customStyle="1" w:styleId="HeaderChar">
    <w:name w:val="Header Char"/>
    <w:basedOn w:val="DefaultParagraphFont"/>
    <w:link w:val="Header"/>
    <w:uiPriority w:val="99"/>
    <w:rsid w:val="00C44A9A"/>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C44A9A"/>
    <w:pPr>
      <w:tabs>
        <w:tab w:val="center" w:pos="4320"/>
        <w:tab w:val="right" w:pos="8640"/>
      </w:tabs>
    </w:pPr>
  </w:style>
  <w:style w:type="character" w:customStyle="1" w:styleId="FooterChar">
    <w:name w:val="Footer Char"/>
    <w:basedOn w:val="DefaultParagraphFont"/>
    <w:link w:val="Footer"/>
    <w:uiPriority w:val="99"/>
    <w:rsid w:val="00C44A9A"/>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C44A9A"/>
    <w:rPr>
      <w:noProof w:val="0"/>
    </w:rPr>
  </w:style>
  <w:style w:type="character" w:styleId="Hyperlink">
    <w:name w:val="Hyperlink"/>
    <w:basedOn w:val="DefaultParagraphFont"/>
    <w:uiPriority w:val="99"/>
    <w:unhideWhenUsed/>
    <w:rsid w:val="00C44A9A"/>
    <w:rPr>
      <w:noProof w:val="0"/>
      <w:color w:val="467886" w:themeColor="hyperlink"/>
      <w:u w:val="single"/>
    </w:rPr>
  </w:style>
  <w:style w:type="paragraph" w:styleId="Revision">
    <w:name w:val="Revision"/>
    <w:hidden/>
    <w:uiPriority w:val="99"/>
    <w:semiHidden/>
    <w:rsid w:val="00C44A9A"/>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C44A9A"/>
    <w:pPr>
      <w:spacing w:after="120"/>
    </w:pPr>
    <w:rPr>
      <w:b/>
      <w:bCs/>
      <w:color w:val="FFFFFF"/>
      <w:sz w:val="32"/>
      <w:szCs w:val="32"/>
    </w:rPr>
  </w:style>
  <w:style w:type="paragraph" w:customStyle="1" w:styleId="Headline">
    <w:name w:val="Headline"/>
    <w:basedOn w:val="Normal"/>
    <w:next w:val="Normal"/>
    <w:link w:val="HeadlineChar"/>
    <w:qFormat/>
    <w:rsid w:val="00C44A9A"/>
    <w:rPr>
      <w:rFonts w:ascii="Segoe UI Semilight" w:hAnsi="Segoe UI Semilight" w:cs="Segoe UI Semilight"/>
      <w:b/>
      <w:bCs/>
      <w:color w:val="FFFFFF"/>
      <w:sz w:val="40"/>
      <w:szCs w:val="40"/>
    </w:rPr>
  </w:style>
  <w:style w:type="paragraph" w:customStyle="1" w:styleId="ExhibitTitle">
    <w:name w:val="Exhibit Title"/>
    <w:basedOn w:val="Normal"/>
    <w:qFormat/>
    <w:rsid w:val="00C44A9A"/>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C44A9A"/>
    <w:pPr>
      <w:shd w:val="clear" w:color="auto" w:fill="D6E2FA"/>
      <w:spacing w:after="0"/>
    </w:pPr>
    <w:rPr>
      <w:color w:val="595959" w:themeColor="text1" w:themeTint="A6"/>
      <w:sz w:val="18"/>
    </w:rPr>
  </w:style>
  <w:style w:type="paragraph" w:customStyle="1" w:styleId="ExhibitSource">
    <w:name w:val="Exhibit Source"/>
    <w:next w:val="Normal"/>
    <w:qFormat/>
    <w:rsid w:val="00C44A9A"/>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C44A9A"/>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C44A9A"/>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C44A9A"/>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C44A9A"/>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C44A9A"/>
    <w:rPr>
      <w:rFonts w:ascii="Segoe UI" w:hAnsi="Segoe UI" w:cs="Segoe UI"/>
      <w:noProof w:val="0"/>
      <w:color w:val="000000" w:themeColor="text1"/>
    </w:rPr>
  </w:style>
  <w:style w:type="paragraph" w:customStyle="1" w:styleId="Summary">
    <w:name w:val="Summary"/>
    <w:basedOn w:val="Normal"/>
    <w:link w:val="SummaryChar"/>
    <w:qFormat/>
    <w:rsid w:val="00C44A9A"/>
    <w:pPr>
      <w:numPr>
        <w:numId w:val="1"/>
      </w:numPr>
      <w:ind w:left="1797" w:hanging="357"/>
    </w:pPr>
    <w:rPr>
      <w:kern w:val="2"/>
      <w:sz w:val="22"/>
      <w14:ligatures w14:val="standardContextual"/>
    </w:rPr>
  </w:style>
  <w:style w:type="paragraph" w:customStyle="1" w:styleId="TableData">
    <w:name w:val="Table Data"/>
    <w:link w:val="TableDataChar"/>
    <w:qFormat/>
    <w:rsid w:val="00C44A9A"/>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C44A9A"/>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C44A9A"/>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C44A9A"/>
    <w:pPr>
      <w:spacing w:before="0" w:after="0"/>
      <w:jc w:val="right"/>
    </w:pPr>
    <w:rPr>
      <w:color w:val="003469"/>
      <w:sz w:val="24"/>
      <w:szCs w:val="24"/>
    </w:rPr>
  </w:style>
  <w:style w:type="paragraph" w:customStyle="1" w:styleId="Author">
    <w:name w:val="Author"/>
    <w:basedOn w:val="Bullet"/>
    <w:link w:val="AuthorChar"/>
    <w:qFormat/>
    <w:rsid w:val="00C44A9A"/>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C44A9A"/>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C44A9A"/>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C44A9A"/>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C44A9A"/>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C44A9A"/>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C44A9A"/>
    <w:rPr>
      <w:color w:val="003469"/>
    </w:rPr>
  </w:style>
  <w:style w:type="character" w:customStyle="1" w:styleId="RepeatingFooterChar">
    <w:name w:val="Repeating Footer Char"/>
    <w:basedOn w:val="FooterChar"/>
    <w:link w:val="RepeatingFooter"/>
    <w:rsid w:val="00C44A9A"/>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C44A9A"/>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C44A9A"/>
    <w:rPr>
      <w:b/>
      <w:bCs/>
      <w:noProof w:val="0"/>
    </w:rPr>
  </w:style>
  <w:style w:type="character" w:customStyle="1" w:styleId="Italics">
    <w:name w:val="Italics"/>
    <w:uiPriority w:val="1"/>
    <w:qFormat/>
    <w:rsid w:val="00C44A9A"/>
    <w:rPr>
      <w:i/>
      <w:iCs/>
      <w:noProof w:val="0"/>
    </w:rPr>
  </w:style>
  <w:style w:type="table" w:customStyle="1" w:styleId="TableGridHeader">
    <w:name w:val="Table Grid Header"/>
    <w:basedOn w:val="TableNormal"/>
    <w:uiPriority w:val="99"/>
    <w:rsid w:val="00C44A9A"/>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C6B9918-BFF1-4CED-8255-18FA4A1BECFA}"/>
      </w:docPartPr>
      <w:docPartBody>
        <w:p w:rsidR="00D34ABB" w:rsidRDefault="00D34ABB">
          <w:r w:rsidRPr="004B4C31">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ABB"/>
    <w:rsid w:val="00092907"/>
    <w:rsid w:val="0012759B"/>
    <w:rsid w:val="00373C4C"/>
    <w:rsid w:val="003943ED"/>
    <w:rsid w:val="006003A9"/>
    <w:rsid w:val="00604299"/>
    <w:rsid w:val="006C6E38"/>
    <w:rsid w:val="006E4656"/>
    <w:rsid w:val="00D34A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395</Words>
  <Characters>1976</Characters>
  <Application>Microsoft Office Word</Application>
  <DocSecurity>0</DocSecurity>
  <Lines>27</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15</cp:revision>
  <dcterms:created xsi:type="dcterms:W3CDTF">2025-11-19T10:42:00Z</dcterms:created>
  <dcterms:modified xsi:type="dcterms:W3CDTF">2025-11-19T11:03:00Z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2025-11-19T10:58:48.000Z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Edward Allenby</vt:lpwstr>
  </property>
  <property fmtid="{D5CDD505-2E9C-101B-9397-08002B2CF9AE}" pid="11" name="OEP_ANALYST_JOBTITLE">
    <vt:lpwstr>Senior UK Economist</vt:lpwstr>
  </property>
  <property fmtid="{D5CDD505-2E9C-101B-9397-08002B2CF9AE}" pid="12" name="OEP_ANALYST_EMAIL">
    <vt:lpwstr>eallenby@oxfordeconomics.com</vt:lpwstr>
  </property>
  <property fmtid="{D5CDD505-2E9C-101B-9397-08002B2CF9AE}" pid="13" name="OEP_AUTHORS">
    <vt:lpwstr>Edward Allenby|Senior UK Economist|eallenby@oxfordeconomics.com_x000d_</vt:lpwstr>
  </property>
  <property fmtid="{D5CDD505-2E9C-101B-9397-08002B2CF9AE}" pid="14" name="OEP_CATEGORIES">
    <vt:lpwstr>AnalysisbyRegion-Europe-UnitedKingdom,Macro-UKMonthlyInflation</vt:lpwstr>
  </property>
  <property fmtid="{D5CDD505-2E9C-101B-9397-08002B2CF9AE}" pid="15" name="OEP_TAGS">
    <vt:lpwstr>Key Themes:inflation,forecast</vt:lpwstr>
  </property>
  <property fmtid="{D5CDD505-2E9C-101B-9397-08002B2CF9AE}" pid="16" name="OEP_KEY_THEMES">
    <vt:lpwstr>inflation,forecast</vt:lpwstr>
  </property>
  <property fmtid="{D5CDD505-2E9C-101B-9397-08002B2CF9AE}" pid="17" name="OEP_PRODUCT_CODE">
    <vt:lpwstr>5d6B1dD0cf284f1a97c5a3</vt:lpwstr>
  </property>
  <property fmtid="{D5CDD505-2E9C-101B-9397-08002B2CF9AE}" pid="18" name="OEP_PUBLISH_DATE">
    <vt:lpwstr/>
  </property>
  <property fmtid="{D5CDD505-2E9C-101B-9397-08002B2CF9AE}" pid="19" name="OEP_DATA_FILEPATH">
    <vt:lpwstr>Z:\UK Team\Inflation Model\20251119 UK IF.xlsx</vt:lpwstr>
  </property>
</Properties>
</file>