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D7693" w14:textId="3DE8BE9E" w:rsidR="00393893" w:rsidRDefault="00E9394B" w:rsidP="004773F3">
      <w:pPr>
        <w:pStyle w:val="Bullet"/>
      </w:pPr>
      <w:r>
        <w:t>December</w:t>
      </w:r>
      <w:r w:rsidR="000B3EE7">
        <w:t>'s rise in UK CPI inflation mainly</w:t>
      </w:r>
      <w:r>
        <w:t xml:space="preserve"> reflected </w:t>
      </w:r>
      <w:r w:rsidR="000B3EE7">
        <w:t>shifts</w:t>
      </w:r>
      <w:r>
        <w:t xml:space="preserve"> in volatile core categories and the uprating of tobacco duty taking effect</w:t>
      </w:r>
      <w:r w:rsidR="00F156CC">
        <w:t>.</w:t>
      </w:r>
      <w:r w:rsidR="000B3EE7">
        <w:t xml:space="preserve"> Headline inflation is projected to soften in the near term, then drop significantly in April due to weaker contributions from the energy and core categories.</w:t>
      </w:r>
    </w:p>
    <w:p w14:paraId="6CDB5BC7" w14:textId="7CC54C6F" w:rsidR="001F38E0" w:rsidRDefault="001F38E0" w:rsidP="004773F3">
      <w:pPr>
        <w:pStyle w:val="Bullet"/>
      </w:pPr>
      <w:r>
        <w:t xml:space="preserve">However, some of the factors set to drive inflation lower </w:t>
      </w:r>
      <w:r w:rsidR="00E06378">
        <w:t>in H1 are temporary in nature.</w:t>
      </w:r>
      <w:r w:rsidR="0056378F">
        <w:t xml:space="preserve"> </w:t>
      </w:r>
      <w:r w:rsidR="00003F1C">
        <w:t xml:space="preserve">After a period close to target, we expect </w:t>
      </w:r>
      <w:r w:rsidR="0056378F">
        <w:t xml:space="preserve">inflation </w:t>
      </w:r>
      <w:r w:rsidR="00003F1C">
        <w:t>to edge up again later this year</w:t>
      </w:r>
      <w:r>
        <w:t>.</w:t>
      </w:r>
    </w:p>
    <w:p w14:paraId="636F3E8C" w14:textId="777DE815" w:rsidR="00DF0B71" w:rsidRDefault="006C17C4" w:rsidP="00DF3F91">
      <w:pPr>
        <w:tabs>
          <w:tab w:val="left" w:pos="1280"/>
        </w:tabs>
      </w:pPr>
      <w:r>
        <w:t xml:space="preserve">CPI inflation increased to 3.4% in December, from 3.2% in November. </w:t>
      </w:r>
      <w:r w:rsidR="00976384">
        <w:t xml:space="preserve">Food price inflation rose, but </w:t>
      </w:r>
      <w:r w:rsidR="00995FEB">
        <w:t>the higher outturn</w:t>
      </w:r>
      <w:r w:rsidR="005D7357">
        <w:t xml:space="preserve"> was also payback </w:t>
      </w:r>
      <w:r w:rsidR="001344FE">
        <w:t xml:space="preserve">after </w:t>
      </w:r>
      <w:r w:rsidR="00695024">
        <w:t>November's soft outturns in several notoriously volatile</w:t>
      </w:r>
      <w:r w:rsidR="00876784">
        <w:t xml:space="preserve"> core</w:t>
      </w:r>
      <w:r w:rsidR="00695024">
        <w:t xml:space="preserve"> sub-components, such as </w:t>
      </w:r>
      <w:r w:rsidR="001344FE">
        <w:t xml:space="preserve">clothing, </w:t>
      </w:r>
      <w:r w:rsidR="00695024">
        <w:t xml:space="preserve">air fares and accommodation services, </w:t>
      </w:r>
      <w:r w:rsidR="006F19F1">
        <w:t xml:space="preserve">partially </w:t>
      </w:r>
      <w:r w:rsidR="00695024">
        <w:t>unw</w:t>
      </w:r>
      <w:r w:rsidR="00876784">
        <w:t>ound</w:t>
      </w:r>
      <w:r w:rsidR="00695024">
        <w:t xml:space="preserve">. </w:t>
      </w:r>
      <w:r w:rsidR="008242D8">
        <w:t>T</w:t>
      </w:r>
      <w:r w:rsidR="006F19F1">
        <w:t xml:space="preserve">he 2025 Budget uprating of tobacco duty also </w:t>
      </w:r>
      <w:r w:rsidR="008242D8">
        <w:t>raised inflation</w:t>
      </w:r>
      <w:r w:rsidR="006F19F1">
        <w:t xml:space="preserve"> in December</w:t>
      </w:r>
      <w:r w:rsidR="00DF3F91">
        <w:t xml:space="preserve">, </w:t>
      </w:r>
      <w:r w:rsidR="008242D8">
        <w:t>with the 2024 increase having occurred a month earlier</w:t>
      </w:r>
      <w:r w:rsidR="00DF3F91">
        <w:t xml:space="preserve">. Elsewhere, </w:t>
      </w:r>
      <w:r w:rsidR="001C14BF">
        <w:t>RPI and RPIX inflation both rose by 0.4ppts to 4.2% and 4.1% respectively.</w:t>
      </w:r>
    </w:p>
    <w:p w14:paraId="7C2F2D7A" w14:textId="73D0F501" w:rsidR="006C7831" w:rsidRDefault="00325929" w:rsidP="00DF3F91">
      <w:pPr>
        <w:tabs>
          <w:tab w:val="left" w:pos="1280"/>
        </w:tabs>
      </w:pPr>
      <w:r>
        <w:t xml:space="preserve">The unusually early price collection date in December meant the m/m pickup in air fares was towards the bottom of a range </w:t>
      </w:r>
      <w:r w:rsidR="004C69F9">
        <w:t xml:space="preserve">of </w:t>
      </w:r>
      <w:r>
        <w:t>historical outcomes, so there should be some payback in January. But this is unlikely to disrupt the gentle downward trajectory for inflation expected over the first few months of the new year.</w:t>
      </w:r>
      <w:r w:rsidR="00876DD7">
        <w:t xml:space="preserve"> The headline rate should then drop significantly in April due to two key factors. First, the contribution from the energy category </w:t>
      </w:r>
      <w:r w:rsidR="00134E78">
        <w:t xml:space="preserve">will fall more than 0.4ppts </w:t>
      </w:r>
      <w:r w:rsidR="0007349F">
        <w:t>due to base effects, lower wholesale prices, and the removal of some government levies</w:t>
      </w:r>
      <w:r w:rsidR="00876DD7">
        <w:t xml:space="preserve">. Second, </w:t>
      </w:r>
      <w:r w:rsidR="00134E78">
        <w:t>April</w:t>
      </w:r>
      <w:r w:rsidR="00876DD7">
        <w:t xml:space="preserve">'s rise in regulated prices is expected to be smaller than last year's hefty increase, </w:t>
      </w:r>
      <w:r w:rsidR="001C0E76">
        <w:t>which is likely to weigh heavily on the core category.</w:t>
      </w:r>
      <w:r w:rsidR="00A4609F">
        <w:t xml:space="preserve"> More broadly, services inflation should also see some downward pressure through the year from weaker pay growth </w:t>
      </w:r>
      <w:r w:rsidR="00A4609F" w:rsidRPr="00A4609F">
        <w:t>and the fading impacts of the 2025 increases in employers' national insurance contributions and the national living wage.</w:t>
      </w:r>
    </w:p>
    <w:p w14:paraId="027494E4" w14:textId="154A25FB" w:rsidR="000A5BD9" w:rsidRDefault="005600AF" w:rsidP="00DF3F91">
      <w:pPr>
        <w:tabs>
          <w:tab w:val="left" w:pos="1280"/>
        </w:tabs>
      </w:pPr>
      <w:r>
        <w:t>But given base effects and that some of the factors set to drag on inflation in H1 2026 are likely to prove temporary, we expect the headline rate to slowly edge upwards over the course</w:t>
      </w:r>
      <w:r w:rsidR="004C69F9">
        <w:t xml:space="preserve"> of</w:t>
      </w:r>
      <w:r>
        <w:t xml:space="preserve"> H2 2026 and in 2027. We forecast CPI inflation to average 2.3% in 2026 and 2.5% in 2027.</w:t>
      </w:r>
    </w:p>
    <w:p w14:paraId="0ADEF84A" w14:textId="41EBA55D" w:rsidR="004773F3" w:rsidRDefault="004773F3" w:rsidP="000A5BD9">
      <w:pPr>
        <w:pStyle w:val="ExhibitTitle"/>
        <w:jc w:val="center"/>
      </w:pPr>
      <w:r>
        <w:t xml:space="preserve">Chart </w:t>
      </w:r>
      <w:r>
        <w:fldChar w:fldCharType="begin"/>
      </w:r>
      <w:r w:rsidR="000A5BD9">
        <w:instrText>SEQ CHART</w:instrText>
      </w:r>
      <w:r>
        <w:fldChar w:fldCharType="separate"/>
      </w:r>
      <w:r w:rsidR="000A5BD9">
        <w:rPr>
          <w:noProof/>
        </w:rPr>
        <w:t>1</w:t>
      </w:r>
      <w:r>
        <w:fldChar w:fldCharType="end"/>
      </w:r>
      <w:r>
        <w:t xml:space="preserve">: </w:t>
      </w:r>
      <w:r w:rsidR="00AD6503">
        <w:t>CPI inflation is forecast to average 2.3% in 2026 and 2.5% in 2027</w:t>
      </w:r>
    </w:p>
    <w:p w14:paraId="2F717CB2" w14:textId="5EC7A16B" w:rsidR="000A5BD9" w:rsidRDefault="000A5BD9" w:rsidP="000A5BD9">
      <w:pPr>
        <w:spacing w:after="0"/>
        <w:jc w:val="center"/>
        <w:rPr>
          <w:noProof/>
        </w:rPr>
      </w:pPr>
      <w:r>
        <w:rPr>
          <w:noProof/>
        </w:rPr>
        <w:drawing>
          <wp:inline distT="0" distB="0" distL="0" distR="0" wp14:anchorId="2B88767D" wp14:editId="11534015">
            <wp:extent cx="4006964" cy="3145495"/>
            <wp:effectExtent l="0" t="0" r="0" b="0"/>
            <wp:docPr id="17505320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32091" name=""/>
                    <pic:cNvPicPr/>
                  </pic:nvPicPr>
                  <pic:blipFill>
                    <a:blip r:embed="rId7">
                      <a:extLst>
                        <a:ext uri="{96DAC541-7B7A-43D3-8B79-37D633B846F1}">
                          <asvg:svgBlip xmlns:asvg="http://schemas.microsoft.com/office/drawing/2016/SVG/main" r:embed="rId8"/>
                        </a:ext>
                      </a:extLst>
                    </a:blip>
                    <a:srcRect b="1799"/>
                    <a:stretch>
                      <a:fillRect/>
                    </a:stretch>
                  </pic:blipFill>
                  <pic:spPr>
                    <a:xfrm>
                      <a:off x="0" y="0"/>
                      <a:ext cx="4006964" cy="3145495"/>
                    </a:xfrm>
                    <a:prstGeom prst="rect">
                      <a:avLst/>
                    </a:prstGeom>
                  </pic:spPr>
                </pic:pic>
              </a:graphicData>
            </a:graphic>
          </wp:inline>
        </w:drawing>
      </w:r>
    </w:p>
    <w:p w14:paraId="66C9877B" w14:textId="411B99DC" w:rsidR="00D65275" w:rsidRDefault="000A5BD9" w:rsidP="000A5BD9">
      <w:pPr>
        <w:pStyle w:val="ExhibitSource"/>
        <w:jc w:val="center"/>
      </w:pPr>
      <w:r>
        <w:t>Source: Oxford Economics, Haver Analytics</w:t>
      </w:r>
    </w:p>
    <w:p w14:paraId="444D5FB9" w14:textId="77777777" w:rsidR="00F33DF7" w:rsidRPr="00F33DF7" w:rsidRDefault="00F33DF7" w:rsidP="003F1A7B"/>
    <w:sectPr w:rsidR="00F33DF7" w:rsidRPr="00F33DF7" w:rsidSect="000A5BD9">
      <w:headerReference w:type="even" r:id="rId9"/>
      <w:headerReference w:type="default" r:id="rId10"/>
      <w:footerReference w:type="even" r:id="rId11"/>
      <w:footerReference w:type="default" r:id="rId12"/>
      <w:headerReference w:type="first" r:id="rId13"/>
      <w:footerReference w:type="first" r:id="rId14"/>
      <w:pgSz w:w="11906" w:h="16838"/>
      <w:pgMar w:top="1417"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B6123" w14:textId="77777777" w:rsidR="00C252C0" w:rsidRDefault="00C252C0" w:rsidP="004773F3">
      <w:pPr>
        <w:spacing w:before="0" w:after="0"/>
      </w:pPr>
      <w:r>
        <w:separator/>
      </w:r>
    </w:p>
  </w:endnote>
  <w:endnote w:type="continuationSeparator" w:id="0">
    <w:p w14:paraId="55593E99" w14:textId="77777777" w:rsidR="00C252C0" w:rsidRDefault="00C252C0" w:rsidP="004773F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0AB3" w14:textId="77777777" w:rsidR="006C411B" w:rsidRDefault="006C41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F17" w14:textId="77777777" w:rsidR="006C411B" w:rsidRDefault="006C41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1A8A" w14:textId="1E138284" w:rsidR="004773F3" w:rsidRDefault="004773F3" w:rsidP="00DF0B71">
    <w:pPr>
      <w:pStyle w:val="Author"/>
    </w:pPr>
    <w:r>
      <w:t>Edward Allenby</w:t>
    </w:r>
    <w:r w:rsidR="003F1A7B">
      <w:t xml:space="preserve"> - </w:t>
    </w:r>
    <w:r>
      <w:t>Senior UK Economist</w:t>
    </w:r>
    <w:r w:rsidR="003F1A7B">
      <w:t xml:space="preserve"> - </w:t>
    </w:r>
    <w:r>
      <w:t>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F5836" w14:textId="77777777" w:rsidR="00C252C0" w:rsidRDefault="00C252C0" w:rsidP="004773F3">
      <w:pPr>
        <w:spacing w:before="0" w:after="0"/>
      </w:pPr>
      <w:r>
        <w:separator/>
      </w:r>
    </w:p>
  </w:footnote>
  <w:footnote w:type="continuationSeparator" w:id="0">
    <w:p w14:paraId="0D16777A" w14:textId="77777777" w:rsidR="00C252C0" w:rsidRDefault="00C252C0" w:rsidP="004773F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45B81" w14:textId="77777777" w:rsidR="004773F3" w:rsidRDefault="004773F3">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0AF1" w14:textId="77777777" w:rsidR="004773F3" w:rsidRDefault="004773F3">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C579" w14:textId="6639A6C8" w:rsidR="00DF0B71" w:rsidRPr="00DF0B71" w:rsidRDefault="00DF0B71" w:rsidP="00DF0B71">
    <w:pPr>
      <w:rPr>
        <w:b/>
        <w:bCs/>
        <w:sz w:val="4"/>
      </w:rPr>
    </w:pPr>
    <w:r w:rsidRPr="00DF0B71">
      <w:rPr>
        <w:noProof/>
        <w:sz w:val="4"/>
      </w:rPr>
      <w:drawing>
        <wp:anchor distT="0" distB="0" distL="114300" distR="114300" simplePos="0" relativeHeight="251658239" behindDoc="1" locked="1" layoutInCell="1" allowOverlap="1" wp14:anchorId="4CC03FF7" wp14:editId="1AEF32A9">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DF0B71">
      <w:rPr>
        <w:noProof/>
        <w:sz w:val="4"/>
      </w:rPr>
      <w:drawing>
        <wp:anchor distT="0" distB="0" distL="114300" distR="114300" simplePos="0" relativeHeight="251659264" behindDoc="1" locked="1" layoutInCell="1" allowOverlap="1" wp14:anchorId="0162B30F" wp14:editId="0B480D7A">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2037544920"/>
      <w:lock w:val="sdtLocked"/>
      <w:placeholder>
        <w:docPart w:val="DefaultPlaceholder_-1854013437"/>
      </w:placeholder>
      <w:date w:fullDate="2026-01-21T00:00:00Z">
        <w:dateFormat w:val="d MMMM yyyy"/>
        <w:lid w:val="en-GB"/>
        <w:storeMappedDataAs w:val="dateTime"/>
        <w:calendar w:val="gregorian"/>
      </w:date>
    </w:sdtPr>
    <w:sdtEndPr/>
    <w:sdtContent>
      <w:p w14:paraId="19B6029C" w14:textId="5CC6F95E" w:rsidR="004773F3" w:rsidRPr="00DF0B71" w:rsidRDefault="00DF0B71" w:rsidP="00DF0B71">
        <w:pPr>
          <w:pStyle w:val="PublishDate"/>
          <w:framePr w:w="2835" w:h="340" w:hRule="exact" w:hSpace="180" w:wrap="around" w:vAnchor="page" w:hAnchor="page" w:x="7801" w:y="601" w:anchorLock="1"/>
        </w:pPr>
        <w:r>
          <w:t>21 January 2026</w:t>
        </w:r>
      </w:p>
    </w:sdtContent>
  </w:sdt>
  <w:p w14:paraId="4A79001F" w14:textId="77777777" w:rsidR="00DF0B71" w:rsidRDefault="00DF0B71" w:rsidP="00DF0B71">
    <w:pPr>
      <w:pStyle w:val="ProductDescription"/>
      <w:framePr w:w="11339" w:h="1474" w:hRule="exact" w:hSpace="180" w:wrap="around" w:vAnchor="page" w:hAnchor="page" w:x="401" w:y="1141" w:anchorLock="1"/>
      <w:spacing w:after="200"/>
    </w:pPr>
    <w:r>
      <w:t>Monthly inflation forecast | UK</w:t>
    </w:r>
  </w:p>
  <w:p w14:paraId="27D4559C" w14:textId="30F6AF39" w:rsidR="00DF0B71" w:rsidRDefault="002F27BC" w:rsidP="00DF0B71">
    <w:pPr>
      <w:pStyle w:val="Headline"/>
      <w:framePr w:w="11339" w:h="1474" w:hRule="exact" w:hSpace="180" w:wrap="around" w:vAnchor="page" w:hAnchor="page" w:x="401" w:y="1141" w:anchorLock="1"/>
      <w:spacing w:line="200" w:lineRule="auto"/>
    </w:pPr>
    <w:r>
      <w:t>Inflationary pressures set to weaken significantly in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F3"/>
    <w:rsid w:val="00003F1C"/>
    <w:rsid w:val="00010CCF"/>
    <w:rsid w:val="000278B2"/>
    <w:rsid w:val="00042EBB"/>
    <w:rsid w:val="000456DC"/>
    <w:rsid w:val="0007349F"/>
    <w:rsid w:val="000A406B"/>
    <w:rsid w:val="000A5BD9"/>
    <w:rsid w:val="000B3EE7"/>
    <w:rsid w:val="000B46FD"/>
    <w:rsid w:val="00100322"/>
    <w:rsid w:val="001344FE"/>
    <w:rsid w:val="00134E78"/>
    <w:rsid w:val="00144CEF"/>
    <w:rsid w:val="00150801"/>
    <w:rsid w:val="001B1AE6"/>
    <w:rsid w:val="001C0E76"/>
    <w:rsid w:val="001C14BF"/>
    <w:rsid w:val="001D5BA5"/>
    <w:rsid w:val="001E36A5"/>
    <w:rsid w:val="001F38E0"/>
    <w:rsid w:val="001F6CB8"/>
    <w:rsid w:val="00235C14"/>
    <w:rsid w:val="002850F8"/>
    <w:rsid w:val="002E6BE5"/>
    <w:rsid w:val="002F27BC"/>
    <w:rsid w:val="002F3447"/>
    <w:rsid w:val="00325929"/>
    <w:rsid w:val="00346A01"/>
    <w:rsid w:val="00365596"/>
    <w:rsid w:val="00393893"/>
    <w:rsid w:val="003D0084"/>
    <w:rsid w:val="003D0B87"/>
    <w:rsid w:val="003E532F"/>
    <w:rsid w:val="003F1A7B"/>
    <w:rsid w:val="003F1D04"/>
    <w:rsid w:val="0043087B"/>
    <w:rsid w:val="004667FC"/>
    <w:rsid w:val="00466EED"/>
    <w:rsid w:val="004773F3"/>
    <w:rsid w:val="004816BA"/>
    <w:rsid w:val="004C69F9"/>
    <w:rsid w:val="004D2AB5"/>
    <w:rsid w:val="004E14BF"/>
    <w:rsid w:val="004F57C5"/>
    <w:rsid w:val="004F5AA4"/>
    <w:rsid w:val="00527E27"/>
    <w:rsid w:val="00545CE8"/>
    <w:rsid w:val="005600AF"/>
    <w:rsid w:val="0056378F"/>
    <w:rsid w:val="00565FB1"/>
    <w:rsid w:val="00574E8A"/>
    <w:rsid w:val="005806A7"/>
    <w:rsid w:val="00587979"/>
    <w:rsid w:val="005B26D6"/>
    <w:rsid w:val="005B2EDC"/>
    <w:rsid w:val="005D4F36"/>
    <w:rsid w:val="005D7357"/>
    <w:rsid w:val="0060053F"/>
    <w:rsid w:val="00610064"/>
    <w:rsid w:val="00632B52"/>
    <w:rsid w:val="00640C81"/>
    <w:rsid w:val="0064783E"/>
    <w:rsid w:val="006559B4"/>
    <w:rsid w:val="00673B00"/>
    <w:rsid w:val="00676B9B"/>
    <w:rsid w:val="00677EB3"/>
    <w:rsid w:val="00695024"/>
    <w:rsid w:val="006C17C4"/>
    <w:rsid w:val="006C411B"/>
    <w:rsid w:val="006C5AE9"/>
    <w:rsid w:val="006C7831"/>
    <w:rsid w:val="006F19F1"/>
    <w:rsid w:val="00733925"/>
    <w:rsid w:val="007771EF"/>
    <w:rsid w:val="00780597"/>
    <w:rsid w:val="007A4B0C"/>
    <w:rsid w:val="007D4CB6"/>
    <w:rsid w:val="007E5564"/>
    <w:rsid w:val="007F5E06"/>
    <w:rsid w:val="008242D8"/>
    <w:rsid w:val="008300CB"/>
    <w:rsid w:val="00851C9F"/>
    <w:rsid w:val="00874E6B"/>
    <w:rsid w:val="00876784"/>
    <w:rsid w:val="00876DD7"/>
    <w:rsid w:val="00887936"/>
    <w:rsid w:val="008E2DD5"/>
    <w:rsid w:val="008E7DB5"/>
    <w:rsid w:val="0091464C"/>
    <w:rsid w:val="00974833"/>
    <w:rsid w:val="00976384"/>
    <w:rsid w:val="00982D0A"/>
    <w:rsid w:val="00995FEB"/>
    <w:rsid w:val="009C6EDB"/>
    <w:rsid w:val="009F0AAB"/>
    <w:rsid w:val="00A05852"/>
    <w:rsid w:val="00A4609F"/>
    <w:rsid w:val="00A51257"/>
    <w:rsid w:val="00A725A5"/>
    <w:rsid w:val="00A97ADD"/>
    <w:rsid w:val="00AD6503"/>
    <w:rsid w:val="00AD6563"/>
    <w:rsid w:val="00AF222C"/>
    <w:rsid w:val="00BB12EA"/>
    <w:rsid w:val="00BB136C"/>
    <w:rsid w:val="00BF70DB"/>
    <w:rsid w:val="00C252C0"/>
    <w:rsid w:val="00C7673A"/>
    <w:rsid w:val="00CA6115"/>
    <w:rsid w:val="00CB3828"/>
    <w:rsid w:val="00D05894"/>
    <w:rsid w:val="00D2464D"/>
    <w:rsid w:val="00D3471A"/>
    <w:rsid w:val="00D44839"/>
    <w:rsid w:val="00D65275"/>
    <w:rsid w:val="00D66429"/>
    <w:rsid w:val="00D9213A"/>
    <w:rsid w:val="00DB57B3"/>
    <w:rsid w:val="00DF0ABF"/>
    <w:rsid w:val="00DF0B71"/>
    <w:rsid w:val="00DF3F91"/>
    <w:rsid w:val="00E06378"/>
    <w:rsid w:val="00E26D01"/>
    <w:rsid w:val="00E9394B"/>
    <w:rsid w:val="00EA5DCD"/>
    <w:rsid w:val="00EA641A"/>
    <w:rsid w:val="00EC4763"/>
    <w:rsid w:val="00EE0164"/>
    <w:rsid w:val="00F12676"/>
    <w:rsid w:val="00F156CC"/>
    <w:rsid w:val="00F33DF7"/>
    <w:rsid w:val="00F566B7"/>
    <w:rsid w:val="00FA26BC"/>
    <w:rsid w:val="00FB58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CECF8D"/>
  <w15:chartTrackingRefBased/>
  <w15:docId w15:val="{F57D14F8-6303-4890-96C3-EBEF335D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3F3"/>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4773F3"/>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4773F3"/>
    <w:pPr>
      <w:outlineLvl w:val="1"/>
    </w:pPr>
    <w:rPr>
      <w:sz w:val="28"/>
    </w:rPr>
  </w:style>
  <w:style w:type="paragraph" w:styleId="Heading3">
    <w:name w:val="heading 3"/>
    <w:basedOn w:val="Normal"/>
    <w:next w:val="Normal"/>
    <w:link w:val="Heading3Char"/>
    <w:uiPriority w:val="9"/>
    <w:unhideWhenUsed/>
    <w:qFormat/>
    <w:rsid w:val="004773F3"/>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4773F3"/>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4773F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4773F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4773F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4773F3"/>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773F3"/>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F3"/>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4773F3"/>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4773F3"/>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4773F3"/>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4773F3"/>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4773F3"/>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4773F3"/>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4773F3"/>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4773F3"/>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4773F3"/>
    <w:pPr>
      <w:ind w:left="862" w:right="862"/>
      <w:jc w:val="center"/>
    </w:pPr>
    <w:rPr>
      <w:i/>
      <w:iCs/>
      <w:color w:val="404040" w:themeColor="text1" w:themeTint="BF"/>
    </w:rPr>
  </w:style>
  <w:style w:type="character" w:customStyle="1" w:styleId="QuoteChar">
    <w:name w:val="Quote Char"/>
    <w:basedOn w:val="DefaultParagraphFont"/>
    <w:link w:val="Quote"/>
    <w:uiPriority w:val="29"/>
    <w:rsid w:val="004773F3"/>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4773F3"/>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4773F3"/>
    <w:pPr>
      <w:tabs>
        <w:tab w:val="center" w:pos="4320"/>
        <w:tab w:val="right" w:pos="8640"/>
      </w:tabs>
    </w:pPr>
  </w:style>
  <w:style w:type="character" w:customStyle="1" w:styleId="HeaderChar">
    <w:name w:val="Header Char"/>
    <w:basedOn w:val="DefaultParagraphFont"/>
    <w:link w:val="Header"/>
    <w:uiPriority w:val="99"/>
    <w:rsid w:val="004773F3"/>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4773F3"/>
    <w:pPr>
      <w:tabs>
        <w:tab w:val="center" w:pos="4320"/>
        <w:tab w:val="right" w:pos="8640"/>
      </w:tabs>
    </w:pPr>
  </w:style>
  <w:style w:type="character" w:customStyle="1" w:styleId="FooterChar">
    <w:name w:val="Footer Char"/>
    <w:basedOn w:val="DefaultParagraphFont"/>
    <w:link w:val="Footer"/>
    <w:uiPriority w:val="99"/>
    <w:rsid w:val="004773F3"/>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4773F3"/>
    <w:rPr>
      <w:noProof w:val="0"/>
    </w:rPr>
  </w:style>
  <w:style w:type="character" w:styleId="Hyperlink">
    <w:name w:val="Hyperlink"/>
    <w:basedOn w:val="DefaultParagraphFont"/>
    <w:uiPriority w:val="99"/>
    <w:unhideWhenUsed/>
    <w:rsid w:val="004773F3"/>
    <w:rPr>
      <w:noProof w:val="0"/>
      <w:color w:val="467886" w:themeColor="hyperlink"/>
      <w:u w:val="single"/>
    </w:rPr>
  </w:style>
  <w:style w:type="paragraph" w:styleId="Revision">
    <w:name w:val="Revision"/>
    <w:hidden/>
    <w:uiPriority w:val="99"/>
    <w:semiHidden/>
    <w:rsid w:val="004773F3"/>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4773F3"/>
    <w:pPr>
      <w:spacing w:after="120"/>
    </w:pPr>
    <w:rPr>
      <w:b/>
      <w:bCs/>
      <w:color w:val="FFFFFF"/>
      <w:sz w:val="32"/>
      <w:szCs w:val="32"/>
    </w:rPr>
  </w:style>
  <w:style w:type="paragraph" w:customStyle="1" w:styleId="Headline">
    <w:name w:val="Headline"/>
    <w:basedOn w:val="Normal"/>
    <w:next w:val="Normal"/>
    <w:link w:val="HeadlineChar"/>
    <w:qFormat/>
    <w:rsid w:val="004773F3"/>
    <w:rPr>
      <w:rFonts w:ascii="Segoe UI Semilight" w:hAnsi="Segoe UI Semilight" w:cs="Segoe UI Semilight"/>
      <w:b/>
      <w:bCs/>
      <w:color w:val="FFFFFF"/>
      <w:sz w:val="40"/>
      <w:szCs w:val="40"/>
    </w:rPr>
  </w:style>
  <w:style w:type="paragraph" w:customStyle="1" w:styleId="ExhibitTitle">
    <w:name w:val="Exhibit Title"/>
    <w:basedOn w:val="Normal"/>
    <w:qFormat/>
    <w:rsid w:val="004773F3"/>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4773F3"/>
    <w:pPr>
      <w:shd w:val="clear" w:color="auto" w:fill="D6E2FA"/>
      <w:spacing w:after="0"/>
    </w:pPr>
    <w:rPr>
      <w:color w:val="595959" w:themeColor="text1" w:themeTint="A6"/>
      <w:sz w:val="18"/>
    </w:rPr>
  </w:style>
  <w:style w:type="paragraph" w:customStyle="1" w:styleId="ExhibitSource">
    <w:name w:val="Exhibit Source"/>
    <w:next w:val="Normal"/>
    <w:qFormat/>
    <w:rsid w:val="004773F3"/>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4773F3"/>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4773F3"/>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4773F3"/>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4773F3"/>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4773F3"/>
    <w:rPr>
      <w:rFonts w:ascii="Segoe UI" w:hAnsi="Segoe UI" w:cs="Segoe UI"/>
      <w:noProof w:val="0"/>
      <w:color w:val="000000" w:themeColor="text1"/>
    </w:rPr>
  </w:style>
  <w:style w:type="paragraph" w:customStyle="1" w:styleId="Summary">
    <w:name w:val="Summary"/>
    <w:basedOn w:val="Normal"/>
    <w:link w:val="SummaryChar"/>
    <w:qFormat/>
    <w:rsid w:val="004773F3"/>
    <w:pPr>
      <w:numPr>
        <w:numId w:val="1"/>
      </w:numPr>
      <w:ind w:left="1797" w:hanging="357"/>
    </w:pPr>
    <w:rPr>
      <w:kern w:val="2"/>
      <w:sz w:val="22"/>
      <w14:ligatures w14:val="standardContextual"/>
    </w:rPr>
  </w:style>
  <w:style w:type="paragraph" w:customStyle="1" w:styleId="TableData">
    <w:name w:val="Table Data"/>
    <w:link w:val="TableDataChar"/>
    <w:qFormat/>
    <w:rsid w:val="004773F3"/>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4773F3"/>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4773F3"/>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4773F3"/>
    <w:pPr>
      <w:spacing w:before="0" w:after="0"/>
      <w:jc w:val="right"/>
    </w:pPr>
    <w:rPr>
      <w:color w:val="003469"/>
      <w:sz w:val="24"/>
      <w:szCs w:val="24"/>
    </w:rPr>
  </w:style>
  <w:style w:type="paragraph" w:customStyle="1" w:styleId="Author">
    <w:name w:val="Author"/>
    <w:basedOn w:val="Bullet"/>
    <w:link w:val="AuthorChar"/>
    <w:qFormat/>
    <w:rsid w:val="004773F3"/>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4773F3"/>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4773F3"/>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4773F3"/>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4773F3"/>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4773F3"/>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4773F3"/>
    <w:rPr>
      <w:color w:val="003469"/>
    </w:rPr>
  </w:style>
  <w:style w:type="character" w:customStyle="1" w:styleId="RepeatingFooterChar">
    <w:name w:val="Repeating Footer Char"/>
    <w:basedOn w:val="FooterChar"/>
    <w:link w:val="RepeatingFooter"/>
    <w:rsid w:val="004773F3"/>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4773F3"/>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4773F3"/>
    <w:rPr>
      <w:b/>
      <w:bCs/>
      <w:noProof w:val="0"/>
    </w:rPr>
  </w:style>
  <w:style w:type="character" w:customStyle="1" w:styleId="Italics">
    <w:name w:val="Italics"/>
    <w:uiPriority w:val="1"/>
    <w:qFormat/>
    <w:rsid w:val="004773F3"/>
    <w:rPr>
      <w:i/>
      <w:iCs/>
      <w:noProof w:val="0"/>
    </w:rPr>
  </w:style>
  <w:style w:type="table" w:customStyle="1" w:styleId="TableGridHeader">
    <w:name w:val="Table Grid Header"/>
    <w:basedOn w:val="TableNormal"/>
    <w:uiPriority w:val="99"/>
    <w:rsid w:val="004773F3"/>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73C0A6A6-0341-4512-815E-1F0C343EBA2D}"/>
      </w:docPartPr>
      <w:docPartBody>
        <w:p w:rsidR="00807154" w:rsidRDefault="00807154">
          <w:r w:rsidRPr="0000310B">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154"/>
    <w:rsid w:val="00010CCF"/>
    <w:rsid w:val="00144CEF"/>
    <w:rsid w:val="00163D71"/>
    <w:rsid w:val="00346A01"/>
    <w:rsid w:val="00365596"/>
    <w:rsid w:val="0043087B"/>
    <w:rsid w:val="005B26D6"/>
    <w:rsid w:val="005C3540"/>
    <w:rsid w:val="005D4F36"/>
    <w:rsid w:val="00677EB3"/>
    <w:rsid w:val="00780597"/>
    <w:rsid w:val="007C4863"/>
    <w:rsid w:val="00807154"/>
    <w:rsid w:val="00CB3828"/>
    <w:rsid w:val="00D9213A"/>
    <w:rsid w:val="00EE01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389</Words>
  <Characters>1958</Characters>
  <Application>Microsoft Office Word</Application>
  <DocSecurity>0</DocSecurity>
  <Lines>25</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18</cp:revision>
  <dcterms:created xsi:type="dcterms:W3CDTF">2026-01-21T11:45:00Z</dcterms:created>
  <dcterms:modified xsi:type="dcterms:W3CDTF">2026-01-21T12:16:00Z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2026-01-21T12:12:00.000Z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Edward Allenby</vt:lpwstr>
  </property>
  <property fmtid="{D5CDD505-2E9C-101B-9397-08002B2CF9AE}" pid="11" name="OEP_ANALYST_JOBTITLE">
    <vt:lpwstr>Senior UK Economist</vt:lpwstr>
  </property>
  <property fmtid="{D5CDD505-2E9C-101B-9397-08002B2CF9AE}" pid="12" name="OEP_ANALYST_EMAIL">
    <vt:lpwstr>eallenby@oxfordeconomics.com</vt:lpwstr>
  </property>
  <property fmtid="{D5CDD505-2E9C-101B-9397-08002B2CF9AE}" pid="13" name="OEP_AUTHORS">
    <vt:lpwstr>Edward Allenby|Senior UK Economist|eallenby@oxfordeconomics.com_x000d_</vt:lpwstr>
  </property>
  <property fmtid="{D5CDD505-2E9C-101B-9397-08002B2CF9AE}" pid="14" name="OEP_CATEGORIES">
    <vt:lpwstr>AnalysisbyRegion-Europe-UnitedKingdom,Macro-UKMonthlyInflation</vt:lpwstr>
  </property>
  <property fmtid="{D5CDD505-2E9C-101B-9397-08002B2CF9AE}" pid="15" name="OEP_TAGS">
    <vt:lpwstr>Key Themes:inflation,forecast</vt:lpwstr>
  </property>
  <property fmtid="{D5CDD505-2E9C-101B-9397-08002B2CF9AE}" pid="16" name="OEP_KEY_THEMES">
    <vt:lpwstr>inflation,forecast</vt:lpwstr>
  </property>
  <property fmtid="{D5CDD505-2E9C-101B-9397-08002B2CF9AE}" pid="17" name="OEP_DATA_FILEPATH">
    <vt:lpwstr>Z:\UK Team\Inflation Model\20260121 UK IF.xlsx</vt:lpwstr>
  </property>
  <property fmtid="{D5CDD505-2E9C-101B-9397-08002B2CF9AE}" pid="18" name="OEP_PRODUCT_CODE">
    <vt:lpwstr>e34F78ce929C48Baae3fDe</vt:lpwstr>
  </property>
  <property fmtid="{D5CDD505-2E9C-101B-9397-08002B2CF9AE}" pid="19" name="OEP_PUBLISH_DATE">
    <vt:lpwstr/>
  </property>
</Properties>
</file>