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8408" w14:textId="7C948276" w:rsidR="009D7A2C" w:rsidRDefault="00F06C86" w:rsidP="009D7A2C">
      <w:pPr>
        <w:pStyle w:val="Bullet"/>
      </w:pPr>
      <w:r>
        <w:t xml:space="preserve">The hefty drop in CPI inflation in January largely reflected the impact of strong base effects and movements in volatile categories. We expect inflation to fall sharply in </w:t>
      </w:r>
      <w:r w:rsidR="00561AB7">
        <w:t>April</w:t>
      </w:r>
      <w:r>
        <w:t>, due to smaller regulatory price rises than last year, a lower energy price cap, and the impact of measures announced in the 2025 Budget. However, inflation is likely to drift higher again from H2.</w:t>
      </w:r>
    </w:p>
    <w:p w14:paraId="1BB2A01E" w14:textId="12262CE4" w:rsidR="009D7A2C" w:rsidRDefault="00F06C86" w:rsidP="009D7A2C">
      <w:pPr>
        <w:pStyle w:val="Bullet"/>
      </w:pPr>
      <w:r>
        <w:t>Incorporating</w:t>
      </w:r>
      <w:r w:rsidR="00F93D51">
        <w:t xml:space="preserve"> new 2026 regulatory price announcements </w:t>
      </w:r>
      <w:r w:rsidR="001503CA">
        <w:t xml:space="preserve">made </w:t>
      </w:r>
      <w:r w:rsidR="00F93D51">
        <w:t xml:space="preserve">over the past month and the annual update of the </w:t>
      </w:r>
      <w:r w:rsidR="001503CA">
        <w:t xml:space="preserve">weights for the </w:t>
      </w:r>
      <w:r w:rsidR="00F93D51">
        <w:t>inflation basket mean</w:t>
      </w:r>
      <w:r w:rsidR="001503CA">
        <w:t>s</w:t>
      </w:r>
      <w:r w:rsidR="00F93D51">
        <w:t xml:space="preserve"> we now forecast</w:t>
      </w:r>
      <w:r>
        <w:t xml:space="preserve"> CPI</w:t>
      </w:r>
      <w:r w:rsidR="00F93D51">
        <w:t xml:space="preserve"> inflation </w:t>
      </w:r>
      <w:r>
        <w:t>to</w:t>
      </w:r>
      <w:r w:rsidR="00F93D51">
        <w:t xml:space="preserve"> be slightly higher in 202</w:t>
      </w:r>
      <w:r>
        <w:t>6</w:t>
      </w:r>
      <w:r w:rsidR="00F93D51">
        <w:t xml:space="preserve"> and 202</w:t>
      </w:r>
      <w:r>
        <w:t>7.</w:t>
      </w:r>
    </w:p>
    <w:p w14:paraId="1CC6E19D" w14:textId="07614A9A" w:rsidR="00F869C4" w:rsidRDefault="00802AB9" w:rsidP="00521E75">
      <w:r>
        <w:t xml:space="preserve">CPI inflation cooled to 3% in January, from 3.4% in December. The chunky drop was primarily the result of powerful base effects and movements in </w:t>
      </w:r>
      <w:r w:rsidR="00521E75">
        <w:t xml:space="preserve">some of the more erratic </w:t>
      </w:r>
      <w:r>
        <w:t>sub-categories.</w:t>
      </w:r>
      <w:r w:rsidR="00521E75">
        <w:t xml:space="preserve"> The </w:t>
      </w:r>
      <w:r w:rsidR="001503CA">
        <w:t xml:space="preserve">base effects came from </w:t>
      </w:r>
      <w:r w:rsidR="00521E75">
        <w:t xml:space="preserve">a strong reading for food prices and the introduction of VAT on private school fees in January 2025. </w:t>
      </w:r>
      <w:r w:rsidR="001503CA">
        <w:t>P</w:t>
      </w:r>
      <w:r w:rsidR="00521E75">
        <w:t xml:space="preserve">etrol prices </w:t>
      </w:r>
      <w:r w:rsidR="001503CA">
        <w:t>fell sharply between December and January, after rising a year earlier</w:t>
      </w:r>
      <w:r w:rsidR="00521E75">
        <w:t xml:space="preserve">. </w:t>
      </w:r>
      <w:r w:rsidR="001503CA">
        <w:t>T</w:t>
      </w:r>
      <w:r w:rsidR="00521E75">
        <w:t xml:space="preserve">here was </w:t>
      </w:r>
      <w:r w:rsidR="001503CA">
        <w:t xml:space="preserve">also </w:t>
      </w:r>
      <w:r w:rsidR="00521E75">
        <w:t xml:space="preserve">some payback in </w:t>
      </w:r>
      <w:r w:rsidR="00521E75" w:rsidRPr="00521E75">
        <w:t>the volatile air fares and games and hobbies sub-categories</w:t>
      </w:r>
      <w:r w:rsidR="00521E75">
        <w:t xml:space="preserve">, as </w:t>
      </w:r>
      <w:r w:rsidR="000F219B">
        <w:t xml:space="preserve">December's </w:t>
      </w:r>
      <w:r w:rsidR="00521E75">
        <w:t xml:space="preserve">unseasonally strong </w:t>
      </w:r>
      <w:r w:rsidR="000F219B">
        <w:t xml:space="preserve">outturns </w:t>
      </w:r>
      <w:r w:rsidR="00521E75">
        <w:t xml:space="preserve">unwound. Elsewhere, RPI </w:t>
      </w:r>
      <w:r w:rsidR="000F219B">
        <w:t>and RPIX also fell by 0.4ppts in January, to 3.8% and 3.7% respectively.</w:t>
      </w:r>
    </w:p>
    <w:p w14:paraId="5EF2B16D" w14:textId="44F22E0B" w:rsidR="00F869C4" w:rsidRDefault="00A60703" w:rsidP="009D7A2C">
      <w:r>
        <w:t xml:space="preserve">Looking ahead, several factors should pull headline inflation </w:t>
      </w:r>
      <w:r w:rsidR="00B70ECD">
        <w:t>materially</w:t>
      </w:r>
      <w:r>
        <w:t xml:space="preserve"> lower in the near term. We expect a combination of smaller once-a-year rises in index-linked and regulated prices, a substantial fall in the energy price cap, and the impact of policy measures from the 2025 Budget to drag inflation close to 2% in April.</w:t>
      </w:r>
      <w:r w:rsidR="00342ADC">
        <w:t xml:space="preserve"> However, we think there's a good chance that inflation edges higher again </w:t>
      </w:r>
      <w:r w:rsidR="00B70ECD">
        <w:t>from H2 2026, with sticky pay growth likely to prevent services inflation from cooling significantly.</w:t>
      </w:r>
    </w:p>
    <w:p w14:paraId="5F00CFDA" w14:textId="275CA87C" w:rsidR="000D5E15" w:rsidRDefault="00B70ECD" w:rsidP="00F869C4">
      <w:r>
        <w:t>The path for inflation this year is likely to be a little stronger than we previously forecast.</w:t>
      </w:r>
      <w:r w:rsidR="007735F2">
        <w:t xml:space="preserve"> This is partly due to us factoring in new regulatory price announcements over the past month, some of which have been slightly higher than anticipated. </w:t>
      </w:r>
      <w:r w:rsidR="00F53FDA">
        <w:t xml:space="preserve">Meanwhile, the Office for National Statistics increased the weight assigned to services prices, which boosts headline inflation. </w:t>
      </w:r>
      <w:r w:rsidR="00B6051C">
        <w:t xml:space="preserve">Incorporating these </w:t>
      </w:r>
      <w:r w:rsidR="00F53FDA">
        <w:t xml:space="preserve">changes </w:t>
      </w:r>
      <w:r w:rsidR="00B6051C">
        <w:t>into our forecast</w:t>
      </w:r>
      <w:r w:rsidR="00E97DBF">
        <w:t xml:space="preserve"> means we now see CPI inflation averaging </w:t>
      </w:r>
      <w:r w:rsidR="00A94EC2">
        <w:t>2.6</w:t>
      </w:r>
      <w:r w:rsidR="00E97DBF">
        <w:t xml:space="preserve">% </w:t>
      </w:r>
      <w:r w:rsidR="00A94EC2">
        <w:t>this year</w:t>
      </w:r>
      <w:r w:rsidR="00E97DBF">
        <w:t xml:space="preserve"> and </w:t>
      </w:r>
      <w:r w:rsidR="00A94EC2">
        <w:t>next</w:t>
      </w:r>
      <w:r w:rsidR="00E97DBF">
        <w:t>, up from 2.3% and 2.5% previously.</w:t>
      </w:r>
    </w:p>
    <w:p w14:paraId="7C9D4B98" w14:textId="1DAE03F2" w:rsidR="009D7A2C" w:rsidRDefault="009D7A2C" w:rsidP="000D5E15">
      <w:pPr>
        <w:pStyle w:val="ExhibitTitle"/>
        <w:jc w:val="center"/>
      </w:pPr>
      <w:r>
        <w:t xml:space="preserve">Chart </w:t>
      </w:r>
      <w:r>
        <w:fldChar w:fldCharType="begin"/>
      </w:r>
      <w:r w:rsidR="00775356">
        <w:instrText>SEQ CHART</w:instrText>
      </w:r>
      <w:r>
        <w:fldChar w:fldCharType="separate"/>
      </w:r>
      <w:r w:rsidR="00775356">
        <w:rPr>
          <w:noProof/>
        </w:rPr>
        <w:t>1</w:t>
      </w:r>
      <w:r>
        <w:fldChar w:fldCharType="end"/>
      </w:r>
      <w:r>
        <w:t xml:space="preserve">: </w:t>
      </w:r>
      <w:r w:rsidR="0055775A">
        <w:t xml:space="preserve">Regulatory price and weight changes have pushed up our </w:t>
      </w:r>
      <w:r w:rsidR="00367D45">
        <w:t>inflation forecast</w:t>
      </w:r>
      <w:r w:rsidR="00367D45" w:rsidRPr="00367D45">
        <w:t xml:space="preserve"> </w:t>
      </w:r>
      <w:r w:rsidR="00367D45">
        <w:t>this year and next</w:t>
      </w:r>
    </w:p>
    <w:p w14:paraId="3A916C30" w14:textId="5938B176" w:rsidR="000D5E15" w:rsidRDefault="000D5E15" w:rsidP="000D5E1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EFCEA16" wp14:editId="21758E0A">
            <wp:extent cx="4006964" cy="3145495"/>
            <wp:effectExtent l="0" t="0" r="0" b="0"/>
            <wp:docPr id="7230656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566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9618" w14:textId="096BED78" w:rsidR="00673B00" w:rsidRDefault="000D5E15" w:rsidP="000D5E15">
      <w:pPr>
        <w:pStyle w:val="ExhibitSource"/>
        <w:jc w:val="center"/>
      </w:pPr>
      <w:r>
        <w:t>Source: Oxford Economics, Haver Analytics</w:t>
      </w:r>
    </w:p>
    <w:p w14:paraId="447AD796" w14:textId="77777777" w:rsidR="00775356" w:rsidRPr="00775356" w:rsidRDefault="00775356" w:rsidP="00BE5508"/>
    <w:sectPr w:rsidR="00775356" w:rsidRPr="00775356" w:rsidSect="000D5E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7B15" w14:textId="77777777" w:rsidR="009A2B6B" w:rsidRDefault="009A2B6B" w:rsidP="009D7A2C">
      <w:pPr>
        <w:spacing w:before="0" w:after="0"/>
      </w:pPr>
      <w:r>
        <w:separator/>
      </w:r>
    </w:p>
  </w:endnote>
  <w:endnote w:type="continuationSeparator" w:id="0">
    <w:p w14:paraId="535D0870" w14:textId="77777777" w:rsidR="009A2B6B" w:rsidRDefault="009A2B6B" w:rsidP="009D7A2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2DA4" w14:textId="77777777" w:rsidR="00050F0D" w:rsidRDefault="00050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4D63" w14:textId="77777777" w:rsidR="00050F0D" w:rsidRDefault="00050F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8E09" w14:textId="578DCA94" w:rsidR="009D7A2C" w:rsidRDefault="009D7A2C" w:rsidP="009D7A2C">
    <w:pPr>
      <w:pStyle w:val="Author"/>
    </w:pPr>
    <w:r>
      <w:t>Edward Allenby</w:t>
    </w:r>
    <w:r w:rsidR="00BE5508">
      <w:t xml:space="preserve"> - </w:t>
    </w:r>
    <w:r>
      <w:t>Senior UK Economist</w:t>
    </w:r>
    <w:r w:rsidR="00BE5508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6F97" w14:textId="77777777" w:rsidR="009A2B6B" w:rsidRDefault="009A2B6B" w:rsidP="009D7A2C">
      <w:pPr>
        <w:spacing w:before="0" w:after="0"/>
      </w:pPr>
      <w:r>
        <w:separator/>
      </w:r>
    </w:p>
  </w:footnote>
  <w:footnote w:type="continuationSeparator" w:id="0">
    <w:p w14:paraId="236B71B4" w14:textId="77777777" w:rsidR="009A2B6B" w:rsidRDefault="009A2B6B" w:rsidP="009D7A2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4016" w14:textId="77777777" w:rsidR="009D7A2C" w:rsidRDefault="009D7A2C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A608" w14:textId="77777777" w:rsidR="009D7A2C" w:rsidRDefault="009D7A2C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1719" w14:textId="7AEF99F4" w:rsidR="009D7A2C" w:rsidRPr="009D7A2C" w:rsidRDefault="009D7A2C" w:rsidP="009D7A2C">
    <w:pPr>
      <w:rPr>
        <w:sz w:val="4"/>
      </w:rPr>
    </w:pPr>
    <w:r w:rsidRPr="009D7A2C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54F22F22" wp14:editId="5C7BD3AC">
          <wp:simplePos x="0" y="0"/>
          <wp:positionH relativeFrom="page">
            <wp:posOffset>112143</wp:posOffset>
          </wp:positionH>
          <wp:positionV relativeFrom="page">
            <wp:posOffset>163902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7A2C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6511140F" wp14:editId="19660C39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-1249805530"/>
      <w:lock w:val="sdtLocked"/>
      <w:placeholder>
        <w:docPart w:val="DefaultPlaceholder_-1854013437"/>
      </w:placeholder>
      <w:date w:fullDate="2026-02-18T00:00:00Z">
        <w:dateFormat w:val="d MMMM yyyy"/>
        <w:lid w:val="en-GB"/>
        <w:storeMappedDataAs w:val="dateTime"/>
        <w:calendar w:val="gregorian"/>
      </w:date>
    </w:sdtPr>
    <w:sdtEndPr/>
    <w:sdtContent>
      <w:p w14:paraId="41D387FA" w14:textId="7FE48876" w:rsidR="009D7A2C" w:rsidRPr="009D7A2C" w:rsidRDefault="009D7A2C" w:rsidP="009D7A2C">
        <w:pPr>
          <w:pStyle w:val="PublishDate"/>
          <w:framePr w:w="2835" w:h="340" w:hRule="exact" w:hSpace="180" w:wrap="around" w:vAnchor="page" w:hAnchor="page" w:x="7801" w:y="601" w:anchorLock="1"/>
        </w:pPr>
        <w:r>
          <w:t>18 February 2026</w:t>
        </w:r>
      </w:p>
    </w:sdtContent>
  </w:sdt>
  <w:p w14:paraId="235CE8D2" w14:textId="3BE8D09B" w:rsidR="009D7A2C" w:rsidRDefault="009D7A2C" w:rsidP="009D7A2C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2CE33EA8" w14:textId="134AFB37" w:rsidR="009D7A2C" w:rsidRDefault="00D46D69" w:rsidP="009D7A2C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Inflation </w:t>
    </w:r>
    <w:r w:rsidR="001503CA">
      <w:t xml:space="preserve">will </w:t>
    </w:r>
    <w:r w:rsidR="00FC30B0">
      <w:t>fall sharply</w:t>
    </w:r>
    <w:r>
      <w:t xml:space="preserve"> in April, before drifting up again in H2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2C"/>
    <w:rsid w:val="00012BA2"/>
    <w:rsid w:val="00050F0D"/>
    <w:rsid w:val="000761F3"/>
    <w:rsid w:val="000829D1"/>
    <w:rsid w:val="000D5E15"/>
    <w:rsid w:val="000F219B"/>
    <w:rsid w:val="001503CA"/>
    <w:rsid w:val="00235C14"/>
    <w:rsid w:val="0024619F"/>
    <w:rsid w:val="002E1419"/>
    <w:rsid w:val="002E6BE5"/>
    <w:rsid w:val="00342ADC"/>
    <w:rsid w:val="00367D45"/>
    <w:rsid w:val="004C6872"/>
    <w:rsid w:val="00521E75"/>
    <w:rsid w:val="0055775A"/>
    <w:rsid w:val="00561AB7"/>
    <w:rsid w:val="00585B16"/>
    <w:rsid w:val="005D5368"/>
    <w:rsid w:val="00673B00"/>
    <w:rsid w:val="00676B9B"/>
    <w:rsid w:val="00736EC7"/>
    <w:rsid w:val="007735F2"/>
    <w:rsid w:val="00775356"/>
    <w:rsid w:val="00802AB9"/>
    <w:rsid w:val="009A2B6B"/>
    <w:rsid w:val="009D7A2C"/>
    <w:rsid w:val="00A47865"/>
    <w:rsid w:val="00A60703"/>
    <w:rsid w:val="00A94EC2"/>
    <w:rsid w:val="00AB47FE"/>
    <w:rsid w:val="00B6051C"/>
    <w:rsid w:val="00B70ECD"/>
    <w:rsid w:val="00BD003E"/>
    <w:rsid w:val="00BE5508"/>
    <w:rsid w:val="00BF34BE"/>
    <w:rsid w:val="00CF75F1"/>
    <w:rsid w:val="00D46D69"/>
    <w:rsid w:val="00DD5553"/>
    <w:rsid w:val="00E75EE0"/>
    <w:rsid w:val="00E8219E"/>
    <w:rsid w:val="00E97DBF"/>
    <w:rsid w:val="00F06C86"/>
    <w:rsid w:val="00F53FDA"/>
    <w:rsid w:val="00F869C4"/>
    <w:rsid w:val="00F93D51"/>
    <w:rsid w:val="00FC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F12D5"/>
  <w15:chartTrackingRefBased/>
  <w15:docId w15:val="{6124529F-FF5E-4C51-9138-3D09C5ED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A2C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A2C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D7A2C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A2C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7A2C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D7A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D7A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D7A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D7A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D7A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2C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7A2C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7A2C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D7A2C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D7A2C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2C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2C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2C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2C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7A2C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2C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9D7A2C"/>
    <w:pPr>
      <w:numPr>
        <w:numId w:val="3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9D7A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A2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7A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A2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D7A2C"/>
    <w:rPr>
      <w:noProof w:val="0"/>
    </w:rPr>
  </w:style>
  <w:style w:type="character" w:styleId="Hyperlink">
    <w:name w:val="Hyperlink"/>
    <w:basedOn w:val="DefaultParagraphFont"/>
    <w:uiPriority w:val="99"/>
    <w:unhideWhenUsed/>
    <w:rsid w:val="009D7A2C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D7A2C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D7A2C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9D7A2C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9D7A2C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9D7A2C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9D7A2C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rsid w:val="009D7A2C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9D7A2C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9D7A2C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9D7A2C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9D7A2C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D7A2C"/>
    <w:pPr>
      <w:numPr>
        <w:numId w:val="1"/>
      </w:numPr>
      <w:ind w:left="0" w:firstLine="0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9D7A2C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9D7A2C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9D7A2C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9D7A2C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9D7A2C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9D7A2C"/>
    <w:rPr>
      <w:rFonts w:ascii="Segoe UI" w:hAnsi="Segoe UI" w:cs="Segoe UI"/>
      <w:noProof w:val="0"/>
      <w:color w:val="003469"/>
      <w:kern w:val="0"/>
      <w:sz w:val="24"/>
      <w:szCs w:val="24"/>
      <w14:ligatures w14:val="none"/>
    </w:rPr>
  </w:style>
  <w:style w:type="character" w:customStyle="1" w:styleId="AuthorChar">
    <w:name w:val="Author Char"/>
    <w:basedOn w:val="FooterChar"/>
    <w:link w:val="Author"/>
    <w:rsid w:val="009D7A2C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D7A2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9D7A2C"/>
    <w:pPr>
      <w:numPr>
        <w:numId w:val="4"/>
      </w:numPr>
      <w:spacing w:after="200" w:line="240" w:lineRule="auto"/>
      <w:ind w:left="283" w:hanging="283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D7A2C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D7A2C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9D7A2C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D7A2C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9D7A2C"/>
    <w:rPr>
      <w:b/>
      <w:bCs/>
      <w:noProof w:val="0"/>
    </w:rPr>
  </w:style>
  <w:style w:type="character" w:customStyle="1" w:styleId="Italics">
    <w:name w:val="Italics"/>
    <w:uiPriority w:val="1"/>
    <w:qFormat/>
    <w:rsid w:val="009D7A2C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9D7A2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5411-55AC-420A-9915-F62A805067FC}"/>
      </w:docPartPr>
      <w:docPartBody>
        <w:p w:rsidR="00E9668E" w:rsidRDefault="00E9668E">
          <w:r w:rsidRPr="00841209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8E"/>
    <w:rsid w:val="00012BA2"/>
    <w:rsid w:val="0024619F"/>
    <w:rsid w:val="00AB47FE"/>
    <w:rsid w:val="00B02308"/>
    <w:rsid w:val="00BD003E"/>
    <w:rsid w:val="00E9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391</Words>
  <Characters>2019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10</cp:revision>
  <dcterms:created xsi:type="dcterms:W3CDTF">2026-02-18T13:01:00Z</dcterms:created>
  <dcterms:modified xsi:type="dcterms:W3CDTF">2026-02-18T13:11:00Z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2026-02-18T13:06:58.000Z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v0.8.2.4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KEY_THEMES">
    <vt:lpwstr>inflation,forecast</vt:lpwstr>
  </property>
  <property fmtid="{D5CDD505-2E9C-101B-9397-08002B2CF9AE}" pid="17" name="OEP_DATA_FILEPATH">
    <vt:lpwstr>Z:\UK Team\Inflation Model\20260218 UK IF.xlsx</vt:lpwstr>
  </property>
  <property fmtid="{D5CDD505-2E9C-101B-9397-08002B2CF9AE}" pid="18" name="OEP_PRODUCT_CODE">
    <vt:lpwstr>56eD73a191C04EA3b1Fb98</vt:lpwstr>
  </property>
  <property fmtid="{D5CDD505-2E9C-101B-9397-08002B2CF9AE}" pid="19" name="OEP_PUBLISH_DATE">
    <vt:lpwstr/>
  </property>
</Properties>
</file>