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4BA95" w14:textId="5E52C072" w:rsidR="007C2E98" w:rsidRDefault="00616980" w:rsidP="007C2E98">
      <w:pPr>
        <w:pStyle w:val="Bullet"/>
      </w:pPr>
      <w:r>
        <w:t xml:space="preserve">We have raised our forecast for UK CPI inflation significantly over the next couple of years, reflecting the impact of the ongoing conflict in the Middle East. </w:t>
      </w:r>
      <w:r w:rsidR="00A233AD">
        <w:t xml:space="preserve">Higher oil prices are already feeding through to petrol prices, and we expect domestic energy bills to rise </w:t>
      </w:r>
      <w:r w:rsidR="00393ED5">
        <w:t xml:space="preserve">by 21% </w:t>
      </w:r>
      <w:r w:rsidR="00A233AD">
        <w:t>from July. The spike in oil and gas prices is also expected to lift the prices of other goods and services.</w:t>
      </w:r>
    </w:p>
    <w:p w14:paraId="2A044625" w14:textId="3A1D4A4D" w:rsidR="007C2E98" w:rsidRDefault="00393ED5" w:rsidP="007C2E98">
      <w:pPr>
        <w:pStyle w:val="Bullet"/>
      </w:pPr>
      <w:r>
        <w:t xml:space="preserve">Under our </w:t>
      </w:r>
      <w:r w:rsidR="000255DC">
        <w:t xml:space="preserve">baseline </w:t>
      </w:r>
      <w:r>
        <w:t xml:space="preserve">oil and gas price </w:t>
      </w:r>
      <w:r w:rsidR="0043667D">
        <w:t>assumption</w:t>
      </w:r>
      <w:r w:rsidR="004E1687">
        <w:t>s</w:t>
      </w:r>
      <w:r>
        <w:t xml:space="preserve">, </w:t>
      </w:r>
      <w:r w:rsidR="004E1687">
        <w:t xml:space="preserve">CPI </w:t>
      </w:r>
      <w:r w:rsidR="00A233AD">
        <w:t xml:space="preserve">inflation </w:t>
      </w:r>
      <w:r>
        <w:t>is forecast to reach</w:t>
      </w:r>
      <w:r w:rsidR="004E1687">
        <w:t xml:space="preserve"> 4.5% </w:t>
      </w:r>
      <w:r w:rsidR="00A233AD">
        <w:t xml:space="preserve">in H2 2026 and average 3.9% over 2026 as a whole. </w:t>
      </w:r>
      <w:r w:rsidR="00B17625">
        <w:t>S</w:t>
      </w:r>
      <w:r w:rsidR="00A233AD">
        <w:t xml:space="preserve">trong base effects </w:t>
      </w:r>
      <w:r w:rsidR="00B17625">
        <w:t xml:space="preserve">will </w:t>
      </w:r>
      <w:r w:rsidR="00A233AD">
        <w:t xml:space="preserve">pull inflation </w:t>
      </w:r>
      <w:r w:rsidR="00B17625">
        <w:t>down in</w:t>
      </w:r>
      <w:r w:rsidR="00A233AD">
        <w:t xml:space="preserve"> 2027.</w:t>
      </w:r>
      <w:r w:rsidR="00B775F6">
        <w:t xml:space="preserve"> But there's significant uncertainty around the </w:t>
      </w:r>
      <w:r w:rsidR="00680850">
        <w:t xml:space="preserve">impact of the </w:t>
      </w:r>
      <w:r w:rsidR="00B775F6">
        <w:t>conflict</w:t>
      </w:r>
      <w:r w:rsidR="00680850">
        <w:t xml:space="preserve"> on oil and gas </w:t>
      </w:r>
      <w:r w:rsidR="00CA7773">
        <w:t>prices.</w:t>
      </w:r>
    </w:p>
    <w:p w14:paraId="62B27D95" w14:textId="294D3925" w:rsidR="002371F1" w:rsidRDefault="00F542FD" w:rsidP="007C2E98">
      <w:r>
        <w:t xml:space="preserve">CPI inflation was unchanged at 3% in February. The fuel category weighed </w:t>
      </w:r>
      <w:r w:rsidR="00CF7154">
        <w:t xml:space="preserve">more heavily </w:t>
      </w:r>
      <w:r>
        <w:t xml:space="preserve">on inflation, </w:t>
      </w:r>
      <w:r w:rsidR="00CF7154">
        <w:t xml:space="preserve">with </w:t>
      </w:r>
      <w:r>
        <w:t>a 1.1% m/m drop in petrol prices between January and February</w:t>
      </w:r>
      <w:r w:rsidR="00CF7154">
        <w:t xml:space="preserve"> contrasting with </w:t>
      </w:r>
      <w:r>
        <w:t xml:space="preserve">a 1.5% increase in the same period last year. </w:t>
      </w:r>
      <w:r w:rsidR="00855EDC">
        <w:t>Meanwhile</w:t>
      </w:r>
      <w:r>
        <w:t xml:space="preserve">, services and food price inflation also cooled. But these </w:t>
      </w:r>
      <w:r w:rsidR="002C2F9D">
        <w:t>movements</w:t>
      </w:r>
      <w:r>
        <w:t xml:space="preserve"> were offset by upward pressure from the core goods category, </w:t>
      </w:r>
      <w:r w:rsidR="00855EDC">
        <w:t xml:space="preserve">which largely reflected the </w:t>
      </w:r>
      <w:r w:rsidR="00366F4F">
        <w:t xml:space="preserve">comparison with </w:t>
      </w:r>
      <w:r>
        <w:t xml:space="preserve">last year's unusually soft outturn in the clothing sub-category. </w:t>
      </w:r>
      <w:r w:rsidR="00855EDC">
        <w:t xml:space="preserve">Elsewhere, </w:t>
      </w:r>
      <w:r>
        <w:t xml:space="preserve">RPI </w:t>
      </w:r>
      <w:r w:rsidR="002371F1">
        <w:t xml:space="preserve">and RPIX </w:t>
      </w:r>
      <w:r>
        <w:t xml:space="preserve">inflation </w:t>
      </w:r>
      <w:r w:rsidR="002371F1">
        <w:t>fell by 0.2ppts to sit at 3.6% and 3.5% in February.</w:t>
      </w:r>
    </w:p>
    <w:p w14:paraId="6D4EEDDD" w14:textId="5E0C7515" w:rsidR="00B32CDE" w:rsidRDefault="00632B83" w:rsidP="00FF1F74">
      <w:r>
        <w:t>W</w:t>
      </w:r>
      <w:r w:rsidR="00A71337">
        <w:t xml:space="preserve">e expect CPI inflation to accelerate in the coming months as the impact of the </w:t>
      </w:r>
      <w:hyperlink r:id="rId7" w:history="1">
        <w:r w:rsidR="00A71337" w:rsidRPr="003051E9">
          <w:rPr>
            <w:rStyle w:val="Hyperlink"/>
          </w:rPr>
          <w:t>Middle East conflict</w:t>
        </w:r>
      </w:hyperlink>
      <w:r w:rsidR="00A71337">
        <w:t xml:space="preserve"> feeds through. </w:t>
      </w:r>
      <w:r w:rsidR="007205CF">
        <w:t xml:space="preserve">There's significant uncertainty around the duration of the conflict and its impact on oil and gas prices. Our baseline forecast </w:t>
      </w:r>
      <w:r w:rsidR="00021839" w:rsidRPr="00021839">
        <w:t>assumes disruption in the Strait of Hormuz and damage to energy infrastructure will keep oil and gas prices high in Q2 before gradually dropping back</w:t>
      </w:r>
      <w:r w:rsidR="008704E6">
        <w:t>.</w:t>
      </w:r>
      <w:r w:rsidR="00021839" w:rsidRPr="00021839">
        <w:t xml:space="preserve"> </w:t>
      </w:r>
      <w:r w:rsidR="00A71337">
        <w:t xml:space="preserve">Higher oil prices are already </w:t>
      </w:r>
      <w:r w:rsidR="002C2F9D">
        <w:t>pushing up</w:t>
      </w:r>
      <w:r w:rsidR="00A71337">
        <w:t xml:space="preserve"> fuel prices</w:t>
      </w:r>
      <w:r w:rsidR="002C2F9D">
        <w:t xml:space="preserve"> significantly</w:t>
      </w:r>
      <w:r w:rsidR="00A71337">
        <w:t xml:space="preserve">. </w:t>
      </w:r>
      <w:r w:rsidR="008704E6">
        <w:t xml:space="preserve">Our gas price assumption is consistent with </w:t>
      </w:r>
      <w:r w:rsidR="00A71337">
        <w:t>the Ofgem Energy Price Cap ris</w:t>
      </w:r>
      <w:r w:rsidR="008704E6">
        <w:t>ing</w:t>
      </w:r>
      <w:r w:rsidR="00A71337">
        <w:t xml:space="preserve"> by 2</w:t>
      </w:r>
      <w:r w:rsidR="008704E6">
        <w:t>1</w:t>
      </w:r>
      <w:r w:rsidR="00A71337">
        <w:t>%</w:t>
      </w:r>
      <w:r w:rsidR="008704E6">
        <w:t xml:space="preserve"> in July</w:t>
      </w:r>
      <w:r w:rsidR="00A71337">
        <w:t xml:space="preserve">. </w:t>
      </w:r>
      <w:r>
        <w:t xml:space="preserve">We also anticipate some passthrough of higher fuel and energy costs for businesses to other parts of the inflation basket, such as food prices and the more energy-intensive parts of core inflation. </w:t>
      </w:r>
      <w:r w:rsidR="00793414">
        <w:t xml:space="preserve">We think second round effects </w:t>
      </w:r>
      <w:r w:rsidR="00680F86">
        <w:t xml:space="preserve">via higher pay growth will be more limited than in 2022-2023 due to much looser labour market conditions and </w:t>
      </w:r>
      <w:r w:rsidR="00997A8A">
        <w:t>weak activity.</w:t>
      </w:r>
    </w:p>
    <w:p w14:paraId="25CE6FA2" w14:textId="585CA2F2" w:rsidR="007438F8" w:rsidRDefault="00997A8A" w:rsidP="00FF1F74">
      <w:r>
        <w:t>Our new forecast shows CPI</w:t>
      </w:r>
      <w:r w:rsidR="007438F8">
        <w:t xml:space="preserve"> inflation </w:t>
      </w:r>
      <w:r w:rsidR="00E67EE0">
        <w:t>reach</w:t>
      </w:r>
      <w:r>
        <w:t>ing</w:t>
      </w:r>
      <w:r w:rsidR="00E67EE0">
        <w:t xml:space="preserve"> </w:t>
      </w:r>
      <w:r w:rsidR="007438F8">
        <w:t>4</w:t>
      </w:r>
      <w:r w:rsidR="00E67EE0">
        <w:t>.5</w:t>
      </w:r>
      <w:r w:rsidR="007438F8">
        <w:t>% in H2 2026</w:t>
      </w:r>
      <w:r w:rsidR="00B32CDE">
        <w:t>, and averag</w:t>
      </w:r>
      <w:r>
        <w:t>ing</w:t>
      </w:r>
      <w:r w:rsidR="00B32CDE">
        <w:t xml:space="preserve"> 3.9% over 2026 as a whole. </w:t>
      </w:r>
      <w:r>
        <w:t xml:space="preserve">Strong base effects then drag inflation </w:t>
      </w:r>
      <w:r w:rsidR="00B32CDE">
        <w:t>below the Bank of England's 2% target in H2 2027.</w:t>
      </w:r>
    </w:p>
    <w:p w14:paraId="401D8B77" w14:textId="78A586C2" w:rsidR="007C2E98" w:rsidRDefault="007C2E98" w:rsidP="002371F1">
      <w:pPr>
        <w:pStyle w:val="ExhibitTitle"/>
        <w:jc w:val="center"/>
      </w:pPr>
      <w:r>
        <w:t xml:space="preserve">Chart </w:t>
      </w:r>
      <w:r>
        <w:fldChar w:fldCharType="begin"/>
      </w:r>
      <w:r w:rsidR="006B222F">
        <w:instrText>SEQ CHART</w:instrText>
      </w:r>
      <w:r>
        <w:fldChar w:fldCharType="separate"/>
      </w:r>
      <w:r w:rsidR="006B222F">
        <w:rPr>
          <w:noProof/>
        </w:rPr>
        <w:t>1</w:t>
      </w:r>
      <w:r>
        <w:fldChar w:fldCharType="end"/>
      </w:r>
      <w:r>
        <w:t xml:space="preserve">: </w:t>
      </w:r>
      <w:r w:rsidR="00B32CDE">
        <w:t>We've raised our CPI inflation forecast significantly due to the</w:t>
      </w:r>
      <w:r w:rsidR="00A51465">
        <w:t xml:space="preserve"> </w:t>
      </w:r>
      <w:r w:rsidR="00B32CDE">
        <w:t>conflict in the Middle East</w:t>
      </w:r>
    </w:p>
    <w:p w14:paraId="095EF39A" w14:textId="09B0EA5E" w:rsidR="002371F1" w:rsidRDefault="002371F1" w:rsidP="002371F1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631BBB10" wp14:editId="6BA36747">
            <wp:extent cx="4006964" cy="3145495"/>
            <wp:effectExtent l="0" t="0" r="0" b="0"/>
            <wp:docPr id="5058143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143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4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8B32" w14:textId="10E79D83" w:rsidR="00673B00" w:rsidRDefault="002371F1" w:rsidP="002371F1">
      <w:pPr>
        <w:pStyle w:val="ExhibitSource"/>
        <w:jc w:val="center"/>
      </w:pPr>
      <w:r>
        <w:t>Source: Oxford Economics, Haver Analytics</w:t>
      </w:r>
    </w:p>
    <w:p w14:paraId="705251E4" w14:textId="77777777" w:rsidR="006D56A9" w:rsidRPr="006D56A9" w:rsidRDefault="006D56A9" w:rsidP="00755C96"/>
    <w:sectPr w:rsidR="006D56A9" w:rsidRPr="006D56A9" w:rsidSect="002371F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2665" w:right="1276" w:bottom="838" w:left="1134" w:header="708" w:footer="3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7A3EE" w14:textId="77777777" w:rsidR="00042399" w:rsidRDefault="00042399" w:rsidP="007C2E98">
      <w:pPr>
        <w:spacing w:before="0" w:after="0"/>
      </w:pPr>
      <w:r>
        <w:separator/>
      </w:r>
    </w:p>
  </w:endnote>
  <w:endnote w:type="continuationSeparator" w:id="0">
    <w:p w14:paraId="6F0B32BC" w14:textId="77777777" w:rsidR="00042399" w:rsidRDefault="00042399" w:rsidP="007C2E9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A541B" w14:textId="77777777" w:rsidR="001B237B" w:rsidRDefault="001B23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A1406" w14:textId="77777777" w:rsidR="001B237B" w:rsidRDefault="001B23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BF6D6" w14:textId="7B363FF1" w:rsidR="007C2E98" w:rsidRDefault="007C2E98" w:rsidP="007C2E98">
    <w:pPr>
      <w:pStyle w:val="Author"/>
    </w:pPr>
    <w:r>
      <w:t>Edward Allenby</w:t>
    </w:r>
    <w:r w:rsidR="00755C96">
      <w:t xml:space="preserve"> - </w:t>
    </w:r>
    <w:r>
      <w:t>Senior UK Economist</w:t>
    </w:r>
    <w:r w:rsidR="00755C96">
      <w:t xml:space="preserve"> - </w:t>
    </w:r>
    <w:r>
      <w:t>eallenby@oxfordeconomics.com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CABF8" w14:textId="77777777" w:rsidR="00042399" w:rsidRDefault="00042399" w:rsidP="007C2E98">
      <w:pPr>
        <w:spacing w:before="0" w:after="0"/>
      </w:pPr>
      <w:r>
        <w:separator/>
      </w:r>
    </w:p>
  </w:footnote>
  <w:footnote w:type="continuationSeparator" w:id="0">
    <w:p w14:paraId="476C2707" w14:textId="77777777" w:rsidR="00042399" w:rsidRDefault="00042399" w:rsidP="007C2E9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4AB0F" w14:textId="77777777" w:rsidR="007C2E98" w:rsidRDefault="007C2E98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4A537" w14:textId="77777777" w:rsidR="007C2E98" w:rsidRDefault="007C2E98">
    <w:pPr>
      <w:spacing w:before="0"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13252" w14:textId="25BB5E79" w:rsidR="007C2E98" w:rsidRPr="007C2E98" w:rsidRDefault="007C2E98" w:rsidP="007C2E98">
    <w:pPr>
      <w:rPr>
        <w:sz w:val="4"/>
      </w:rPr>
    </w:pPr>
    <w:r w:rsidRPr="007C2E98">
      <w:rPr>
        <w:noProof/>
        <w:sz w:val="4"/>
      </w:rPr>
      <w:drawing>
        <wp:anchor distT="0" distB="0" distL="114300" distR="114300" simplePos="0" relativeHeight="251658239" behindDoc="1" locked="1" layoutInCell="1" allowOverlap="1" wp14:anchorId="202409AC" wp14:editId="78C47B71">
          <wp:simplePos x="0" y="0"/>
          <wp:positionH relativeFrom="page">
            <wp:posOffset>114300</wp:posOffset>
          </wp:positionH>
          <wp:positionV relativeFrom="page">
            <wp:posOffset>161925</wp:posOffset>
          </wp:positionV>
          <wp:extent cx="1594485" cy="359410"/>
          <wp:effectExtent l="0" t="0" r="5715" b="2540"/>
          <wp:wrapNone/>
          <wp:docPr id="1918318740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8318740" name="Graphic 191831874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448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C2E98">
      <w:rPr>
        <w:noProof/>
        <w:sz w:val="4"/>
      </w:rPr>
      <w:drawing>
        <wp:anchor distT="0" distB="0" distL="114300" distR="114300" simplePos="0" relativeHeight="251659264" behindDoc="1" locked="1" layoutInCell="1" allowOverlap="1" wp14:anchorId="0ED3DDC5" wp14:editId="38015234">
          <wp:simplePos x="0" y="0"/>
          <wp:positionH relativeFrom="page">
            <wp:posOffset>0</wp:posOffset>
          </wp:positionH>
          <wp:positionV relativeFrom="page">
            <wp:posOffset>673100</wp:posOffset>
          </wp:positionV>
          <wp:extent cx="7569200" cy="1029737"/>
          <wp:effectExtent l="0" t="0" r="0" b="0"/>
          <wp:wrapNone/>
          <wp:docPr id="48875068" name="Picture 2" descr="A blue square with white lin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75068" name="Picture 2" descr="A blue square with white lines&#10;&#10;AI-generated content may be incorrect.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569200" cy="10297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sdt>
    <w:sdtPr>
      <w:id w:val="85113693"/>
      <w:lock w:val="sdtLocked"/>
      <w:placeholder>
        <w:docPart w:val="DefaultPlaceholder_-1854013437"/>
      </w:placeholder>
      <w:date w:fullDate="2026-03-25T00:00:00Z">
        <w:dateFormat w:val="d MMMM yyyy"/>
        <w:lid w:val="en-GB"/>
        <w:storeMappedDataAs w:val="dateTime"/>
        <w:calendar w:val="gregorian"/>
      </w:date>
    </w:sdtPr>
    <w:sdtEndPr/>
    <w:sdtContent>
      <w:p w14:paraId="7BAFE55F" w14:textId="13361308" w:rsidR="007C2E98" w:rsidRPr="007C2E98" w:rsidRDefault="007C2E98" w:rsidP="007C2E98">
        <w:pPr>
          <w:pStyle w:val="PublishDate"/>
          <w:framePr w:w="2835" w:h="340" w:hRule="exact" w:hSpace="180" w:wrap="around" w:vAnchor="page" w:hAnchor="page" w:x="7801" w:y="601" w:anchorLock="1"/>
        </w:pPr>
        <w:r>
          <w:t>25 March 2026</w:t>
        </w:r>
      </w:p>
    </w:sdtContent>
  </w:sdt>
  <w:p w14:paraId="2E57B3CF" w14:textId="603C5839" w:rsidR="007C2E98" w:rsidRDefault="00FF1F74" w:rsidP="007C2E98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Monthly inflation forecast</w:t>
    </w:r>
    <w:r w:rsidR="007C2E98">
      <w:t xml:space="preserve"> | </w:t>
    </w:r>
    <w:r>
      <w:t>UK</w:t>
    </w:r>
  </w:p>
  <w:p w14:paraId="08A721DA" w14:textId="68A324C2" w:rsidR="007C2E98" w:rsidRDefault="00B32CDE" w:rsidP="007C2E98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>
      <w:t xml:space="preserve">Middle East war pushes up inflation forecast significantly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00C94C9E"/>
    <w:multiLevelType w:val="hybridMultilevel"/>
    <w:tmpl w:val="D126495A"/>
    <w:lvl w:ilvl="0" w:tplc="C0D665C8">
      <w:start w:val="1"/>
      <w:numFmt w:val="bullet"/>
      <w:pStyle w:val="Bullet"/>
      <w:lvlText w:val=""/>
      <w:lvlJc w:val="left"/>
      <w:pPr>
        <w:ind w:left="360" w:hanging="360"/>
      </w:pPr>
      <w:rPr>
        <w:rFonts w:ascii="Wingdings" w:hAnsi="Wingdings" w:hint="default"/>
        <w:color w:val="92CDDC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4819658">
    <w:abstractNumId w:val="2"/>
  </w:num>
  <w:num w:numId="2" w16cid:durableId="2074311132">
    <w:abstractNumId w:val="1"/>
  </w:num>
  <w:num w:numId="3" w16cid:durableId="1590693657">
    <w:abstractNumId w:val="3"/>
  </w:num>
  <w:num w:numId="4" w16cid:durableId="159003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E98"/>
    <w:rsid w:val="00021839"/>
    <w:rsid w:val="000255DC"/>
    <w:rsid w:val="00042399"/>
    <w:rsid w:val="000C40BE"/>
    <w:rsid w:val="00110178"/>
    <w:rsid w:val="00127905"/>
    <w:rsid w:val="0014077E"/>
    <w:rsid w:val="00174ED9"/>
    <w:rsid w:val="001B237B"/>
    <w:rsid w:val="001D560E"/>
    <w:rsid w:val="00235C14"/>
    <w:rsid w:val="002371F1"/>
    <w:rsid w:val="00252E4D"/>
    <w:rsid w:val="002C2F9D"/>
    <w:rsid w:val="002E6BE5"/>
    <w:rsid w:val="003051E9"/>
    <w:rsid w:val="00366F4F"/>
    <w:rsid w:val="00393ED5"/>
    <w:rsid w:val="003E4CFB"/>
    <w:rsid w:val="00430F8A"/>
    <w:rsid w:val="0043667D"/>
    <w:rsid w:val="004E1687"/>
    <w:rsid w:val="0050238F"/>
    <w:rsid w:val="005241D4"/>
    <w:rsid w:val="00603BBC"/>
    <w:rsid w:val="00616980"/>
    <w:rsid w:val="00632B83"/>
    <w:rsid w:val="00665064"/>
    <w:rsid w:val="00673B00"/>
    <w:rsid w:val="00676B9B"/>
    <w:rsid w:val="00680850"/>
    <w:rsid w:val="00680F86"/>
    <w:rsid w:val="006A3D33"/>
    <w:rsid w:val="006B222F"/>
    <w:rsid w:val="006D56A9"/>
    <w:rsid w:val="007205CF"/>
    <w:rsid w:val="007438F8"/>
    <w:rsid w:val="007514F0"/>
    <w:rsid w:val="00755C96"/>
    <w:rsid w:val="0075742B"/>
    <w:rsid w:val="00793414"/>
    <w:rsid w:val="007C2E98"/>
    <w:rsid w:val="00855EDC"/>
    <w:rsid w:val="008704E6"/>
    <w:rsid w:val="008C1B0A"/>
    <w:rsid w:val="00997A8A"/>
    <w:rsid w:val="00A233AD"/>
    <w:rsid w:val="00A43794"/>
    <w:rsid w:val="00A51465"/>
    <w:rsid w:val="00A6765D"/>
    <w:rsid w:val="00A71337"/>
    <w:rsid w:val="00A82451"/>
    <w:rsid w:val="00B17625"/>
    <w:rsid w:val="00B32CDE"/>
    <w:rsid w:val="00B71CE3"/>
    <w:rsid w:val="00B775F6"/>
    <w:rsid w:val="00BD4123"/>
    <w:rsid w:val="00C8397C"/>
    <w:rsid w:val="00C95454"/>
    <w:rsid w:val="00CA7773"/>
    <w:rsid w:val="00CF7154"/>
    <w:rsid w:val="00DD67A5"/>
    <w:rsid w:val="00E47349"/>
    <w:rsid w:val="00E67EE0"/>
    <w:rsid w:val="00E70335"/>
    <w:rsid w:val="00E74C22"/>
    <w:rsid w:val="00F542FD"/>
    <w:rsid w:val="00FF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85645B"/>
  <w15:chartTrackingRefBased/>
  <w15:docId w15:val="{AF368B04-D483-4044-BCB9-E7211598E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E98"/>
    <w:pPr>
      <w:spacing w:before="100" w:after="100" w:line="240" w:lineRule="auto"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2E98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C2E98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2E98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2E98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7C2E9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7C2E9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7C2E9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7C2E9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7C2E9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E98"/>
    <w:rPr>
      <w:rFonts w:ascii="Segoe UI" w:eastAsiaTheme="majorEastAsia" w:hAnsi="Segoe UI" w:cstheme="majorBidi"/>
      <w:b/>
      <w:noProof w:val="0"/>
      <w:color w:val="003469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C2E98"/>
    <w:rPr>
      <w:rFonts w:ascii="Segoe UI" w:eastAsiaTheme="majorEastAsia" w:hAnsi="Segoe UI" w:cstheme="majorBidi"/>
      <w:b/>
      <w:noProof w:val="0"/>
      <w:color w:val="003469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C2E98"/>
    <w:rPr>
      <w:rFonts w:ascii="Segoe UI" w:eastAsiaTheme="majorEastAsia" w:hAnsi="Segoe UI" w:cstheme="majorBidi"/>
      <w:noProof w:val="0"/>
      <w:color w:val="003469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C2E98"/>
    <w:rPr>
      <w:rFonts w:ascii="Segoe UI" w:eastAsiaTheme="majorEastAsia" w:hAnsi="Segoe UI" w:cstheme="majorBidi"/>
      <w:iCs/>
      <w:noProof w:val="0"/>
      <w:color w:val="000000" w:themeColor="text1"/>
      <w:kern w:val="0"/>
      <w:sz w:val="20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7C2E98"/>
    <w:rPr>
      <w:rFonts w:asciiTheme="majorHAnsi" w:eastAsiaTheme="majorEastAsia" w:hAnsiTheme="majorHAnsi" w:cstheme="majorBidi"/>
      <w:noProof w:val="0"/>
      <w:color w:val="0F4761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E98"/>
    <w:rPr>
      <w:rFonts w:asciiTheme="majorHAnsi" w:eastAsiaTheme="majorEastAsia" w:hAnsiTheme="majorHAnsi" w:cstheme="majorBidi"/>
      <w:noProof w:val="0"/>
      <w:color w:val="0A2F40" w:themeColor="accent1" w:themeShade="7F"/>
      <w:kern w:val="0"/>
      <w:sz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E98"/>
    <w:rPr>
      <w:rFonts w:asciiTheme="majorHAnsi" w:eastAsiaTheme="majorEastAsia" w:hAnsiTheme="majorHAnsi" w:cstheme="majorBidi"/>
      <w:i/>
      <w:iCs/>
      <w:noProof w:val="0"/>
      <w:color w:val="0A2F40" w:themeColor="accent1" w:themeShade="7F"/>
      <w:kern w:val="0"/>
      <w:sz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E98"/>
    <w:rPr>
      <w:rFonts w:asciiTheme="majorHAnsi" w:eastAsiaTheme="majorEastAsia" w:hAnsiTheme="majorHAnsi" w:cstheme="majorBidi"/>
      <w:noProof w:val="0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E98"/>
    <w:rPr>
      <w:rFonts w:asciiTheme="majorHAnsi" w:eastAsiaTheme="majorEastAsia" w:hAnsiTheme="majorHAnsi" w:cstheme="majorBidi"/>
      <w:i/>
      <w:iCs/>
      <w:noProof w:val="0"/>
      <w:color w:val="272727" w:themeColor="text1" w:themeTint="D8"/>
      <w:kern w:val="0"/>
      <w:sz w:val="21"/>
      <w:szCs w:val="21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C2E98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E98"/>
    <w:rPr>
      <w:rFonts w:ascii="Segoe UI" w:hAnsi="Segoe UI" w:cs="Segoe UI"/>
      <w:i/>
      <w:iCs/>
      <w:noProof w:val="0"/>
      <w:color w:val="404040" w:themeColor="text1" w:themeTint="BF"/>
      <w:kern w:val="0"/>
      <w:sz w:val="20"/>
      <w14:ligatures w14:val="none"/>
    </w:rPr>
  </w:style>
  <w:style w:type="paragraph" w:styleId="ListParagraph">
    <w:name w:val="List Paragraph"/>
    <w:next w:val="Normal"/>
    <w:link w:val="ListParagraphChar"/>
    <w:uiPriority w:val="34"/>
    <w:locked/>
    <w:rsid w:val="007C2E98"/>
    <w:pPr>
      <w:numPr>
        <w:numId w:val="3"/>
      </w:numPr>
      <w:spacing w:after="0" w:line="240" w:lineRule="auto"/>
      <w:ind w:left="0" w:firstLine="0"/>
      <w:contextualSpacing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locked/>
    <w:rsid w:val="007C2E9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2E98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C2E9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2E98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7C2E98"/>
    <w:rPr>
      <w:noProof w:val="0"/>
    </w:rPr>
  </w:style>
  <w:style w:type="character" w:styleId="Hyperlink">
    <w:name w:val="Hyperlink"/>
    <w:basedOn w:val="DefaultParagraphFont"/>
    <w:uiPriority w:val="99"/>
    <w:unhideWhenUsed/>
    <w:rsid w:val="007C2E98"/>
    <w:rPr>
      <w:noProof w:val="0"/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7C2E98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szCs w:val="24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7C2E98"/>
    <w:pPr>
      <w:spacing w:after="120"/>
    </w:pPr>
    <w:rPr>
      <w:b/>
      <w:bCs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7C2E98"/>
    <w:rPr>
      <w:rFonts w:ascii="Segoe UI Semilight" w:hAnsi="Segoe UI Semilight" w:cs="Segoe UI Semilight"/>
      <w:b/>
      <w:bCs/>
      <w:color w:val="FFFFFF"/>
      <w:sz w:val="40"/>
      <w:szCs w:val="40"/>
    </w:rPr>
  </w:style>
  <w:style w:type="paragraph" w:customStyle="1" w:styleId="ExhibitTitle">
    <w:name w:val="Exhibit Title"/>
    <w:basedOn w:val="Normal"/>
    <w:qFormat/>
    <w:rsid w:val="007C2E98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7C2E98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7C2E98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kern w:val="0"/>
      <w:sz w:val="18"/>
      <w14:ligatures w14:val="none"/>
    </w:rPr>
  </w:style>
  <w:style w:type="paragraph" w:customStyle="1" w:styleId="Glossary">
    <w:name w:val="Glossary"/>
    <w:basedOn w:val="Normal"/>
    <w:rsid w:val="007C2E98"/>
    <w:pPr>
      <w:shd w:val="clear" w:color="auto" w:fill="70A9E0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link w:val="BulletChar"/>
    <w:qFormat/>
    <w:rsid w:val="007C2E98"/>
    <w:pPr>
      <w:numPr>
        <w:numId w:val="2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  <w:ind w:left="357" w:hanging="357"/>
    </w:pPr>
    <w:rPr>
      <w:rFonts w:ascii="Segoe UI" w:hAnsi="Segoe UI" w:cs="Segoe UI"/>
      <w:b/>
      <w:bCs/>
      <w:color w:val="003469"/>
      <w:kern w:val="0"/>
      <w:sz w:val="20"/>
      <w:szCs w:val="20"/>
      <w14:ligatures w14:val="none"/>
    </w:rPr>
  </w:style>
  <w:style w:type="character" w:customStyle="1" w:styleId="BulletChar">
    <w:name w:val="Bullet Char"/>
    <w:basedOn w:val="DefaultParagraphFont"/>
    <w:link w:val="Bullet"/>
    <w:rsid w:val="007C2E98"/>
    <w:rPr>
      <w:rFonts w:ascii="Segoe UI" w:hAnsi="Segoe UI" w:cs="Segoe UI"/>
      <w:b/>
      <w:bCs/>
      <w:noProof w:val="0"/>
      <w:color w:val="003469"/>
      <w:kern w:val="0"/>
      <w:sz w:val="20"/>
      <w:szCs w:val="20"/>
      <w:shd w:val="clear" w:color="auto" w:fill="F2F2F2" w:themeFill="background1" w:themeFillShade="F2"/>
      <w14:ligatures w14:val="none"/>
    </w:rPr>
  </w:style>
  <w:style w:type="paragraph" w:customStyle="1" w:styleId="TableHeader">
    <w:name w:val="Table Header"/>
    <w:basedOn w:val="TableData"/>
    <w:qFormat/>
    <w:rsid w:val="007C2E98"/>
    <w:rPr>
      <w:rFonts w:ascii="Segoe UI Semibold" w:hAnsi="Segoe UI Semibold" w:cs="Segoe UI Semibold"/>
      <w:color w:val="F2F2F2" w:themeColor="background1" w:themeShade="F2"/>
    </w:rPr>
  </w:style>
  <w:style w:type="character" w:customStyle="1" w:styleId="SummaryChar">
    <w:name w:val="Summary Char"/>
    <w:basedOn w:val="DefaultParagraphFont"/>
    <w:link w:val="Summary"/>
    <w:locked/>
    <w:rsid w:val="007C2E98"/>
    <w:rPr>
      <w:rFonts w:ascii="Segoe UI" w:hAnsi="Segoe UI" w:cs="Segoe UI"/>
      <w:noProof w:val="0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7C2E98"/>
    <w:pPr>
      <w:numPr>
        <w:numId w:val="1"/>
      </w:numPr>
      <w:ind w:left="0" w:firstLine="0"/>
    </w:pPr>
    <w:rPr>
      <w:kern w:val="2"/>
      <w:sz w:val="22"/>
      <w14:ligatures w14:val="standardContextual"/>
    </w:rPr>
  </w:style>
  <w:style w:type="paragraph" w:customStyle="1" w:styleId="TableData">
    <w:name w:val="Table Data"/>
    <w:link w:val="TableDataChar"/>
    <w:qFormat/>
    <w:rsid w:val="007C2E98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:szCs w:val="18"/>
      <w14:ligatures w14:val="none"/>
    </w:rPr>
  </w:style>
  <w:style w:type="character" w:customStyle="1" w:styleId="TableDataChar">
    <w:name w:val="Table Data Char"/>
    <w:basedOn w:val="DefaultParagraphFont"/>
    <w:link w:val="TableData"/>
    <w:rsid w:val="007C2E98"/>
    <w:rPr>
      <w:rFonts w:ascii="Segoe UI" w:hAnsi="Segoe UI" w:cs="Segoe UI"/>
      <w:noProof w:val="0"/>
      <w:color w:val="000000" w:themeColor="text1"/>
      <w:kern w:val="0"/>
      <w:sz w:val="20"/>
      <w:szCs w:val="18"/>
      <w14:ligatures w14:val="none"/>
    </w:rPr>
  </w:style>
  <w:style w:type="character" w:customStyle="1" w:styleId="HeadlineChar">
    <w:name w:val="Headline Char"/>
    <w:basedOn w:val="DefaultParagraphFont"/>
    <w:link w:val="Headline"/>
    <w:rsid w:val="007C2E98"/>
    <w:rPr>
      <w:rFonts w:ascii="Segoe UI Semilight" w:hAnsi="Segoe UI Semilight" w:cs="Segoe UI Semilight"/>
      <w:b/>
      <w:bCs/>
      <w:noProof w:val="0"/>
      <w:color w:val="FFFFFF"/>
      <w:kern w:val="0"/>
      <w:sz w:val="40"/>
      <w:szCs w:val="40"/>
      <w14:ligatures w14:val="none"/>
    </w:rPr>
  </w:style>
  <w:style w:type="paragraph" w:customStyle="1" w:styleId="PublishDate">
    <w:name w:val="Publish Date"/>
    <w:basedOn w:val="Normal"/>
    <w:link w:val="PublishDateChar"/>
    <w:qFormat/>
    <w:rsid w:val="007C2E98"/>
    <w:pPr>
      <w:spacing w:before="0" w:after="0"/>
      <w:jc w:val="right"/>
    </w:pPr>
    <w:rPr>
      <w:color w:val="003469"/>
      <w:sz w:val="24"/>
      <w:szCs w:val="24"/>
    </w:rPr>
  </w:style>
  <w:style w:type="paragraph" w:customStyle="1" w:styleId="Author">
    <w:name w:val="Author"/>
    <w:basedOn w:val="Bullet"/>
    <w:link w:val="AuthorChar"/>
    <w:qFormat/>
    <w:rsid w:val="007C2E98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PublishDateChar">
    <w:name w:val="Publish Date Char"/>
    <w:basedOn w:val="DefaultParagraphFont"/>
    <w:link w:val="PublishDate"/>
    <w:rsid w:val="007C2E98"/>
    <w:rPr>
      <w:rFonts w:ascii="Segoe UI" w:hAnsi="Segoe UI" w:cs="Segoe UI"/>
      <w:noProof w:val="0"/>
      <w:color w:val="003469"/>
      <w:kern w:val="0"/>
      <w:sz w:val="24"/>
      <w:szCs w:val="24"/>
      <w14:ligatures w14:val="none"/>
    </w:rPr>
  </w:style>
  <w:style w:type="character" w:customStyle="1" w:styleId="AuthorChar">
    <w:name w:val="Author Char"/>
    <w:basedOn w:val="FooterChar"/>
    <w:link w:val="Author"/>
    <w:rsid w:val="007C2E98"/>
    <w:rPr>
      <w:rFonts w:ascii="Segoe UI" w:hAnsi="Segoe UI" w:cs="Segoe UI"/>
      <w:b/>
      <w:bCs/>
      <w:noProof w:val="0"/>
      <w:color w:val="7F7F7F" w:themeColor="text1" w:themeTint="80"/>
      <w:kern w:val="0"/>
      <w:sz w:val="20"/>
      <w:shd w:val="clear" w:color="auto" w:fill="F2F2F2" w:themeFill="background1" w:themeFillShade="F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C2E98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customStyle="1" w:styleId="BodyBullet">
    <w:name w:val="Body Bullet"/>
    <w:link w:val="BodyBulletChar"/>
    <w:qFormat/>
    <w:rsid w:val="007C2E98"/>
    <w:pPr>
      <w:numPr>
        <w:numId w:val="4"/>
      </w:numPr>
      <w:spacing w:after="200" w:line="240" w:lineRule="auto"/>
      <w:ind w:left="283" w:hanging="283"/>
      <w:contextualSpacing/>
    </w:pPr>
    <w:rPr>
      <w:rFonts w:ascii="Segoe UI" w:hAnsi="Segoe UI" w:cs="Segoe UI"/>
      <w:bCs/>
      <w:kern w:val="0"/>
      <w:sz w:val="20"/>
      <w:szCs w:val="20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7C2E98"/>
    <w:rPr>
      <w:rFonts w:ascii="Segoe UI" w:hAnsi="Segoe UI" w:cs="Segoe UI"/>
      <w:bCs/>
      <w:noProof w:val="0"/>
      <w:kern w:val="0"/>
      <w:sz w:val="20"/>
      <w:szCs w:val="20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7C2E98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7C2E98"/>
    <w:rPr>
      <w:rFonts w:ascii="Segoe UI" w:hAnsi="Segoe UI" w:cs="Segoe UI"/>
      <w:noProof w:val="0"/>
      <w:color w:val="003469"/>
      <w:kern w:val="0"/>
      <w:sz w:val="20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7C2E98"/>
    <w:rPr>
      <w:rFonts w:ascii="Segoe UI" w:hAnsi="Segoe UI" w:cs="Segoe UI"/>
      <w:b/>
      <w:bCs/>
      <w:noProof w:val="0"/>
      <w:color w:val="FFFFFF"/>
      <w:kern w:val="0"/>
      <w:sz w:val="32"/>
      <w:szCs w:val="32"/>
      <w14:ligatures w14:val="none"/>
    </w:rPr>
  </w:style>
  <w:style w:type="character" w:customStyle="1" w:styleId="Bold">
    <w:name w:val="Bold"/>
    <w:basedOn w:val="DefaultParagraphFont"/>
    <w:uiPriority w:val="1"/>
    <w:qFormat/>
    <w:rsid w:val="007C2E98"/>
    <w:rPr>
      <w:b/>
      <w:bCs/>
      <w:noProof w:val="0"/>
    </w:rPr>
  </w:style>
  <w:style w:type="character" w:customStyle="1" w:styleId="Italics">
    <w:name w:val="Italics"/>
    <w:uiPriority w:val="1"/>
    <w:qFormat/>
    <w:rsid w:val="007C2E98"/>
    <w:rPr>
      <w:i/>
      <w:iCs/>
      <w:noProof w:val="0"/>
    </w:rPr>
  </w:style>
  <w:style w:type="table" w:customStyle="1" w:styleId="TableGridHeader">
    <w:name w:val="Table Grid Header"/>
    <w:basedOn w:val="TableNormal"/>
    <w:uiPriority w:val="99"/>
    <w:rsid w:val="007C2E98"/>
    <w:pPr>
      <w:spacing w:after="200" w:line="240" w:lineRule="auto"/>
    </w:pPr>
    <w:rPr>
      <w:rFonts w:ascii="Segoe UI" w:eastAsiaTheme="minorEastAsia" w:hAnsi="Segoe UI"/>
      <w:color w:val="F2F2F2" w:themeColor="background1" w:themeShade="F2"/>
      <w:kern w:val="0"/>
      <w:szCs w:val="20"/>
      <w:lang w:eastAsia="en-GB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y.oxfordeconomics.com/reportaction/6D3aAc8aC6Db477faa39Ca/Toc" TargetMode="Externa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svg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D0053A-5A52-4BA7-9C61-70BEBA3A8BA9}"/>
      </w:docPartPr>
      <w:docPartBody>
        <w:p w:rsidR="00F32896" w:rsidRDefault="00F32896">
          <w:r w:rsidRPr="006A114C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896"/>
    <w:rsid w:val="00110178"/>
    <w:rsid w:val="0014077E"/>
    <w:rsid w:val="00444687"/>
    <w:rsid w:val="00A43794"/>
    <w:rsid w:val="00BD4123"/>
    <w:rsid w:val="00F3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434</Words>
  <Characters>2149</Characters>
  <Application>Microsoft Office Word</Application>
  <DocSecurity>0</DocSecurity>
  <Lines>28</Lines>
  <Paragraphs>8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Allenby</dc:creator>
  <cp:keywords/>
  <dc:description/>
  <cp:lastModifiedBy>Edward Allenby</cp:lastModifiedBy>
  <cp:revision>36</cp:revision>
  <dcterms:created xsi:type="dcterms:W3CDTF">2026-03-25T10:39:00Z</dcterms:created>
  <dcterms:modified xsi:type="dcterms:W3CDTF">2026-03-25T11:48:00Z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1.0.0.14</vt:lpwstr>
  </property>
  <property fmtid="{D5CDD505-2E9C-101B-9397-08002B2CF9AE}" pid="3" name="OEP_GROUP_BRAND">
    <vt:lpwstr>OE</vt:lpwstr>
  </property>
  <property fmtid="{D5CDD505-2E9C-101B-9397-08002B2CF9AE}" pid="4" name="MSIP_Label_231f5784-19ed-4d1e-9a93-4ea41014d730_Enabled">
    <vt:lpwstr>true</vt:lpwstr>
  </property>
  <property fmtid="{D5CDD505-2E9C-101B-9397-08002B2CF9AE}" pid="5" name="MSIP_Label_231f5784-19ed-4d1e-9a93-4ea41014d730_SetDate">
    <vt:lpwstr>2026-03-25T11:43:56.000Z</vt:lpwstr>
  </property>
  <property fmtid="{D5CDD505-2E9C-101B-9397-08002B2CF9AE}" pid="6" name="MSIP_Label_231f5784-19ed-4d1e-9a93-4ea41014d730_Method">
    <vt:lpwstr>Privileged</vt:lpwstr>
  </property>
  <property fmtid="{D5CDD505-2E9C-101B-9397-08002B2CF9AE}" pid="7" name="MSIP_Label_231f5784-19ed-4d1e-9a93-4ea41014d730_Name">
    <vt:lpwstr>External</vt:lpwstr>
  </property>
  <property fmtid="{D5CDD505-2E9C-101B-9397-08002B2CF9AE}" pid="8" name="MSIP_Label_231f5784-19ed-4d1e-9a93-4ea41014d730_SiteId">
    <vt:lpwstr>2c277f63-6743-4f98-ac15-4851e55c0cc7</vt:lpwstr>
  </property>
  <property fmtid="{D5CDD505-2E9C-101B-9397-08002B2CF9AE}" pid="9" name="OEP_TEMPLATE_STYLES">
    <vt:lpwstr>v0.8.2.4</vt:lpwstr>
  </property>
  <property fmtid="{D5CDD505-2E9C-101B-9397-08002B2CF9AE}" pid="10" name="OEP_ANALYST_FULLNAME">
    <vt:lpwstr>Edward Allenby</vt:lpwstr>
  </property>
  <property fmtid="{D5CDD505-2E9C-101B-9397-08002B2CF9AE}" pid="11" name="OEP_ANALYST_JOBTITLE">
    <vt:lpwstr>Senior UK Economist</vt:lpwstr>
  </property>
  <property fmtid="{D5CDD505-2E9C-101B-9397-08002B2CF9AE}" pid="12" name="OEP_ANALYST_EMAIL">
    <vt:lpwstr>eallenby@oxfordeconomics.com</vt:lpwstr>
  </property>
  <property fmtid="{D5CDD505-2E9C-101B-9397-08002B2CF9AE}" pid="13" name="OEP_AUTHORS">
    <vt:lpwstr>Edward Allenby|Senior UK Economist|eallenby@oxfordeconomics.com_x000d_</vt:lpwstr>
  </property>
  <property fmtid="{D5CDD505-2E9C-101B-9397-08002B2CF9AE}" pid="14" name="OEP_CATEGORIES">
    <vt:lpwstr>AnalysisbyRegion-Europe-UnitedKingdom,Macro-UKMonthlyInflation</vt:lpwstr>
  </property>
  <property fmtid="{D5CDD505-2E9C-101B-9397-08002B2CF9AE}" pid="15" name="OEP_TAGS">
    <vt:lpwstr>Key Themes:inflation,forecast,energy prices,commodities,Middle East conflict</vt:lpwstr>
  </property>
  <property fmtid="{D5CDD505-2E9C-101B-9397-08002B2CF9AE}" pid="16" name="OEP_KEY_THEMES">
    <vt:lpwstr>inflation,forecast,energy prices,commodities,Middle East conflict</vt:lpwstr>
  </property>
  <property fmtid="{D5CDD505-2E9C-101B-9397-08002B2CF9AE}" pid="17" name="OEP_DATA_FILEPATH">
    <vt:lpwstr>Z:\UK Team\Inflation Model\20260325 UK IF.xlsx</vt:lpwstr>
  </property>
  <property fmtid="{D5CDD505-2E9C-101B-9397-08002B2CF9AE}" pid="18" name="OEP_PRODUCT_CODE">
    <vt:lpwstr>4c0351b354D84DB591Be2e</vt:lpwstr>
  </property>
  <property fmtid="{D5CDD505-2E9C-101B-9397-08002B2CF9AE}" pid="19" name="OEP_PUBLISH_DATE">
    <vt:lpwstr/>
  </property>
</Properties>
</file>