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243B5" w14:textId="7CB435E4" w:rsidR="00CA7407" w:rsidRDefault="0093065E" w:rsidP="00CA7407">
      <w:pPr>
        <w:pStyle w:val="Bullet"/>
      </w:pPr>
      <w:r>
        <w:t>Our sentiment data</w:t>
      </w:r>
      <w:r w:rsidR="0086491C">
        <w:t>-based nowcast</w:t>
      </w:r>
      <w:r>
        <w:t xml:space="preserve">, developed with Penta, suggests </w:t>
      </w:r>
      <w:r w:rsidR="00EE54B7">
        <w:t xml:space="preserve">UK </w:t>
      </w:r>
      <w:r>
        <w:t xml:space="preserve">employment growth has continued to slow in recent months. But as yet, there is no evidence </w:t>
      </w:r>
      <w:r w:rsidR="0014687C">
        <w:t xml:space="preserve">that </w:t>
      </w:r>
      <w:r w:rsidR="00D35C6D">
        <w:t xml:space="preserve">last month's </w:t>
      </w:r>
      <w:r w:rsidR="0014687C">
        <w:t xml:space="preserve">increases in employers' national insurance contributions and </w:t>
      </w:r>
      <w:r w:rsidR="00D35C6D">
        <w:t xml:space="preserve">the </w:t>
      </w:r>
      <w:r w:rsidR="0014687C">
        <w:t xml:space="preserve">national living wage have </w:t>
      </w:r>
      <w:r w:rsidR="001E1D10">
        <w:t>triggered large-scale job losses</w:t>
      </w:r>
      <w:r w:rsidR="00CA7407">
        <w:t>.</w:t>
      </w:r>
    </w:p>
    <w:p w14:paraId="1D6188E1" w14:textId="0E9BABB6" w:rsidR="00CA7407" w:rsidRDefault="00D35C6D" w:rsidP="00CA7407">
      <w:pPr>
        <w:pStyle w:val="Bullet"/>
      </w:pPr>
      <w:r>
        <w:t>Our measure of l</w:t>
      </w:r>
      <w:r w:rsidR="00727A9A">
        <w:t>abour market sentiment has stabilised at very low levels</w:t>
      </w:r>
      <w:r w:rsidR="00CA7407">
        <w:t>.</w:t>
      </w:r>
      <w:r w:rsidR="00727A9A">
        <w:t xml:space="preserve"> The detailed results continue to suggest that firms are prioritising retention over recruitment, though encouragingly the score for expansion plans has progressively strengthened in the past six months.</w:t>
      </w:r>
    </w:p>
    <w:p w14:paraId="23987143" w14:textId="1315CABA" w:rsidR="00CA7407" w:rsidRDefault="0086491C" w:rsidP="00CA7407">
      <w:pPr>
        <w:pStyle w:val="Bullet"/>
      </w:pPr>
      <w:r>
        <w:t>Our nowcast</w:t>
      </w:r>
      <w:r w:rsidR="00745B04">
        <w:t xml:space="preserve"> on</w:t>
      </w:r>
      <w:r>
        <w:t xml:space="preserve"> </w:t>
      </w:r>
      <w:r w:rsidR="00745B04">
        <w:t xml:space="preserve">pay </w:t>
      </w:r>
      <w:r>
        <w:t xml:space="preserve">suggests private sector regular pay growth will stabilise in Q2, rather than fall as the Bank of England anticipates. Given the Monetary Policy Committee </w:t>
      </w:r>
      <w:r w:rsidR="00405EB0">
        <w:t>puts a high weight</w:t>
      </w:r>
      <w:r>
        <w:t xml:space="preserve"> on pay growth as an indicator of underlying inflation pressures, this is likely to reinforce the committee's caution around the pace of interest rate cuts.</w:t>
      </w:r>
    </w:p>
    <w:p w14:paraId="42C80CFF" w14:textId="0391215D" w:rsidR="009D5344" w:rsidRDefault="00213349" w:rsidP="00CA7407">
      <w:r>
        <w:t xml:space="preserve">It's a little over a </w:t>
      </w:r>
      <w:r w:rsidR="00876592">
        <w:t xml:space="preserve">month </w:t>
      </w:r>
      <w:r>
        <w:t xml:space="preserve">since </w:t>
      </w:r>
      <w:r w:rsidR="00876592">
        <w:t>the increases in employers' national insurance contributions and national living wage went into effect</w:t>
      </w:r>
      <w:r>
        <w:t xml:space="preserve">. </w:t>
      </w:r>
      <w:r w:rsidR="005720F4">
        <w:t>H</w:t>
      </w:r>
      <w:r w:rsidR="008B6D5A">
        <w:t xml:space="preserve">ard data </w:t>
      </w:r>
      <w:r>
        <w:t xml:space="preserve">on the impact </w:t>
      </w:r>
      <w:r w:rsidR="008B6D5A">
        <w:t xml:space="preserve">is </w:t>
      </w:r>
      <w:r w:rsidR="00B114F6">
        <w:t>starting to</w:t>
      </w:r>
      <w:r w:rsidR="008B6D5A">
        <w:t xml:space="preserve"> emerg</w:t>
      </w:r>
      <w:r w:rsidR="00B114F6">
        <w:t>e</w:t>
      </w:r>
      <w:r w:rsidR="008B6D5A">
        <w:t>, but it will be several months before there's enough data to get a strong steer. And in any case</w:t>
      </w:r>
      <w:r>
        <w:t xml:space="preserve">, as we've </w:t>
      </w:r>
      <w:r w:rsidR="00745B04">
        <w:t>frequently pointed out</w:t>
      </w:r>
      <w:r>
        <w:t xml:space="preserve">, there are major concerns about the accuracy of official data. </w:t>
      </w:r>
      <w:r w:rsidR="004E6852">
        <w:t xml:space="preserve">So alternative data sources, such as </w:t>
      </w:r>
      <w:hyperlink r:id="rId10" w:history="1">
        <w:r w:rsidR="00D66E46" w:rsidRPr="00D66E46">
          <w:rPr>
            <w:rStyle w:val="Hyperlink"/>
          </w:rPr>
          <w:t>our proprietary high-frequency sentiment dataset</w:t>
        </w:r>
      </w:hyperlink>
      <w:r w:rsidR="00D66E46" w:rsidRPr="00D66E46">
        <w:t xml:space="preserve">, developed in collaboration with </w:t>
      </w:r>
      <w:hyperlink r:id="rId11" w:history="1">
        <w:r w:rsidR="00D66E46" w:rsidRPr="00D66E46">
          <w:rPr>
            <w:rStyle w:val="Hyperlink"/>
          </w:rPr>
          <w:t>Penta</w:t>
        </w:r>
      </w:hyperlink>
      <w:r w:rsidR="004E6852">
        <w:t>, are particularly important.</w:t>
      </w:r>
    </w:p>
    <w:p w14:paraId="278EBAD9" w14:textId="73803472" w:rsidR="00CD3864" w:rsidRDefault="007658B4" w:rsidP="0087653E">
      <w:r>
        <w:t xml:space="preserve">In </w:t>
      </w:r>
      <w:hyperlink r:id="rId12" w:history="1">
        <w:r w:rsidRPr="007658B4">
          <w:rPr>
            <w:rStyle w:val="Hyperlink"/>
          </w:rPr>
          <w:t>our previous update</w:t>
        </w:r>
      </w:hyperlink>
      <w:r>
        <w:t xml:space="preserve"> in January, we noted that most sentiment measures had fallen sharply in H2 2024. Some of the fall pre-dated the </w:t>
      </w:r>
      <w:r w:rsidR="00DF7936">
        <w:t xml:space="preserve">October </w:t>
      </w:r>
      <w:r>
        <w:t xml:space="preserve">Budget, but the announcement of the NICs increase appeared to accelerate the </w:t>
      </w:r>
      <w:r w:rsidR="002C505A">
        <w:t>deterioration</w:t>
      </w:r>
      <w:r>
        <w:t xml:space="preserve"> in confidence. </w:t>
      </w:r>
    </w:p>
    <w:p w14:paraId="01684779" w14:textId="1E93C67E" w:rsidR="00574D9E" w:rsidRDefault="004E6852" w:rsidP="00574D9E">
      <w:r>
        <w:t>Our latest update is based on sentiment data up to early-May</w:t>
      </w:r>
      <w:r w:rsidR="007658B4">
        <w:t xml:space="preserve"> and shows </w:t>
      </w:r>
      <w:r w:rsidR="008B6D5A">
        <w:t xml:space="preserve">our headline measure of labour market confidence stabilising at </w:t>
      </w:r>
      <w:r w:rsidR="004A6AD0">
        <w:t>the</w:t>
      </w:r>
      <w:r w:rsidR="008B6D5A">
        <w:t xml:space="preserve"> low</w:t>
      </w:r>
      <w:r w:rsidR="004A6AD0">
        <w:t xml:space="preserve">est </w:t>
      </w:r>
      <w:r w:rsidR="008B6D5A">
        <w:t>level</w:t>
      </w:r>
      <w:r w:rsidR="00F24D32">
        <w:t xml:space="preserve"> </w:t>
      </w:r>
      <w:r w:rsidR="004A6AD0">
        <w:t xml:space="preserve">seen since </w:t>
      </w:r>
      <w:r w:rsidR="00DF7936">
        <w:t xml:space="preserve">we launched </w:t>
      </w:r>
      <w:r w:rsidR="004A6AD0">
        <w:t>our indicator in mid-2016</w:t>
      </w:r>
      <w:r w:rsidR="00574D9E">
        <w:t xml:space="preserve"> </w:t>
      </w:r>
      <w:r w:rsidR="00F24D32">
        <w:t>(</w:t>
      </w:r>
      <w:r w:rsidR="0087653E" w:rsidRPr="00F46D2E">
        <w:rPr>
          <w:b/>
          <w:color w:val="003469"/>
        </w:rPr>
        <w:fldChar w:fldCharType="begin"/>
      </w:r>
      <w:r w:rsidR="00F46D2E" w:rsidRPr="00F46D2E">
        <w:rPr>
          <w:b/>
          <w:color w:val="003469"/>
        </w:rPr>
        <w:instrText xml:space="preserve">REF _Ref198111890 \h \* Charformat </w:instrText>
      </w:r>
      <w:r w:rsidR="00F46D2E" w:rsidRPr="00F46D2E">
        <w:rPr>
          <w:b/>
          <w:color w:val="003469"/>
        </w:rPr>
      </w:r>
      <w:r w:rsidR="0087653E" w:rsidRPr="00F46D2E">
        <w:rPr>
          <w:b/>
          <w:color w:val="003469"/>
        </w:rPr>
        <w:fldChar w:fldCharType="separate"/>
      </w:r>
      <w:r w:rsidR="00F46D2E" w:rsidRPr="00F46D2E">
        <w:rPr>
          <w:b/>
          <w:color w:val="003469"/>
        </w:rPr>
        <w:t>Chart 1</w:t>
      </w:r>
      <w:r w:rsidR="0087653E" w:rsidRPr="00F46D2E">
        <w:rPr>
          <w:b/>
          <w:color w:val="003469"/>
        </w:rPr>
        <w:fldChar w:fldCharType="end"/>
      </w:r>
      <w:r w:rsidR="00F24D32">
        <w:t>)</w:t>
      </w:r>
      <w:r>
        <w:t>.</w:t>
      </w:r>
    </w:p>
    <w:p w14:paraId="25402974" w14:textId="71BED893" w:rsidR="00CA7407" w:rsidRDefault="00CA7407" w:rsidP="00574D9E">
      <w:pPr>
        <w:pStyle w:val="ExhibitTitle"/>
        <w:jc w:val="center"/>
      </w:pPr>
      <w:bookmarkStart w:id="0" w:name="_Ref198111890"/>
      <w:r>
        <w:t xml:space="preserve">Chart </w:t>
      </w:r>
      <w:r>
        <w:fldChar w:fldCharType="begin"/>
      </w:r>
      <w:r w:rsidR="00574D9E">
        <w:instrText>SEQ CHART</w:instrText>
      </w:r>
      <w:r>
        <w:fldChar w:fldCharType="separate"/>
      </w:r>
      <w:r w:rsidR="00574D9E">
        <w:t>1</w:t>
      </w:r>
      <w:r>
        <w:fldChar w:fldCharType="end"/>
      </w:r>
      <w:bookmarkEnd w:id="0"/>
      <w:r>
        <w:t>:</w:t>
      </w:r>
      <w:r w:rsidR="009D5344">
        <w:t xml:space="preserve"> </w:t>
      </w:r>
      <w:r w:rsidR="005C2ED4">
        <w:t>La</w:t>
      </w:r>
      <w:r w:rsidR="0087653E">
        <w:t>bour market s</w:t>
      </w:r>
      <w:r w:rsidR="009D5344">
        <w:t xml:space="preserve">entiment </w:t>
      </w:r>
      <w:r w:rsidR="0087653E">
        <w:t xml:space="preserve">has dropped </w:t>
      </w:r>
      <w:r w:rsidR="005C2ED4">
        <w:t>to historically low levels</w:t>
      </w:r>
    </w:p>
    <w:p w14:paraId="35E0BBA3" w14:textId="3A892112" w:rsidR="00574D9E" w:rsidRDefault="00574D9E" w:rsidP="00574D9E">
      <w:pPr>
        <w:spacing w:after="0"/>
        <w:jc w:val="center"/>
      </w:pPr>
      <w:r>
        <w:rPr>
          <w:noProof/>
        </w:rPr>
        <w:drawing>
          <wp:inline distT="0" distB="0" distL="0" distR="0" wp14:anchorId="39C6906C" wp14:editId="458F915F">
            <wp:extent cx="4006964" cy="3140642"/>
            <wp:effectExtent l="0" t="0" r="0" b="3175"/>
            <wp:docPr id="119565700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7001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7A99" w14:textId="2019CCC6" w:rsidR="00CA7407" w:rsidRDefault="00574D9E" w:rsidP="00574D9E">
      <w:pPr>
        <w:pStyle w:val="ExhibitSource"/>
        <w:jc w:val="center"/>
      </w:pPr>
      <w:r>
        <w:t>Sources: Oxford Economics, Penta</w:t>
      </w:r>
    </w:p>
    <w:p w14:paraId="326CEE65" w14:textId="1451750F" w:rsidR="00CA7407" w:rsidRDefault="00CA7407" w:rsidP="00CA7407">
      <w:pPr>
        <w:pStyle w:val="ExhibitSource"/>
        <w:jc w:val="center"/>
        <w:sectPr w:rsidR="00CA7407" w:rsidSect="00574D9E">
          <w:headerReference w:type="even" r:id="rId15"/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2665" w:right="1276" w:bottom="1218" w:left="1134" w:header="708" w:footer="300" w:gutter="0"/>
          <w:cols w:space="708"/>
          <w:titlePg/>
          <w:docGrid w:linePitch="360"/>
        </w:sectPr>
      </w:pPr>
    </w:p>
    <w:p w14:paraId="60DA05F0" w14:textId="129E68F2" w:rsidR="00F96448" w:rsidRDefault="00231882" w:rsidP="00A77DEA">
      <w:r>
        <w:lastRenderedPageBreak/>
        <w:t xml:space="preserve">Drilling down into the individual components, </w:t>
      </w:r>
      <w:r w:rsidR="000D4718">
        <w:t xml:space="preserve">the scores for jobs and recruitment remain well below historical norms, whereas </w:t>
      </w:r>
      <w:r w:rsidR="008975F4">
        <w:t>t</w:t>
      </w:r>
      <w:r w:rsidR="000D4718">
        <w:t xml:space="preserve">alent </w:t>
      </w:r>
      <w:r w:rsidR="008975F4">
        <w:t>and</w:t>
      </w:r>
      <w:r w:rsidR="000D4718">
        <w:t xml:space="preserve"> HR remains resilient. </w:t>
      </w:r>
      <w:r w:rsidR="00651A39">
        <w:t>T</w:t>
      </w:r>
      <w:r w:rsidR="00A77DEA">
        <w:t>his</w:t>
      </w:r>
      <w:r w:rsidR="000D4718">
        <w:t xml:space="preserve"> suggest</w:t>
      </w:r>
      <w:r w:rsidR="00A77DEA">
        <w:t>s</w:t>
      </w:r>
      <w:r w:rsidR="000D4718">
        <w:t xml:space="preserve"> </w:t>
      </w:r>
      <w:r w:rsidR="00A77DEA">
        <w:t>firms continue to prioritise retention of existing staff over new hires (</w:t>
      </w:r>
      <w:r w:rsidR="00E2714F" w:rsidRPr="00F46D2E">
        <w:rPr>
          <w:b/>
          <w:color w:val="003469"/>
        </w:rPr>
        <w:fldChar w:fldCharType="begin"/>
      </w:r>
      <w:r w:rsidR="00F46D2E" w:rsidRPr="00F46D2E">
        <w:rPr>
          <w:b/>
          <w:color w:val="003469"/>
        </w:rPr>
        <w:instrText xml:space="preserve">REF _Ref198126733 \h \* Charformat </w:instrText>
      </w:r>
      <w:r w:rsidR="00F46D2E" w:rsidRPr="00F46D2E">
        <w:rPr>
          <w:b/>
          <w:color w:val="003469"/>
        </w:rPr>
      </w:r>
      <w:r w:rsidR="00E2714F" w:rsidRPr="00F46D2E">
        <w:rPr>
          <w:b/>
          <w:color w:val="003469"/>
        </w:rPr>
        <w:fldChar w:fldCharType="separate"/>
      </w:r>
      <w:r w:rsidR="00F46D2E" w:rsidRPr="00F46D2E">
        <w:rPr>
          <w:b/>
          <w:color w:val="003469"/>
        </w:rPr>
        <w:t>Chart 2</w:t>
      </w:r>
      <w:r w:rsidR="00E2714F" w:rsidRPr="00F46D2E">
        <w:rPr>
          <w:b/>
          <w:color w:val="003469"/>
        </w:rPr>
        <w:fldChar w:fldCharType="end"/>
      </w:r>
      <w:r w:rsidR="00A77DEA">
        <w:t>).</w:t>
      </w:r>
      <w:r w:rsidR="00CA7407">
        <w:t xml:space="preserve"> </w:t>
      </w:r>
      <w:r w:rsidR="00F96448">
        <w:t xml:space="preserve">This is consistent with the picture from official data, which shows </w:t>
      </w:r>
      <w:r w:rsidR="008D78E5">
        <w:t>redundancies remaining at relatively low levels and unfilled vacancies continuing to fall.</w:t>
      </w:r>
    </w:p>
    <w:p w14:paraId="3E2DF9E9" w14:textId="34E3A576" w:rsidR="00CA7407" w:rsidRDefault="00CA7407" w:rsidP="00F46D2E">
      <w:pPr>
        <w:pStyle w:val="ExhibitTitle"/>
      </w:pPr>
      <w:bookmarkStart w:id="1" w:name="_Ref198126733"/>
      <w:r>
        <w:t xml:space="preserve">Chart </w:t>
      </w:r>
      <w:r>
        <w:fldChar w:fldCharType="begin"/>
      </w:r>
      <w:r w:rsidR="007213B1">
        <w:instrText>SEQ CHART</w:instrText>
      </w:r>
      <w:r>
        <w:fldChar w:fldCharType="separate"/>
      </w:r>
      <w:r w:rsidR="00574D9E">
        <w:t>2</w:t>
      </w:r>
      <w:r>
        <w:fldChar w:fldCharType="end"/>
      </w:r>
      <w:bookmarkEnd w:id="1"/>
      <w:r>
        <w:t xml:space="preserve">: </w:t>
      </w:r>
      <w:r w:rsidR="00F96448">
        <w:t>Firms still appear to prioritise retention over recruitment</w:t>
      </w:r>
    </w:p>
    <w:p w14:paraId="2B3FFD0A" w14:textId="0230E012" w:rsidR="007213B1" w:rsidRDefault="007213B1" w:rsidP="00F46D2E">
      <w:pPr>
        <w:spacing w:after="0"/>
      </w:pPr>
      <w:r>
        <w:rPr>
          <w:noProof/>
        </w:rPr>
        <w:drawing>
          <wp:inline distT="0" distB="0" distL="0" distR="0" wp14:anchorId="2810C185" wp14:editId="4251B882">
            <wp:extent cx="3250933" cy="2548068"/>
            <wp:effectExtent l="0" t="0" r="6985" b="5080"/>
            <wp:docPr id="1613111034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11034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66C5" w14:textId="37748A40" w:rsidR="00CA7407" w:rsidRDefault="007213B1" w:rsidP="00F46D2E">
      <w:pPr>
        <w:pStyle w:val="ExhibitSource"/>
      </w:pPr>
      <w:r>
        <w:t>Sources: Oxford Economics, Penta</w:t>
      </w:r>
    </w:p>
    <w:p w14:paraId="07B7A210" w14:textId="213F4885" w:rsidR="00F96448" w:rsidRDefault="00F96448" w:rsidP="00F96448">
      <w:r>
        <w:t xml:space="preserve">Still, the score for expansion plans has progressively strengthened over the past six months, suggesting that </w:t>
      </w:r>
      <w:r w:rsidR="00651A39">
        <w:t xml:space="preserve">for some firms, </w:t>
      </w:r>
      <w:r>
        <w:t xml:space="preserve">the NICs increase hasn't been a major impediment to </w:t>
      </w:r>
      <w:r w:rsidR="00651A39">
        <w:t>growth</w:t>
      </w:r>
      <w:r>
        <w:t>.</w:t>
      </w:r>
    </w:p>
    <w:p w14:paraId="2A7FED2C" w14:textId="380A2E26" w:rsidR="00F96448" w:rsidRDefault="00F96448" w:rsidP="00F46D2E">
      <w:pPr>
        <w:pStyle w:val="Heading3"/>
      </w:pPr>
      <w:r>
        <w:t xml:space="preserve">Nowcast shows employment growth </w:t>
      </w:r>
      <w:r w:rsidR="00926838">
        <w:t xml:space="preserve">is </w:t>
      </w:r>
      <w:r>
        <w:t>continuing to gradually slow</w:t>
      </w:r>
    </w:p>
    <w:p w14:paraId="168B3E28" w14:textId="2A05A2A9" w:rsidR="00CA7407" w:rsidRDefault="00D12789" w:rsidP="00CA7407">
      <w:r>
        <w:t>Our sentiment data-based employment nowcast suggests that jobs growth has continued to cool, with April's reading being the lowest since the pandemic (</w:t>
      </w:r>
      <w:r w:rsidR="00E528A3" w:rsidRPr="00F46D2E">
        <w:rPr>
          <w:b/>
          <w:color w:val="003469"/>
        </w:rPr>
        <w:fldChar w:fldCharType="begin"/>
      </w:r>
      <w:r w:rsidR="00F46D2E" w:rsidRPr="00F46D2E">
        <w:rPr>
          <w:b/>
          <w:color w:val="003469"/>
        </w:rPr>
        <w:instrText xml:space="preserve">REF _Ref198190607 \h \* Charformat </w:instrText>
      </w:r>
      <w:r w:rsidR="00F46D2E" w:rsidRPr="00F46D2E">
        <w:rPr>
          <w:b/>
          <w:color w:val="003469"/>
        </w:rPr>
      </w:r>
      <w:r w:rsidR="00E528A3" w:rsidRPr="00F46D2E">
        <w:rPr>
          <w:b/>
          <w:color w:val="003469"/>
        </w:rPr>
        <w:fldChar w:fldCharType="separate"/>
      </w:r>
      <w:r w:rsidR="00F46D2E" w:rsidRPr="00F46D2E">
        <w:rPr>
          <w:b/>
          <w:color w:val="003469"/>
        </w:rPr>
        <w:t>Chart 3</w:t>
      </w:r>
      <w:r w:rsidR="00E528A3" w:rsidRPr="00F46D2E">
        <w:rPr>
          <w:b/>
          <w:color w:val="003469"/>
        </w:rPr>
        <w:fldChar w:fldCharType="end"/>
      </w:r>
      <w:r>
        <w:t xml:space="preserve">). Our nowcast is slightly stronger than HMRC's count of employees on payrolls, </w:t>
      </w:r>
      <w:r w:rsidR="0037540E">
        <w:t>though</w:t>
      </w:r>
      <w:r>
        <w:t xml:space="preserve"> recently early HMRC estimates have tended to be revised up over time.</w:t>
      </w:r>
    </w:p>
    <w:p w14:paraId="44B6B594" w14:textId="4DA8EF1A" w:rsidR="00CA7407" w:rsidRDefault="00CA7407" w:rsidP="00F46D2E">
      <w:pPr>
        <w:pStyle w:val="ExhibitTitle"/>
      </w:pPr>
      <w:bookmarkStart w:id="2" w:name="_Ref198190607"/>
      <w:r>
        <w:t xml:space="preserve">Chart </w:t>
      </w:r>
      <w:r>
        <w:fldChar w:fldCharType="begin"/>
      </w:r>
      <w:r w:rsidR="00B36780">
        <w:instrText>SEQ CHART</w:instrText>
      </w:r>
      <w:r>
        <w:fldChar w:fldCharType="separate"/>
      </w:r>
      <w:r w:rsidR="00574D9E">
        <w:t>3</w:t>
      </w:r>
      <w:r>
        <w:fldChar w:fldCharType="end"/>
      </w:r>
      <w:bookmarkEnd w:id="2"/>
      <w:r>
        <w:t xml:space="preserve">: </w:t>
      </w:r>
      <w:r w:rsidR="00E66B0B">
        <w:t xml:space="preserve">Our nowcast shows </w:t>
      </w:r>
      <w:r w:rsidR="00F56FFF">
        <w:t>employment growth continuing to slow, but no big shakeout yet</w:t>
      </w:r>
    </w:p>
    <w:p w14:paraId="41B3EEA1" w14:textId="73EAD4D2" w:rsidR="00B36780" w:rsidRDefault="00B36780" w:rsidP="00F46D2E">
      <w:pPr>
        <w:spacing w:after="0"/>
      </w:pPr>
      <w:r>
        <w:rPr>
          <w:noProof/>
        </w:rPr>
        <w:drawing>
          <wp:inline distT="0" distB="0" distL="0" distR="0" wp14:anchorId="12F383FD" wp14:editId="70C6FE59">
            <wp:extent cx="3250933" cy="2548068"/>
            <wp:effectExtent l="0" t="0" r="6985" b="5080"/>
            <wp:docPr id="2042769724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9724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D31" w14:textId="00B1B448" w:rsidR="00CA7407" w:rsidRDefault="00B36780" w:rsidP="00F46D2E">
      <w:pPr>
        <w:pStyle w:val="ExhibitSource"/>
      </w:pPr>
      <w:r>
        <w:t>Sources: Oxford Economics, Penta, Haver Analytics</w:t>
      </w:r>
    </w:p>
    <w:p w14:paraId="500D3101" w14:textId="005A03E3" w:rsidR="00772878" w:rsidRDefault="00772878" w:rsidP="00CA7407">
      <w:r>
        <w:t xml:space="preserve">By contrast, our nowcast is much weaker than the latest data from the Office for National Statistics' Labour Force Survey. The ONS has </w:t>
      </w:r>
      <w:hyperlink r:id="rId24" w:history="1">
        <w:r w:rsidRPr="00A051DC">
          <w:rPr>
            <w:rStyle w:val="Hyperlink"/>
          </w:rPr>
          <w:t>recently trumpeted</w:t>
        </w:r>
      </w:hyperlink>
      <w:r>
        <w:t xml:space="preserve"> improvements in response rates and levels for its flagship </w:t>
      </w:r>
      <w:r w:rsidR="00F870C3">
        <w:t xml:space="preserve">labour market </w:t>
      </w:r>
      <w:r>
        <w:t>survey. But the LFS remain</w:t>
      </w:r>
      <w:r w:rsidR="00926838">
        <w:t>s</w:t>
      </w:r>
      <w:r>
        <w:t xml:space="preserve"> an outlier </w:t>
      </w:r>
      <w:r w:rsidR="00926838">
        <w:t xml:space="preserve">compared to </w:t>
      </w:r>
      <w:r>
        <w:t xml:space="preserve">other sources and its recent strength is very hard to </w:t>
      </w:r>
      <w:r w:rsidR="00926838">
        <w:t xml:space="preserve">reconcile </w:t>
      </w:r>
      <w:r>
        <w:t xml:space="preserve">with </w:t>
      </w:r>
      <w:r w:rsidR="00483FD0">
        <w:t>evidence from the wider economy</w:t>
      </w:r>
      <w:r>
        <w:t>.</w:t>
      </w:r>
    </w:p>
    <w:p w14:paraId="003A0335" w14:textId="62D74578" w:rsidR="00CA7407" w:rsidRDefault="00E66B0B" w:rsidP="00CA7407">
      <w:r>
        <w:lastRenderedPageBreak/>
        <w:t xml:space="preserve">Still, the news from our nowcast and recent HMRC data on the NICs impact is relatively </w:t>
      </w:r>
      <w:r w:rsidR="004360D5">
        <w:t>positive</w:t>
      </w:r>
      <w:r w:rsidR="00CA7407">
        <w:t>.</w:t>
      </w:r>
      <w:r>
        <w:t xml:space="preserve"> While </w:t>
      </w:r>
      <w:r w:rsidR="001C5799">
        <w:t xml:space="preserve">momentum continues to ebb, we're not yet seeing the </w:t>
      </w:r>
      <w:r w:rsidR="00D76087">
        <w:t>much deeper downturn in jobs</w:t>
      </w:r>
      <w:r w:rsidR="001C5799">
        <w:t xml:space="preserve"> that </w:t>
      </w:r>
      <w:hyperlink r:id="rId25" w:history="1">
        <w:r w:rsidR="001C5799" w:rsidRPr="0093065E">
          <w:rPr>
            <w:rStyle w:val="Hyperlink"/>
          </w:rPr>
          <w:t>we thought could happen</w:t>
        </w:r>
      </w:hyperlink>
      <w:r w:rsidR="001C5799">
        <w:t xml:space="preserve"> given the extent to which the increase in labour costs was focused on lower</w:t>
      </w:r>
      <w:r w:rsidR="004360D5">
        <w:t>-</w:t>
      </w:r>
      <w:r w:rsidR="001C5799">
        <w:t xml:space="preserve">paid roles and </w:t>
      </w:r>
      <w:r w:rsidR="00C667F1">
        <w:t xml:space="preserve">uncertainty </w:t>
      </w:r>
      <w:r w:rsidR="0022176B">
        <w:t>around</w:t>
      </w:r>
      <w:r w:rsidR="00C667F1">
        <w:t xml:space="preserve"> the ability of firms to absorb further cost increases</w:t>
      </w:r>
      <w:r w:rsidR="001C5799">
        <w:t>.</w:t>
      </w:r>
    </w:p>
    <w:p w14:paraId="46B7C622" w14:textId="7096304F" w:rsidR="00F56FFF" w:rsidRDefault="005A65F2" w:rsidP="00F46D2E">
      <w:pPr>
        <w:pStyle w:val="Heading3"/>
      </w:pPr>
      <w:r>
        <w:t>Resilience in our pay nowcast will play on the MPC's supply concerns</w:t>
      </w:r>
    </w:p>
    <w:p w14:paraId="76CF3C56" w14:textId="015EE3E6" w:rsidR="000175E2" w:rsidRDefault="00DB55E4" w:rsidP="00CA7407">
      <w:r>
        <w:t xml:space="preserve">The sentiment score for remuneration </w:t>
      </w:r>
      <w:r w:rsidR="004A3AFC">
        <w:t xml:space="preserve">dropped to very low levels in the aftermath of </w:t>
      </w:r>
      <w:r w:rsidR="004360D5">
        <w:t xml:space="preserve">the </w:t>
      </w:r>
      <w:r w:rsidR="004A3AFC">
        <w:t xml:space="preserve">October Budget but rallied strongly in the early part of this year and </w:t>
      </w:r>
      <w:r w:rsidR="004360D5">
        <w:t xml:space="preserve">is </w:t>
      </w:r>
      <w:r w:rsidR="004A3AFC">
        <w:t>now just below historical norms</w:t>
      </w:r>
      <w:r w:rsidR="00CA7407">
        <w:t>.</w:t>
      </w:r>
      <w:r w:rsidR="004A3AFC">
        <w:t xml:space="preserve"> </w:t>
      </w:r>
      <w:r w:rsidR="00D97FD0">
        <w:t xml:space="preserve">This is the opposite of </w:t>
      </w:r>
      <w:r w:rsidR="004360D5">
        <w:t>trends</w:t>
      </w:r>
      <w:r w:rsidR="009356D2">
        <w:t xml:space="preserve"> in </w:t>
      </w:r>
      <w:r w:rsidR="00D97FD0">
        <w:t xml:space="preserve">official pay data, which accelerated in late-2024 but </w:t>
      </w:r>
      <w:r w:rsidR="004360D5">
        <w:t xml:space="preserve">in recent months </w:t>
      </w:r>
      <w:r w:rsidR="00D97FD0">
        <w:t>has shown signs of losing momentum.</w:t>
      </w:r>
    </w:p>
    <w:p w14:paraId="53B5C2B7" w14:textId="39320135" w:rsidR="000175E2" w:rsidRDefault="00D97FD0" w:rsidP="00CA7407">
      <w:r>
        <w:t xml:space="preserve">As a result, our </w:t>
      </w:r>
      <w:r w:rsidR="00EE320D">
        <w:t xml:space="preserve">sentiment data-based </w:t>
      </w:r>
      <w:r>
        <w:t xml:space="preserve">pay indicator points to slightly softer growth in private sector regular pay </w:t>
      </w:r>
      <w:r w:rsidR="007079F4">
        <w:t xml:space="preserve">than the ONS </w:t>
      </w:r>
      <w:r w:rsidR="004360D5">
        <w:t xml:space="preserve">measure </w:t>
      </w:r>
      <w:r>
        <w:t xml:space="preserve">in early-2025, at just above 5% rather than just below 6%. </w:t>
      </w:r>
      <w:r w:rsidR="00A25C1C">
        <w:t xml:space="preserve">Our indicator is more in keeping with survey-based measures of wage inflation. </w:t>
      </w:r>
      <w:r w:rsidR="00754780">
        <w:t>Furthermore</w:t>
      </w:r>
      <w:r>
        <w:t xml:space="preserve">, our indicator suggests that pay growth is unlikely to slow in Q2, in contrast to the Bank of England's forecast in </w:t>
      </w:r>
      <w:r w:rsidR="004360D5">
        <w:t xml:space="preserve">its </w:t>
      </w:r>
      <w:r>
        <w:t xml:space="preserve">Monetary Policy Report </w:t>
      </w:r>
      <w:r w:rsidR="004360D5">
        <w:t xml:space="preserve">from May </w:t>
      </w:r>
      <w:r>
        <w:t>(</w:t>
      </w:r>
      <w:r w:rsidR="00E528A3" w:rsidRPr="00F46D2E">
        <w:rPr>
          <w:b/>
          <w:color w:val="003469"/>
        </w:rPr>
        <w:fldChar w:fldCharType="begin"/>
      </w:r>
      <w:r w:rsidR="00F46D2E" w:rsidRPr="00F46D2E">
        <w:rPr>
          <w:b/>
          <w:color w:val="003469"/>
        </w:rPr>
        <w:instrText xml:space="preserve">REF _Ref198190608 \h \* Charformat </w:instrText>
      </w:r>
      <w:r w:rsidR="00F46D2E" w:rsidRPr="00F46D2E">
        <w:rPr>
          <w:b/>
          <w:color w:val="003469"/>
        </w:rPr>
      </w:r>
      <w:r w:rsidR="00E528A3" w:rsidRPr="00F46D2E">
        <w:rPr>
          <w:b/>
          <w:color w:val="003469"/>
        </w:rPr>
        <w:fldChar w:fldCharType="separate"/>
      </w:r>
      <w:r w:rsidR="00F46D2E" w:rsidRPr="00F46D2E">
        <w:rPr>
          <w:b/>
          <w:color w:val="003469"/>
        </w:rPr>
        <w:t>Chart 4</w:t>
      </w:r>
      <w:r w:rsidR="00E528A3" w:rsidRPr="00F46D2E">
        <w:rPr>
          <w:b/>
          <w:color w:val="003469"/>
        </w:rPr>
        <w:fldChar w:fldCharType="end"/>
      </w:r>
      <w:r>
        <w:t>).</w:t>
      </w:r>
    </w:p>
    <w:p w14:paraId="27D8859E" w14:textId="0F8A7975" w:rsidR="000175E2" w:rsidRDefault="000175E2" w:rsidP="00F46D2E">
      <w:pPr>
        <w:pStyle w:val="ExhibitTitle"/>
      </w:pPr>
      <w:bookmarkStart w:id="3" w:name="_Ref198190608"/>
      <w:r>
        <w:t xml:space="preserve">Chart </w:t>
      </w:r>
      <w:r>
        <w:fldChar w:fldCharType="begin"/>
      </w:r>
      <w:r w:rsidR="00E528A3">
        <w:instrText>SEQ CHART</w:instrText>
      </w:r>
      <w:r>
        <w:fldChar w:fldCharType="separate"/>
      </w:r>
      <w:r w:rsidR="00574D9E">
        <w:t>4</w:t>
      </w:r>
      <w:r>
        <w:fldChar w:fldCharType="end"/>
      </w:r>
      <w:bookmarkEnd w:id="3"/>
      <w:r>
        <w:t xml:space="preserve">: </w:t>
      </w:r>
      <w:r w:rsidR="00BD4B26">
        <w:t xml:space="preserve">Our nowcast shows pay growth stabilising, not slowing as the </w:t>
      </w:r>
      <w:r w:rsidR="008251E2">
        <w:t>BoE</w:t>
      </w:r>
      <w:r w:rsidR="00BD4B26">
        <w:t xml:space="preserve"> anticipates</w:t>
      </w:r>
    </w:p>
    <w:p w14:paraId="1C6A7596" w14:textId="65F6E23A" w:rsidR="00067568" w:rsidRDefault="00067568" w:rsidP="00F46D2E">
      <w:pPr>
        <w:spacing w:after="0"/>
      </w:pPr>
      <w:r>
        <w:rPr>
          <w:noProof/>
        </w:rPr>
        <w:drawing>
          <wp:inline distT="0" distB="0" distL="0" distR="0" wp14:anchorId="4B51C14F" wp14:editId="4FBC393F">
            <wp:extent cx="3250933" cy="2548068"/>
            <wp:effectExtent l="0" t="0" r="6985" b="5080"/>
            <wp:docPr id="2135413024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13024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1886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B7EC" w14:textId="0C6853C0" w:rsidR="000175E2" w:rsidRDefault="00067568" w:rsidP="00F46D2E">
      <w:pPr>
        <w:pStyle w:val="ExhibitSource"/>
      </w:pPr>
      <w:r>
        <w:t>Sources: Oxford Economics, Penta, Haver Analytics</w:t>
      </w:r>
    </w:p>
    <w:p w14:paraId="404F6934" w14:textId="3C1F40D6" w:rsidR="00951F62" w:rsidRDefault="00D7528E" w:rsidP="00CA7407">
      <w:r>
        <w:t>Over recent years, th</w:t>
      </w:r>
      <w:r w:rsidR="00AD3265">
        <w:t xml:space="preserve">e Monetary Policy Committee </w:t>
      </w:r>
      <w:r>
        <w:t xml:space="preserve">has often </w:t>
      </w:r>
      <w:r w:rsidR="00AD3265">
        <w:t>use</w:t>
      </w:r>
      <w:r>
        <w:t>d</w:t>
      </w:r>
      <w:r w:rsidR="00AD3265">
        <w:t xml:space="preserve"> pay growth as a proxy for </w:t>
      </w:r>
      <w:r w:rsidR="00951F62">
        <w:t>the strength of underlying inflationary pressures coming from the labour market</w:t>
      </w:r>
      <w:r w:rsidR="008251E2">
        <w:t>,</w:t>
      </w:r>
      <w:r>
        <w:t xml:space="preserve"> and</w:t>
      </w:r>
      <w:r w:rsidR="008251E2">
        <w:t xml:space="preserve"> has</w:t>
      </w:r>
      <w:r>
        <w:t xml:space="preserve"> cited it as a key influence on their decision-making</w:t>
      </w:r>
      <w:r w:rsidR="00AD3265">
        <w:t>. We don't agree with this approach</w:t>
      </w:r>
      <w:r w:rsidR="008251E2">
        <w:t>.</w:t>
      </w:r>
      <w:r w:rsidR="00AD3265">
        <w:t xml:space="preserve"> </w:t>
      </w:r>
      <w:r w:rsidR="008251E2">
        <w:t>T</w:t>
      </w:r>
      <w:r w:rsidR="00AD3265">
        <w:t>he MPC</w:t>
      </w:r>
      <w:r w:rsidR="008251E2">
        <w:t xml:space="preserve">'s </w:t>
      </w:r>
      <w:r w:rsidR="006113F4">
        <w:t>focus should be on</w:t>
      </w:r>
      <w:r w:rsidR="00AD3265">
        <w:t xml:space="preserve"> set</w:t>
      </w:r>
      <w:r w:rsidR="006113F4">
        <w:t>ting</w:t>
      </w:r>
      <w:r w:rsidR="00AD3265">
        <w:t xml:space="preserve"> policy to achieve the inflation target in a couple of </w:t>
      </w:r>
      <w:r w:rsidR="00951F62">
        <w:t>years' time</w:t>
      </w:r>
      <w:r w:rsidR="008251E2">
        <w:t>,</w:t>
      </w:r>
      <w:r w:rsidR="00951F62">
        <w:t xml:space="preserve"> and</w:t>
      </w:r>
      <w:r w:rsidR="00AD3265">
        <w:t xml:space="preserve"> looking at past pay growth</w:t>
      </w:r>
      <w:r w:rsidR="00951F62">
        <w:t xml:space="preserve"> offers little relevant insight. </w:t>
      </w:r>
    </w:p>
    <w:p w14:paraId="280401D2" w14:textId="46DDA775" w:rsidR="00C35843" w:rsidRDefault="00951F62" w:rsidP="00CA7407">
      <w:r>
        <w:t xml:space="preserve">But it was apparent from the minutes of </w:t>
      </w:r>
      <w:r w:rsidR="008251E2">
        <w:t xml:space="preserve">the </w:t>
      </w:r>
      <w:r>
        <w:t xml:space="preserve">May meeting and comments from </w:t>
      </w:r>
      <w:r w:rsidR="00A81502">
        <w:t xml:space="preserve">committee </w:t>
      </w:r>
      <w:r>
        <w:t xml:space="preserve">members at the recent </w:t>
      </w:r>
      <w:r w:rsidR="008251E2">
        <w:t>BoE</w:t>
      </w:r>
      <w:r>
        <w:t xml:space="preserve"> watchers' conference that the</w:t>
      </w:r>
      <w:r w:rsidR="00D7528E">
        <w:t xml:space="preserve"> pay data remains a key influence on their thinking. </w:t>
      </w:r>
      <w:r w:rsidR="00072390">
        <w:t xml:space="preserve">If – as our nowcast suggests – pay growth holds up, this is likely to encourage the majority of MPC members to maintain the cautious approach towards cutting interest rates that they've </w:t>
      </w:r>
      <w:r w:rsidR="008251E2">
        <w:t xml:space="preserve">adopted </w:t>
      </w:r>
      <w:r w:rsidR="00072390">
        <w:t xml:space="preserve">so far. </w:t>
      </w:r>
    </w:p>
    <w:p w14:paraId="1392D002" w14:textId="062F6325" w:rsidR="00CA7407" w:rsidRDefault="00072390" w:rsidP="00CA7407">
      <w:r>
        <w:t xml:space="preserve">So while we think the case for </w:t>
      </w:r>
      <w:r w:rsidR="00C35843">
        <w:t>a more proactive approach to loosening policy is strong, we expect the MPC to continue cut</w:t>
      </w:r>
      <w:r w:rsidR="00A87DE0">
        <w:t>ting</w:t>
      </w:r>
      <w:r w:rsidR="00C35843">
        <w:t xml:space="preserve"> </w:t>
      </w:r>
      <w:r w:rsidR="008251E2">
        <w:t xml:space="preserve">rates </w:t>
      </w:r>
      <w:r w:rsidR="00C35843">
        <w:t>at alternate meetings for the rest of this year.</w:t>
      </w:r>
    </w:p>
    <w:sectPr w:rsidR="00CA7407" w:rsidSect="00574D9E">
      <w:pgSz w:w="11906" w:h="16838"/>
      <w:pgMar w:top="1417" w:right="1276" w:bottom="121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9E09D" w14:textId="77777777" w:rsidR="00CA7407" w:rsidRDefault="00CA7407" w:rsidP="00CA7407">
      <w:pPr>
        <w:spacing w:before="0" w:after="0"/>
      </w:pPr>
      <w:r>
        <w:separator/>
      </w:r>
    </w:p>
  </w:endnote>
  <w:endnote w:type="continuationSeparator" w:id="0">
    <w:p w14:paraId="78EB65AD" w14:textId="77777777" w:rsidR="00CA7407" w:rsidRDefault="00CA7407" w:rsidP="00CA74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72C72" w14:textId="49A86620" w:rsidR="00CA7407" w:rsidRPr="00CA7407" w:rsidRDefault="00CA7407" w:rsidP="00CA7407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C6273" w14:textId="045606A5" w:rsidR="00CA7407" w:rsidRDefault="00CA7407" w:rsidP="00CA7407">
    <w:pPr>
      <w:pStyle w:val="Author"/>
    </w:pPr>
    <w:r>
      <w:t>Andrew Goodwin</w:t>
    </w:r>
    <w:r w:rsidR="00F46D2E">
      <w:t xml:space="preserve"> - </w:t>
    </w:r>
    <w:r>
      <w:t>Chief UK Economist</w:t>
    </w:r>
    <w:r w:rsidR="00F46D2E">
      <w:t xml:space="preserve"> - </w:t>
    </w:r>
    <w:hyperlink r:id="rId1" w:history="1">
      <w:r w:rsidR="00E2714F" w:rsidRPr="00A81F5F">
        <w:rPr>
          <w:rStyle w:val="Hyperlink"/>
        </w:rPr>
        <w:t>agoodwin@oxfordeconomics.com</w:t>
      </w:r>
    </w:hyperlink>
  </w:p>
  <w:p w14:paraId="4E386B95" w14:textId="0B21DFFE" w:rsidR="00E2714F" w:rsidRDefault="00E2714F" w:rsidP="00CA7407">
    <w:pPr>
      <w:pStyle w:val="Author"/>
    </w:pPr>
    <w:r>
      <w:t>Tomas Dvorak</w:t>
    </w:r>
    <w:r w:rsidR="00F46D2E">
      <w:t xml:space="preserve"> - </w:t>
    </w:r>
    <w:r>
      <w:t>Senior Economist</w:t>
    </w:r>
    <w:r w:rsidR="00F46D2E">
      <w:t xml:space="preserve"> - </w:t>
    </w:r>
    <w:hyperlink r:id="rId2" w:history="1">
      <w:r w:rsidRPr="00A81F5F">
        <w:rPr>
          <w:rStyle w:val="Hyperlink"/>
        </w:rPr>
        <w:t>tdvorak@oxfordeconomics.com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2798" w14:textId="77777777" w:rsidR="00CA7407" w:rsidRDefault="00CA7407" w:rsidP="00CA7407">
      <w:pPr>
        <w:spacing w:before="0" w:after="0"/>
      </w:pPr>
      <w:r>
        <w:separator/>
      </w:r>
    </w:p>
  </w:footnote>
  <w:footnote w:type="continuationSeparator" w:id="0">
    <w:p w14:paraId="6C166CAF" w14:textId="77777777" w:rsidR="00CA7407" w:rsidRDefault="00CA7407" w:rsidP="00CA74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F544E" w14:textId="77777777" w:rsidR="00CA7407" w:rsidRDefault="00CA7407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F8D8" w14:textId="4BBA8574" w:rsidR="00CA7407" w:rsidRDefault="00CA7407" w:rsidP="00CA7407">
    <w:pPr>
      <w:pStyle w:val="Headline"/>
      <w:spacing w:before="120"/>
      <w:ind w:right="-1000"/>
    </w:pPr>
    <w:r w:rsidRPr="00CA7407">
      <w:rPr>
        <w:noProof/>
      </w:rPr>
      <w:drawing>
        <wp:anchor distT="0" distB="0" distL="114300" distR="114300" simplePos="0" relativeHeight="251658239" behindDoc="1" locked="1" layoutInCell="1" allowOverlap="1" wp14:anchorId="5AD66437" wp14:editId="13E6DB1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557D" w:rsidRPr="00A4557D">
      <w:t>Employment nowcast suggests limited impact from NICs rise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C78DA" w14:textId="3A6170BA" w:rsidR="00CA7407" w:rsidRDefault="00CA7407" w:rsidP="00CA7407">
    <w:r w:rsidRPr="00CA7407">
      <w:rPr>
        <w:noProof/>
      </w:rPr>
      <w:drawing>
        <wp:anchor distT="0" distB="0" distL="114300" distR="114300" simplePos="0" relativeHeight="251659264" behindDoc="1" locked="1" layoutInCell="1" allowOverlap="1" wp14:anchorId="472E6A75" wp14:editId="585952F1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744621177"/>
      <w:lock w:val="sdtLocked"/>
      <w:placeholder>
        <w:docPart w:val="DefaultPlaceholder_-1854013437"/>
      </w:placeholder>
      <w:date w:fullDate="2025-05-19T00:00:00Z">
        <w:dateFormat w:val="d MMMM yyyy"/>
        <w:lid w:val="en-GB"/>
        <w:storeMappedDataAs w:val="dateTime"/>
        <w:calendar w:val="gregorian"/>
      </w:date>
    </w:sdtPr>
    <w:sdtEndPr/>
    <w:sdtContent>
      <w:p w14:paraId="404AC902" w14:textId="509C8725" w:rsidR="00CA7407" w:rsidRPr="00CA7407" w:rsidRDefault="00A4557D" w:rsidP="00CA7407">
        <w:pPr>
          <w:pStyle w:val="PublishDate"/>
          <w:framePr w:w="2835" w:h="340" w:hRule="exact" w:hSpace="180" w:wrap="around" w:vAnchor="page" w:hAnchor="page" w:x="7801" w:y="601" w:anchorLock="1"/>
        </w:pPr>
        <w:r>
          <w:t>19 May 2025</w:t>
        </w:r>
      </w:p>
    </w:sdtContent>
  </w:sdt>
  <w:p w14:paraId="357CA425" w14:textId="1F912066" w:rsidR="00CA7407" w:rsidRDefault="00876592" w:rsidP="00CA7407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</w:t>
    </w:r>
    <w:r w:rsidR="00CA7407">
      <w:t xml:space="preserve"> | </w:t>
    </w:r>
    <w:r>
      <w:t>UK</w:t>
    </w:r>
  </w:p>
  <w:p w14:paraId="0A486FC0" w14:textId="75B12F2A" w:rsidR="00CA7407" w:rsidRDefault="00A4557D" w:rsidP="00CA7407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 w:rsidRPr="00A4557D">
      <w:t>Employment nowcast suggests limited impact from NICs rise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07"/>
    <w:rsid w:val="00003BA7"/>
    <w:rsid w:val="00014CDD"/>
    <w:rsid w:val="000175E2"/>
    <w:rsid w:val="00022761"/>
    <w:rsid w:val="0005491E"/>
    <w:rsid w:val="00067568"/>
    <w:rsid w:val="0006783F"/>
    <w:rsid w:val="00072390"/>
    <w:rsid w:val="000C0ADF"/>
    <w:rsid w:val="000D3E43"/>
    <w:rsid w:val="000D4718"/>
    <w:rsid w:val="000D6C43"/>
    <w:rsid w:val="000E2BD3"/>
    <w:rsid w:val="000E6BB5"/>
    <w:rsid w:val="000F3F52"/>
    <w:rsid w:val="001018E9"/>
    <w:rsid w:val="001134BA"/>
    <w:rsid w:val="0012005B"/>
    <w:rsid w:val="00120D7A"/>
    <w:rsid w:val="00124E58"/>
    <w:rsid w:val="0014687C"/>
    <w:rsid w:val="00160F71"/>
    <w:rsid w:val="0016316B"/>
    <w:rsid w:val="0017078A"/>
    <w:rsid w:val="00190C04"/>
    <w:rsid w:val="00192CDF"/>
    <w:rsid w:val="00195F9A"/>
    <w:rsid w:val="001A5775"/>
    <w:rsid w:val="001A6993"/>
    <w:rsid w:val="001A749F"/>
    <w:rsid w:val="001B2B67"/>
    <w:rsid w:val="001B2C32"/>
    <w:rsid w:val="001B6289"/>
    <w:rsid w:val="001C2AA2"/>
    <w:rsid w:val="001C32D0"/>
    <w:rsid w:val="001C5799"/>
    <w:rsid w:val="001C7BE6"/>
    <w:rsid w:val="001D4B18"/>
    <w:rsid w:val="001D7057"/>
    <w:rsid w:val="001E0785"/>
    <w:rsid w:val="001E0A19"/>
    <w:rsid w:val="001E0C4A"/>
    <w:rsid w:val="001E1D10"/>
    <w:rsid w:val="001F3317"/>
    <w:rsid w:val="0020217F"/>
    <w:rsid w:val="00213349"/>
    <w:rsid w:val="0022176B"/>
    <w:rsid w:val="00231882"/>
    <w:rsid w:val="00242E5E"/>
    <w:rsid w:val="002615F6"/>
    <w:rsid w:val="00262D94"/>
    <w:rsid w:val="00263E48"/>
    <w:rsid w:val="002745D6"/>
    <w:rsid w:val="00282A8A"/>
    <w:rsid w:val="00286754"/>
    <w:rsid w:val="0029566B"/>
    <w:rsid w:val="002A69DF"/>
    <w:rsid w:val="002C1955"/>
    <w:rsid w:val="002C505A"/>
    <w:rsid w:val="002D0DC9"/>
    <w:rsid w:val="003017D9"/>
    <w:rsid w:val="0031169C"/>
    <w:rsid w:val="00316CBE"/>
    <w:rsid w:val="00370974"/>
    <w:rsid w:val="00374E02"/>
    <w:rsid w:val="0037540E"/>
    <w:rsid w:val="003B0CAB"/>
    <w:rsid w:val="003B715A"/>
    <w:rsid w:val="003C1BB1"/>
    <w:rsid w:val="003E7F3C"/>
    <w:rsid w:val="003F0F4E"/>
    <w:rsid w:val="0040359C"/>
    <w:rsid w:val="00405A12"/>
    <w:rsid w:val="00405D65"/>
    <w:rsid w:val="00405EB0"/>
    <w:rsid w:val="00424B0F"/>
    <w:rsid w:val="004258C9"/>
    <w:rsid w:val="004360D5"/>
    <w:rsid w:val="004458BB"/>
    <w:rsid w:val="004602D9"/>
    <w:rsid w:val="0046292D"/>
    <w:rsid w:val="004677EA"/>
    <w:rsid w:val="004827E3"/>
    <w:rsid w:val="00483FD0"/>
    <w:rsid w:val="00495DE7"/>
    <w:rsid w:val="004A2A92"/>
    <w:rsid w:val="004A3AFC"/>
    <w:rsid w:val="004A6AD0"/>
    <w:rsid w:val="004B205A"/>
    <w:rsid w:val="004B4F66"/>
    <w:rsid w:val="004C17E6"/>
    <w:rsid w:val="004C7923"/>
    <w:rsid w:val="004D473F"/>
    <w:rsid w:val="004D5B83"/>
    <w:rsid w:val="004D650E"/>
    <w:rsid w:val="004D6FED"/>
    <w:rsid w:val="004E6852"/>
    <w:rsid w:val="005148B3"/>
    <w:rsid w:val="00516C0A"/>
    <w:rsid w:val="005176F2"/>
    <w:rsid w:val="00524103"/>
    <w:rsid w:val="00535C71"/>
    <w:rsid w:val="005414BA"/>
    <w:rsid w:val="0054280C"/>
    <w:rsid w:val="005473C6"/>
    <w:rsid w:val="005635AD"/>
    <w:rsid w:val="00563FEB"/>
    <w:rsid w:val="005720F4"/>
    <w:rsid w:val="00574D9E"/>
    <w:rsid w:val="00575045"/>
    <w:rsid w:val="00576CB8"/>
    <w:rsid w:val="00592138"/>
    <w:rsid w:val="005948F1"/>
    <w:rsid w:val="005A65F2"/>
    <w:rsid w:val="005C2ED4"/>
    <w:rsid w:val="005E404F"/>
    <w:rsid w:val="005F0616"/>
    <w:rsid w:val="005F1791"/>
    <w:rsid w:val="005F7DDF"/>
    <w:rsid w:val="006113F4"/>
    <w:rsid w:val="006125A3"/>
    <w:rsid w:val="006154A2"/>
    <w:rsid w:val="006166EE"/>
    <w:rsid w:val="00633BE2"/>
    <w:rsid w:val="00651A39"/>
    <w:rsid w:val="00671564"/>
    <w:rsid w:val="006739BF"/>
    <w:rsid w:val="0067595A"/>
    <w:rsid w:val="006A1630"/>
    <w:rsid w:val="006A18A4"/>
    <w:rsid w:val="006A676D"/>
    <w:rsid w:val="006B76A5"/>
    <w:rsid w:val="006C7C06"/>
    <w:rsid w:val="006F2517"/>
    <w:rsid w:val="006F60F1"/>
    <w:rsid w:val="007079F4"/>
    <w:rsid w:val="007213B1"/>
    <w:rsid w:val="00727A9A"/>
    <w:rsid w:val="00730E79"/>
    <w:rsid w:val="007400CF"/>
    <w:rsid w:val="0074116D"/>
    <w:rsid w:val="00745B04"/>
    <w:rsid w:val="00754780"/>
    <w:rsid w:val="007645B5"/>
    <w:rsid w:val="007658B4"/>
    <w:rsid w:val="00767859"/>
    <w:rsid w:val="007723AE"/>
    <w:rsid w:val="00772878"/>
    <w:rsid w:val="007A0F18"/>
    <w:rsid w:val="007B57CD"/>
    <w:rsid w:val="007C27D4"/>
    <w:rsid w:val="007F5D5D"/>
    <w:rsid w:val="00801139"/>
    <w:rsid w:val="008251E2"/>
    <w:rsid w:val="00847933"/>
    <w:rsid w:val="00855D68"/>
    <w:rsid w:val="0086090E"/>
    <w:rsid w:val="0086491C"/>
    <w:rsid w:val="008742FC"/>
    <w:rsid w:val="00874B7C"/>
    <w:rsid w:val="0087653E"/>
    <w:rsid w:val="00876592"/>
    <w:rsid w:val="0088455B"/>
    <w:rsid w:val="008975F4"/>
    <w:rsid w:val="008B6D5A"/>
    <w:rsid w:val="008D4F08"/>
    <w:rsid w:val="008D78E5"/>
    <w:rsid w:val="008E11F0"/>
    <w:rsid w:val="008E721D"/>
    <w:rsid w:val="008F1A70"/>
    <w:rsid w:val="00902C0B"/>
    <w:rsid w:val="009148F6"/>
    <w:rsid w:val="00920D15"/>
    <w:rsid w:val="00926838"/>
    <w:rsid w:val="0093065E"/>
    <w:rsid w:val="00931E55"/>
    <w:rsid w:val="00933B30"/>
    <w:rsid w:val="009356D2"/>
    <w:rsid w:val="00951F62"/>
    <w:rsid w:val="009634AC"/>
    <w:rsid w:val="00963AA5"/>
    <w:rsid w:val="00973624"/>
    <w:rsid w:val="00995E6B"/>
    <w:rsid w:val="009A46CC"/>
    <w:rsid w:val="009B723B"/>
    <w:rsid w:val="009C7C16"/>
    <w:rsid w:val="009D5344"/>
    <w:rsid w:val="009E07F1"/>
    <w:rsid w:val="009E5F70"/>
    <w:rsid w:val="009F1AB4"/>
    <w:rsid w:val="009F37D1"/>
    <w:rsid w:val="009F3F01"/>
    <w:rsid w:val="00A051DC"/>
    <w:rsid w:val="00A163AE"/>
    <w:rsid w:val="00A25234"/>
    <w:rsid w:val="00A25C1C"/>
    <w:rsid w:val="00A332D4"/>
    <w:rsid w:val="00A4557D"/>
    <w:rsid w:val="00A50835"/>
    <w:rsid w:val="00A52669"/>
    <w:rsid w:val="00A576A0"/>
    <w:rsid w:val="00A63323"/>
    <w:rsid w:val="00A66B32"/>
    <w:rsid w:val="00A67488"/>
    <w:rsid w:val="00A77085"/>
    <w:rsid w:val="00A77DEA"/>
    <w:rsid w:val="00A81502"/>
    <w:rsid w:val="00A87DE0"/>
    <w:rsid w:val="00A9430E"/>
    <w:rsid w:val="00AB24B7"/>
    <w:rsid w:val="00AB6B99"/>
    <w:rsid w:val="00AD07ED"/>
    <w:rsid w:val="00AD3265"/>
    <w:rsid w:val="00AE76E6"/>
    <w:rsid w:val="00AF0530"/>
    <w:rsid w:val="00B04E07"/>
    <w:rsid w:val="00B114F6"/>
    <w:rsid w:val="00B16B5A"/>
    <w:rsid w:val="00B36780"/>
    <w:rsid w:val="00B711D0"/>
    <w:rsid w:val="00B7343B"/>
    <w:rsid w:val="00B846EA"/>
    <w:rsid w:val="00B85044"/>
    <w:rsid w:val="00B910EA"/>
    <w:rsid w:val="00BB6195"/>
    <w:rsid w:val="00BD4B26"/>
    <w:rsid w:val="00BE1485"/>
    <w:rsid w:val="00BF6A2A"/>
    <w:rsid w:val="00C17065"/>
    <w:rsid w:val="00C35843"/>
    <w:rsid w:val="00C65A69"/>
    <w:rsid w:val="00C667F1"/>
    <w:rsid w:val="00C71A9B"/>
    <w:rsid w:val="00C72052"/>
    <w:rsid w:val="00C75153"/>
    <w:rsid w:val="00C76458"/>
    <w:rsid w:val="00C83421"/>
    <w:rsid w:val="00C84AD7"/>
    <w:rsid w:val="00C90D41"/>
    <w:rsid w:val="00C93538"/>
    <w:rsid w:val="00C9768F"/>
    <w:rsid w:val="00CA4BF3"/>
    <w:rsid w:val="00CA7407"/>
    <w:rsid w:val="00CB23EC"/>
    <w:rsid w:val="00CB7716"/>
    <w:rsid w:val="00CC3321"/>
    <w:rsid w:val="00CD3864"/>
    <w:rsid w:val="00CE3160"/>
    <w:rsid w:val="00CF5FA8"/>
    <w:rsid w:val="00D01AEE"/>
    <w:rsid w:val="00D07416"/>
    <w:rsid w:val="00D12789"/>
    <w:rsid w:val="00D35C6D"/>
    <w:rsid w:val="00D361A8"/>
    <w:rsid w:val="00D379EC"/>
    <w:rsid w:val="00D44219"/>
    <w:rsid w:val="00D47C24"/>
    <w:rsid w:val="00D645EE"/>
    <w:rsid w:val="00D66E46"/>
    <w:rsid w:val="00D7528E"/>
    <w:rsid w:val="00D76087"/>
    <w:rsid w:val="00D82250"/>
    <w:rsid w:val="00D97FD0"/>
    <w:rsid w:val="00DB0BE6"/>
    <w:rsid w:val="00DB55E4"/>
    <w:rsid w:val="00DC3B6C"/>
    <w:rsid w:val="00DE568D"/>
    <w:rsid w:val="00DF68CB"/>
    <w:rsid w:val="00DF73F9"/>
    <w:rsid w:val="00DF7936"/>
    <w:rsid w:val="00E10235"/>
    <w:rsid w:val="00E176D8"/>
    <w:rsid w:val="00E213A8"/>
    <w:rsid w:val="00E23560"/>
    <w:rsid w:val="00E2714F"/>
    <w:rsid w:val="00E27612"/>
    <w:rsid w:val="00E4695B"/>
    <w:rsid w:val="00E528A3"/>
    <w:rsid w:val="00E66B0B"/>
    <w:rsid w:val="00E9207C"/>
    <w:rsid w:val="00EA0803"/>
    <w:rsid w:val="00EA2025"/>
    <w:rsid w:val="00EC10CA"/>
    <w:rsid w:val="00ED615F"/>
    <w:rsid w:val="00ED6FF0"/>
    <w:rsid w:val="00EE320D"/>
    <w:rsid w:val="00EE54B7"/>
    <w:rsid w:val="00EF4BA3"/>
    <w:rsid w:val="00F23937"/>
    <w:rsid w:val="00F24D32"/>
    <w:rsid w:val="00F2643F"/>
    <w:rsid w:val="00F46D2E"/>
    <w:rsid w:val="00F50F33"/>
    <w:rsid w:val="00F52C66"/>
    <w:rsid w:val="00F56FFF"/>
    <w:rsid w:val="00F72F2A"/>
    <w:rsid w:val="00F7645C"/>
    <w:rsid w:val="00F870C3"/>
    <w:rsid w:val="00F96448"/>
    <w:rsid w:val="00FA4BF0"/>
    <w:rsid w:val="00FC1EA7"/>
    <w:rsid w:val="00FE0EF6"/>
    <w:rsid w:val="00FE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A213929"/>
  <w15:chartTrackingRefBased/>
  <w15:docId w15:val="{536EB937-7FC0-4C17-B2C7-AE7A12BD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07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407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A7407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407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7407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CA74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CA74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CA740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CA740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CA740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407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A7407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A7407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A7407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A7407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07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07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07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07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A7407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07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CA7407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CA740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40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740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40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CA7407"/>
    <w:rPr>
      <w:noProof w:val="0"/>
    </w:rPr>
  </w:style>
  <w:style w:type="character" w:styleId="Hyperlink">
    <w:name w:val="Hyperlink"/>
    <w:basedOn w:val="DefaultParagraphFont"/>
    <w:uiPriority w:val="99"/>
    <w:unhideWhenUsed/>
    <w:rsid w:val="00CA7407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CA7407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CA7407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CA7407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CA7407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CA7407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CA7407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CA7407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CA7407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CA7407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CA7407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CA7407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CA7407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CA7407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CA7407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CA7407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CA7407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CA7407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CA7407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CA7407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A7407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CA7407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CA7407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CA7407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CA7407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CA7407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CA7407"/>
    <w:rPr>
      <w:b/>
      <w:bCs/>
      <w:noProof w:val="0"/>
    </w:rPr>
  </w:style>
  <w:style w:type="character" w:customStyle="1" w:styleId="Italics">
    <w:name w:val="Italics"/>
    <w:uiPriority w:val="1"/>
    <w:qFormat/>
    <w:rsid w:val="00CA7407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CA7407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26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6.svg"/><Relationship Id="rId7" Type="http://schemas.openxmlformats.org/officeDocument/2006/relationships/webSettings" Target="webSettings.xml"/><Relationship Id="rId12" Type="http://schemas.openxmlformats.org/officeDocument/2006/relationships/hyperlink" Target="https://my.oxfordeconomics.com/reportaction/82c78c4b281F426bb3f52b/Toc" TargetMode="External"/><Relationship Id="rId17" Type="http://schemas.openxmlformats.org/officeDocument/2006/relationships/footer" Target="footer1.xml"/><Relationship Id="rId25" Type="http://schemas.openxmlformats.org/officeDocument/2006/relationships/hyperlink" Target="https://my.oxfordeconomics.com/reportaction/8512Dd98595F43E480dB85/Toc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5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entagroup.com/" TargetMode="External"/><Relationship Id="rId24" Type="http://schemas.openxmlformats.org/officeDocument/2006/relationships/hyperlink" Target="https://www.ons.gov.uk/employmentandlabourmarket/peopleinwork/employmentandemployeetypes/articles/labourforcesurveyqualityupdate/may2025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image" Target="media/image8.svg"/><Relationship Id="rId28" Type="http://schemas.openxmlformats.org/officeDocument/2006/relationships/fontTable" Target="fontTable.xml"/><Relationship Id="rId10" Type="http://schemas.openxmlformats.org/officeDocument/2006/relationships/hyperlink" Target="https://my.oxfordeconomics.com/reports/F86FA9731A0549228e8Ca7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Relationship Id="rId22" Type="http://schemas.openxmlformats.org/officeDocument/2006/relationships/image" Target="media/image7.png"/><Relationship Id="rId27" Type="http://schemas.openxmlformats.org/officeDocument/2006/relationships/image" Target="media/image10.svg"/><Relationship Id="rId30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tdvorak@oxfordeconomics.com" TargetMode="External"/><Relationship Id="rId1" Type="http://schemas.openxmlformats.org/officeDocument/2006/relationships/hyperlink" Target="mailto:agoodwin@oxfordeconomics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98187-1C41-4017-B414-F77A3FE91055}"/>
      </w:docPartPr>
      <w:docPartBody>
        <w:p w:rsidR="002C4FC0" w:rsidRDefault="002C4FC0">
          <w:r w:rsidRPr="00934844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C0"/>
    <w:rsid w:val="001134BA"/>
    <w:rsid w:val="0012005B"/>
    <w:rsid w:val="001E0A19"/>
    <w:rsid w:val="002C4FC0"/>
    <w:rsid w:val="006F2517"/>
    <w:rsid w:val="007C27D4"/>
    <w:rsid w:val="00E9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03EEAA7F-2852-4E95-82C8-6AA583B7E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057128-EADD-4807-B01D-21310D1DC6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8DB1B7-ADFF-4C3E-B15B-8D47FBA5D7C5}">
  <ds:schemaRefs>
    <ds:schemaRef ds:uri="http://schemas.microsoft.com/office/2006/metadata/properties"/>
    <ds:schemaRef ds:uri="http://www.w3.org/XML/1998/namespace"/>
    <ds:schemaRef ds:uri="6ec33f61-c765-4e3b-9958-53c32fd1fd0b"/>
    <ds:schemaRef ds:uri="6c77b332-7df6-4eff-997f-266963d55fc4"/>
    <ds:schemaRef ds:uri="http://schemas.microsoft.com/office/2006/documentManagement/types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1068</Words>
  <Characters>5590</Characters>
  <Application>Microsoft Office Word</Application>
  <DocSecurity>0</DocSecurity>
  <Lines>83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13</cp:revision>
  <dcterms:created xsi:type="dcterms:W3CDTF">2025-05-19T10:52:00Z</dcterms:created>
  <dcterms:modified xsi:type="dcterms:W3CDTF">2025-05-19T11:05:00Z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v0.8.1.1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2025-05-19T11:03:54.000Z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Economist|agoodwin@oxfordeconomics.com_x000d_;Tomas Dvorak|Senior Economist|tdvorak@oxfordeconomics.com_x000d_</vt:lpwstr>
  </property>
  <property fmtid="{D5CDD505-2E9C-101B-9397-08002B2CF9AE}" pid="14" name="OEP_EXHIBIT_FILEPATHS">
    <vt:lpwstr>Z:\UK Team\UK Research Briefing\20250520 RB UK Penta update - Charts.xlsx</vt:lpwstr>
  </property>
  <property fmtid="{D5CDD505-2E9C-101B-9397-08002B2CF9AE}" pid="15" name="OEP_PRODUCT_CODE">
    <vt:lpwstr>c82ADb9a277B45A0a623d2</vt:lpwstr>
  </property>
  <property fmtid="{D5CDD505-2E9C-101B-9397-08002B2CF9AE}" pid="16" name="OEP_PUBLISH_DATE">
    <vt:lpwstr/>
  </property>
  <property fmtid="{D5CDD505-2E9C-101B-9397-08002B2CF9AE}" pid="17" name="OEP_CATEGORIES">
    <vt:lpwstr>Macro-ResearchBriefings-UnitedKingdom,AnalysisbyRegion-Europe-UnitedKingdom</vt:lpwstr>
  </property>
  <property fmtid="{D5CDD505-2E9C-101B-9397-08002B2CF9AE}" pid="18" name="OEP_TAGS">
    <vt:lpwstr>Key Themes:labour trends,indicators,monetary policy,interest rates</vt:lpwstr>
  </property>
  <property fmtid="{D5CDD505-2E9C-101B-9397-08002B2CF9AE}" pid="19" name="ContentTypeId">
    <vt:lpwstr>0x01010009401BB7205AF745BAD4FA98BDE0B98F</vt:lpwstr>
  </property>
</Properties>
</file>