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A9C7" w14:textId="458BF1DC" w:rsidR="007541BE" w:rsidRPr="0049335F" w:rsidRDefault="0073574C" w:rsidP="00575CD7">
      <w:pPr>
        <w:pStyle w:val="Bullet"/>
      </w:pPr>
      <w:r w:rsidRPr="0049335F">
        <w:t xml:space="preserve">We expect UK employment </w:t>
      </w:r>
      <w:r w:rsidR="0082116E" w:rsidRPr="0049335F">
        <w:t>will</w:t>
      </w:r>
      <w:r w:rsidRPr="0049335F">
        <w:t xml:space="preserve"> dip </w:t>
      </w:r>
      <w:r w:rsidR="00E721F5">
        <w:t xml:space="preserve">slightly </w:t>
      </w:r>
      <w:r w:rsidRPr="0049335F">
        <w:t xml:space="preserve">in </w:t>
      </w:r>
      <w:r w:rsidR="00B74590">
        <w:t>the second half of this year</w:t>
      </w:r>
      <w:r w:rsidRPr="0049335F">
        <w:t xml:space="preserve">, </w:t>
      </w:r>
      <w:r w:rsidR="0045348A">
        <w:t>as</w:t>
      </w:r>
      <w:r w:rsidR="0045348A" w:rsidRPr="0049335F">
        <w:t xml:space="preserve"> </w:t>
      </w:r>
      <w:r w:rsidRPr="0049335F">
        <w:t>job cuts in lower-paid parts of the private sector more than offset continued solid public sector job creation</w:t>
      </w:r>
      <w:r w:rsidR="00575CD7" w:rsidRPr="0049335F">
        <w:t>.</w:t>
      </w:r>
      <w:r w:rsidRPr="0049335F">
        <w:t xml:space="preserve"> </w:t>
      </w:r>
    </w:p>
    <w:p w14:paraId="3A07773E" w14:textId="0F592310" w:rsidR="00575CD7" w:rsidRPr="0049335F" w:rsidRDefault="0073574C" w:rsidP="00575CD7">
      <w:pPr>
        <w:pStyle w:val="Bullet"/>
      </w:pPr>
      <w:r w:rsidRPr="0049335F">
        <w:t xml:space="preserve">Though we </w:t>
      </w:r>
      <w:r w:rsidR="00DD3D20" w:rsidRPr="0049335F">
        <w:t>forecast</w:t>
      </w:r>
      <w:r w:rsidRPr="0049335F">
        <w:t xml:space="preserve"> a gradual recovery in private sector employment </w:t>
      </w:r>
      <w:r w:rsidR="006E04C6" w:rsidRPr="0049335F">
        <w:t>will</w:t>
      </w:r>
      <w:r w:rsidRPr="0049335F">
        <w:t xml:space="preserve"> take hold </w:t>
      </w:r>
      <w:r w:rsidR="00871220">
        <w:t>in</w:t>
      </w:r>
      <w:r w:rsidR="00871220" w:rsidRPr="0049335F">
        <w:t xml:space="preserve"> </w:t>
      </w:r>
      <w:r w:rsidRPr="0049335F">
        <w:t xml:space="preserve">2026, it's unlikely </w:t>
      </w:r>
      <w:r w:rsidR="00B74590">
        <w:t>to</w:t>
      </w:r>
      <w:r w:rsidRPr="0049335F">
        <w:t xml:space="preserve"> be strong enough to prevent unemployment drift</w:t>
      </w:r>
      <w:r w:rsidR="00DD3D20" w:rsidRPr="0049335F">
        <w:t>ing</w:t>
      </w:r>
      <w:r w:rsidRPr="0049335F">
        <w:t xml:space="preserve"> up towards 5%</w:t>
      </w:r>
      <w:r w:rsidR="008F6EAB">
        <w:t>, from 4.5% in Q1</w:t>
      </w:r>
      <w:r w:rsidR="0026468A">
        <w:t xml:space="preserve"> 2025</w:t>
      </w:r>
      <w:r w:rsidRPr="0049335F">
        <w:t>.</w:t>
      </w:r>
    </w:p>
    <w:p w14:paraId="405038CD" w14:textId="3201D17A" w:rsidR="00575CD7" w:rsidRPr="0049335F" w:rsidRDefault="0073574C" w:rsidP="00575CD7">
      <w:pPr>
        <w:pStyle w:val="Bullet"/>
      </w:pPr>
      <w:r w:rsidRPr="0049335F">
        <w:t xml:space="preserve">Early data on the impact of </w:t>
      </w:r>
      <w:r w:rsidR="00B74590">
        <w:t>the</w:t>
      </w:r>
      <w:r w:rsidR="00B74590" w:rsidRPr="0049335F">
        <w:t xml:space="preserve"> </w:t>
      </w:r>
      <w:r w:rsidRPr="0049335F">
        <w:t xml:space="preserve">increases in employers' national insurance contributions and the national living wage </w:t>
      </w:r>
      <w:r w:rsidR="00B74590">
        <w:t xml:space="preserve">in April </w:t>
      </w:r>
      <w:r w:rsidRPr="0049335F">
        <w:t>suggest substantial job losses and falling vacancies in lower-paid sectors</w:t>
      </w:r>
      <w:r w:rsidR="00B74590">
        <w:t>,</w:t>
      </w:r>
      <w:r w:rsidRPr="0049335F">
        <w:t xml:space="preserve"> such as accommodation and food. </w:t>
      </w:r>
      <w:r w:rsidR="008903B3" w:rsidRPr="0049335F">
        <w:t xml:space="preserve">We think </w:t>
      </w:r>
      <w:r w:rsidR="000D2B2D" w:rsidRPr="0049335F">
        <w:t xml:space="preserve">this </w:t>
      </w:r>
      <w:r w:rsidR="00B74590">
        <w:t>is</w:t>
      </w:r>
      <w:r w:rsidR="000D2B2D" w:rsidRPr="0049335F">
        <w:t xml:space="preserve"> a one-off adjustment to the recent build-up in cost pressures </w:t>
      </w:r>
      <w:r w:rsidR="00B13820" w:rsidRPr="0049335F">
        <w:t>rather than</w:t>
      </w:r>
      <w:r w:rsidR="000D2B2D" w:rsidRPr="0049335F">
        <w:t xml:space="preserve"> the </w:t>
      </w:r>
      <w:r w:rsidR="00B13820" w:rsidRPr="0049335F">
        <w:t>start</w:t>
      </w:r>
      <w:r w:rsidR="000D2B2D" w:rsidRPr="0049335F">
        <w:t xml:space="preserve"> of a </w:t>
      </w:r>
      <w:r w:rsidR="007B1485">
        <w:t>persistent</w:t>
      </w:r>
      <w:r w:rsidR="000D2B2D" w:rsidRPr="0049335F">
        <w:t xml:space="preserve"> decline in job numbers</w:t>
      </w:r>
      <w:r w:rsidR="00575CD7" w:rsidRPr="0049335F">
        <w:t>.</w:t>
      </w:r>
    </w:p>
    <w:p w14:paraId="658B0ACF" w14:textId="76C938FD" w:rsidR="00B74590" w:rsidRDefault="0010020D" w:rsidP="00575CD7">
      <w:pPr>
        <w:pStyle w:val="Bullet"/>
      </w:pPr>
      <w:r w:rsidRPr="0049335F">
        <w:t>The public sector has been responsible for nearly three-quarters of net job creation since 2019</w:t>
      </w:r>
      <w:r w:rsidR="00575CD7" w:rsidRPr="0049335F">
        <w:t>.</w:t>
      </w:r>
      <w:r w:rsidRPr="0049335F">
        <w:t xml:space="preserve"> </w:t>
      </w:r>
      <w:r w:rsidR="001C5614" w:rsidRPr="0049335F">
        <w:t xml:space="preserve">This support is likely to </w:t>
      </w:r>
      <w:r w:rsidR="00487D13" w:rsidRPr="0049335F">
        <w:t>weaken</w:t>
      </w:r>
      <w:r w:rsidR="001C5614" w:rsidRPr="0049335F">
        <w:t xml:space="preserve"> from next year as </w:t>
      </w:r>
      <w:r w:rsidR="00CF1575" w:rsidRPr="0049335F">
        <w:t xml:space="preserve">government </w:t>
      </w:r>
      <w:r w:rsidR="001C5614" w:rsidRPr="0049335F">
        <w:t xml:space="preserve">departments adjust to tighter budgets. </w:t>
      </w:r>
    </w:p>
    <w:p w14:paraId="6C97F1D0" w14:textId="4CCFA0CC" w:rsidR="009A0719" w:rsidRPr="0049335F" w:rsidRDefault="001C5614" w:rsidP="00575CD7">
      <w:pPr>
        <w:pStyle w:val="Bullet"/>
      </w:pPr>
      <w:r w:rsidRPr="0049335F">
        <w:t>But public sector employment should continue to rise</w:t>
      </w:r>
      <w:r w:rsidR="00B74590">
        <w:t>.</w:t>
      </w:r>
      <w:r w:rsidRPr="0049335F">
        <w:t xml:space="preserve"> </w:t>
      </w:r>
      <w:r w:rsidR="00B74590">
        <w:t>T</w:t>
      </w:r>
      <w:r w:rsidR="00B74590" w:rsidRPr="0049335F">
        <w:t xml:space="preserve">he </w:t>
      </w:r>
      <w:r w:rsidRPr="0049335F">
        <w:t>National Health Service accounts for more than a third of public sector jobs</w:t>
      </w:r>
      <w:r w:rsidR="00B74590">
        <w:t>,</w:t>
      </w:r>
      <w:r w:rsidRPr="0049335F">
        <w:t xml:space="preserve"> and a combination of its political importance and its struggle to improve productivity mean </w:t>
      </w:r>
      <w:r w:rsidR="00C43629" w:rsidRPr="0049335F">
        <w:t xml:space="preserve">its </w:t>
      </w:r>
      <w:r w:rsidRPr="0049335F">
        <w:t xml:space="preserve">demand for workers </w:t>
      </w:r>
      <w:r w:rsidR="00CF1575" w:rsidRPr="0049335F">
        <w:t xml:space="preserve">will </w:t>
      </w:r>
      <w:r w:rsidRPr="0049335F">
        <w:t>remain strong.</w:t>
      </w:r>
    </w:p>
    <w:p w14:paraId="04457A14" w14:textId="1A97416B" w:rsidR="00670139" w:rsidRPr="0049335F" w:rsidRDefault="009A0719" w:rsidP="009A0719">
      <w:r w:rsidRPr="0049335F">
        <w:t xml:space="preserve">The labour market is a key source of uncertainty for the UK economy in 2025. We've already </w:t>
      </w:r>
      <w:r w:rsidR="0004624A">
        <w:t>examined</w:t>
      </w:r>
      <w:r w:rsidRPr="0049335F">
        <w:t xml:space="preserve"> </w:t>
      </w:r>
      <w:hyperlink r:id="rId10" w:history="1">
        <w:r w:rsidRPr="0049335F">
          <w:rPr>
            <w:rStyle w:val="Hyperlink"/>
          </w:rPr>
          <w:t>the key uncertainties</w:t>
        </w:r>
      </w:hyperlink>
      <w:r w:rsidRPr="0049335F">
        <w:t xml:space="preserve">, </w:t>
      </w:r>
      <w:hyperlink r:id="rId11" w:history="1">
        <w:r w:rsidRPr="0049335F">
          <w:rPr>
            <w:rStyle w:val="Hyperlink"/>
          </w:rPr>
          <w:t>the challenges posed by data problems</w:t>
        </w:r>
      </w:hyperlink>
      <w:r w:rsidRPr="0049335F">
        <w:t xml:space="preserve">, and </w:t>
      </w:r>
      <w:hyperlink r:id="rId12" w:history="1">
        <w:r w:rsidRPr="0049335F">
          <w:rPr>
            <w:rStyle w:val="Hyperlink"/>
          </w:rPr>
          <w:t>the implications of April's increase in employers' national insurance contributions</w:t>
        </w:r>
      </w:hyperlink>
      <w:r w:rsidR="00B74590" w:rsidRPr="00B74590">
        <w:t xml:space="preserve"> </w:t>
      </w:r>
      <w:r w:rsidR="00B74590">
        <w:t>in our</w:t>
      </w:r>
      <w:r w:rsidR="00B74590" w:rsidRPr="0049335F">
        <w:t xml:space="preserve"> series </w:t>
      </w:r>
      <w:r w:rsidR="0004624A">
        <w:t>on labour market developments</w:t>
      </w:r>
      <w:r w:rsidRPr="0049335F">
        <w:t>. In our final note, we examine the sectoral outlook for employment.</w:t>
      </w:r>
    </w:p>
    <w:p w14:paraId="15056851" w14:textId="08E45A5B" w:rsidR="00575CD7" w:rsidRPr="0049335F" w:rsidRDefault="00575CD7" w:rsidP="009A0719">
      <w:pPr>
        <w:pStyle w:val="ExhibitTitle"/>
        <w:jc w:val="center"/>
      </w:pPr>
      <w:bookmarkStart w:id="0" w:name="_Ref201693633"/>
      <w:r w:rsidRPr="0049335F">
        <w:t xml:space="preserve">Chart </w:t>
      </w:r>
      <w:r w:rsidRPr="0049335F">
        <w:fldChar w:fldCharType="begin"/>
      </w:r>
      <w:r w:rsidR="009A0719" w:rsidRPr="0049335F">
        <w:instrText>SEQ CHART</w:instrText>
      </w:r>
      <w:r w:rsidRPr="0049335F">
        <w:fldChar w:fldCharType="separate"/>
      </w:r>
      <w:r w:rsidR="009A0719" w:rsidRPr="0049335F">
        <w:t>1</w:t>
      </w:r>
      <w:r w:rsidRPr="0049335F">
        <w:fldChar w:fldCharType="end"/>
      </w:r>
      <w:bookmarkEnd w:id="0"/>
      <w:r w:rsidRPr="0049335F">
        <w:t xml:space="preserve">: </w:t>
      </w:r>
      <w:r w:rsidR="00B726B8" w:rsidRPr="0049335F">
        <w:t>The squeeze on lower-paid jobs will cause total employment to dip this year</w:t>
      </w:r>
    </w:p>
    <w:p w14:paraId="5A1C3022" w14:textId="79DA662F" w:rsidR="009A0719" w:rsidRPr="0049335F" w:rsidRDefault="009A0719" w:rsidP="009A0719">
      <w:pPr>
        <w:spacing w:after="0"/>
        <w:jc w:val="center"/>
      </w:pPr>
      <w:r w:rsidRPr="0049335F">
        <w:rPr>
          <w:noProof/>
        </w:rPr>
        <w:drawing>
          <wp:inline distT="0" distB="0" distL="0" distR="0" wp14:anchorId="4A8F22A4" wp14:editId="5AFC7B89">
            <wp:extent cx="4006964" cy="3140642"/>
            <wp:effectExtent l="0" t="0" r="0" b="3175"/>
            <wp:docPr id="777643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4329"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0D5E1013" w14:textId="3816DD28" w:rsidR="002B1D2C" w:rsidRPr="0049335F" w:rsidRDefault="009A0719" w:rsidP="009A0719">
      <w:pPr>
        <w:pStyle w:val="ExhibitSource"/>
        <w:jc w:val="center"/>
      </w:pPr>
      <w:r w:rsidRPr="0049335F">
        <w:t>Sources: Oxford Economics, Haver Analytics</w:t>
      </w:r>
    </w:p>
    <w:p w14:paraId="4E45A094" w14:textId="3E512829" w:rsidR="009A0719" w:rsidRPr="0049335F" w:rsidRDefault="009A0719" w:rsidP="00811B8D"/>
    <w:p w14:paraId="132A6B1A" w14:textId="7088E1A6" w:rsidR="00420DD4" w:rsidRPr="0049335F" w:rsidRDefault="00420DD4" w:rsidP="00420DD4">
      <w:pPr>
        <w:sectPr w:rsidR="00420DD4" w:rsidRPr="0049335F" w:rsidSect="009A0719">
          <w:headerReference w:type="even" r:id="rId15"/>
          <w:headerReference w:type="default" r:id="rId16"/>
          <w:footerReference w:type="default" r:id="rId17"/>
          <w:headerReference w:type="first" r:id="rId18"/>
          <w:footerReference w:type="first" r:id="rId19"/>
          <w:pgSz w:w="11906" w:h="16838"/>
          <w:pgMar w:top="2665" w:right="1276" w:bottom="838" w:left="1134" w:header="708" w:footer="300" w:gutter="0"/>
          <w:cols w:space="708"/>
          <w:titlePg/>
          <w:docGrid w:linePitch="360"/>
        </w:sectPr>
      </w:pPr>
    </w:p>
    <w:p w14:paraId="04E71F15" w14:textId="18CF4F7D" w:rsidR="0004624A" w:rsidRDefault="009A0719" w:rsidP="009A0719">
      <w:r w:rsidRPr="0049335F">
        <w:lastRenderedPageBreak/>
        <w:t>Despite enduring two major recessions, the UK has enjoyed strong growth in employment over the past 30 years. But the sectoral focus of that job creation has been relatively narrow. More than four-fifths of the 9mn net increase in jobs between 1994 and 2024 came in the business services and finance and government and other services sectors (</w:t>
      </w:r>
      <w:r w:rsidRPr="00F0435A">
        <w:rPr>
          <w:b/>
          <w:color w:val="003469"/>
        </w:rPr>
        <w:fldChar w:fldCharType="begin"/>
      </w:r>
      <w:r w:rsidR="00F0435A" w:rsidRPr="00F0435A">
        <w:rPr>
          <w:b/>
          <w:color w:val="003469"/>
        </w:rPr>
        <w:instrText xml:space="preserve">REF _Ref202254270 \h \* Charformat </w:instrText>
      </w:r>
      <w:r w:rsidRPr="00F0435A">
        <w:rPr>
          <w:b/>
          <w:color w:val="003469"/>
        </w:rPr>
      </w:r>
      <w:r w:rsidRPr="00F0435A">
        <w:rPr>
          <w:b/>
          <w:color w:val="003469"/>
        </w:rPr>
        <w:fldChar w:fldCharType="separate"/>
      </w:r>
      <w:r w:rsidR="00F0435A" w:rsidRPr="00F0435A">
        <w:rPr>
          <w:b/>
          <w:color w:val="003469"/>
        </w:rPr>
        <w:t>Chart 2</w:t>
      </w:r>
      <w:r w:rsidRPr="00F0435A">
        <w:rPr>
          <w:b/>
          <w:color w:val="003469"/>
        </w:rPr>
        <w:fldChar w:fldCharType="end"/>
      </w:r>
      <w:r w:rsidRPr="0049335F">
        <w:t xml:space="preserve">; see </w:t>
      </w:r>
      <w:r w:rsidRPr="00F0435A">
        <w:rPr>
          <w:b/>
          <w:color w:val="003469"/>
        </w:rPr>
        <w:fldChar w:fldCharType="begin"/>
      </w:r>
      <w:r w:rsidR="00F0435A" w:rsidRPr="00F0435A">
        <w:rPr>
          <w:b/>
          <w:color w:val="003469"/>
        </w:rPr>
        <w:instrText xml:space="preserve">REF _Ref201740076 \h \* Charformat </w:instrText>
      </w:r>
      <w:r w:rsidRPr="00F0435A">
        <w:rPr>
          <w:b/>
          <w:color w:val="003469"/>
        </w:rPr>
      </w:r>
      <w:r w:rsidRPr="00F0435A">
        <w:rPr>
          <w:b/>
          <w:color w:val="003469"/>
        </w:rPr>
        <w:fldChar w:fldCharType="separate"/>
      </w:r>
      <w:r w:rsidR="00F0435A" w:rsidRPr="00F0435A">
        <w:rPr>
          <w:b/>
          <w:color w:val="003469"/>
        </w:rPr>
        <w:t>Box 1</w:t>
      </w:r>
      <w:r w:rsidRPr="00F0435A">
        <w:rPr>
          <w:b/>
          <w:color w:val="003469"/>
        </w:rPr>
        <w:fldChar w:fldCharType="end"/>
      </w:r>
      <w:r w:rsidRPr="0049335F">
        <w:t xml:space="preserve"> for more information about how we have aggregated sectors).</w:t>
      </w:r>
    </w:p>
    <w:p w14:paraId="381DE375" w14:textId="2466F971" w:rsidR="00575CD7" w:rsidRPr="0049335F" w:rsidRDefault="00575CD7" w:rsidP="00F038CB">
      <w:pPr>
        <w:pStyle w:val="ExhibitTitle"/>
      </w:pPr>
      <w:bookmarkStart w:id="1" w:name="_Ref202254270"/>
      <w:r w:rsidRPr="0049335F">
        <w:t xml:space="preserve">Chart </w:t>
      </w:r>
      <w:r w:rsidRPr="0049335F">
        <w:fldChar w:fldCharType="begin"/>
      </w:r>
      <w:r w:rsidR="009011B1" w:rsidRPr="0049335F">
        <w:instrText>SEQ CHART</w:instrText>
      </w:r>
      <w:r w:rsidRPr="0049335F">
        <w:fldChar w:fldCharType="separate"/>
      </w:r>
      <w:r w:rsidR="009A0719" w:rsidRPr="0049335F">
        <w:t>2</w:t>
      </w:r>
      <w:r w:rsidRPr="0049335F">
        <w:fldChar w:fldCharType="end"/>
      </w:r>
      <w:bookmarkEnd w:id="1"/>
      <w:r w:rsidRPr="0049335F">
        <w:t xml:space="preserve">: </w:t>
      </w:r>
      <w:r w:rsidR="001041E4" w:rsidRPr="0049335F">
        <w:t>The public sector has accounted for most of the net job creation since 2019</w:t>
      </w:r>
    </w:p>
    <w:p w14:paraId="10DB9090" w14:textId="52D45271" w:rsidR="009011B1" w:rsidRPr="0049335F" w:rsidRDefault="009011B1" w:rsidP="00F038CB">
      <w:pPr>
        <w:spacing w:after="0"/>
      </w:pPr>
      <w:r w:rsidRPr="0049335F">
        <w:rPr>
          <w:noProof/>
        </w:rPr>
        <w:drawing>
          <wp:inline distT="0" distB="0" distL="0" distR="0" wp14:anchorId="366B9ECE" wp14:editId="0AACB4B2">
            <wp:extent cx="3250933" cy="2548068"/>
            <wp:effectExtent l="0" t="0" r="6985" b="5080"/>
            <wp:docPr id="5448529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52978" name=""/>
                    <pic:cNvPicPr/>
                  </pic:nvPicPr>
                  <pic:blipFill>
                    <a:blip r:embed="rId20">
                      <a:extLs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64EC3795" w14:textId="73825ABC" w:rsidR="00575CD7" w:rsidRPr="0049335F" w:rsidRDefault="009011B1" w:rsidP="00F038CB">
      <w:pPr>
        <w:pStyle w:val="ExhibitSource"/>
      </w:pPr>
      <w:r w:rsidRPr="0049335F">
        <w:t>Source: Haver Analytics</w:t>
      </w:r>
    </w:p>
    <w:p w14:paraId="619093D6" w14:textId="77777777" w:rsidR="009F2174" w:rsidRPr="0049335F" w:rsidRDefault="009F2174" w:rsidP="009F2174">
      <w:r w:rsidRPr="0049335F">
        <w:t xml:space="preserve">That period also saw the loss of more than 1.5mn manufacturing jobs, though the </w:t>
      </w:r>
      <w:r>
        <w:t>losses</w:t>
      </w:r>
      <w:r w:rsidRPr="0049335F">
        <w:t xml:space="preserve"> </w:t>
      </w:r>
      <w:r>
        <w:t>were</w:t>
      </w:r>
      <w:r w:rsidRPr="0049335F">
        <w:t xml:space="preserve"> mostly concentrated in the </w:t>
      </w:r>
      <w:r>
        <w:t>years up to 2010</w:t>
      </w:r>
      <w:r w:rsidRPr="0049335F">
        <w:t>.</w:t>
      </w:r>
    </w:p>
    <w:p w14:paraId="05F8EC76" w14:textId="063F8FC4" w:rsidR="00A53B81" w:rsidRPr="0049335F" w:rsidRDefault="00A53B81" w:rsidP="00A53B81">
      <w:r w:rsidRPr="0049335F">
        <w:t xml:space="preserve">Since 2019, </w:t>
      </w:r>
      <w:r w:rsidR="006350C4" w:rsidRPr="0049335F">
        <w:t>the sectoral focus has narrowed further</w:t>
      </w:r>
      <w:r w:rsidRPr="0049335F">
        <w:t xml:space="preserve">. The health sector has been responsible for just </w:t>
      </w:r>
      <w:r w:rsidR="00641547" w:rsidRPr="0049335F">
        <w:t>under</w:t>
      </w:r>
      <w:r w:rsidRPr="0049335F">
        <w:t xml:space="preserve"> half of </w:t>
      </w:r>
      <w:r w:rsidR="00641547" w:rsidRPr="0049335F">
        <w:t xml:space="preserve">the net 1.5mn </w:t>
      </w:r>
      <w:r w:rsidRPr="0049335F">
        <w:t>job</w:t>
      </w:r>
      <w:r w:rsidR="00641547" w:rsidRPr="0049335F">
        <w:t>s</w:t>
      </w:r>
      <w:r w:rsidRPr="0049335F">
        <w:t xml:space="preserve"> crea</w:t>
      </w:r>
      <w:r w:rsidR="00641547" w:rsidRPr="0049335F">
        <w:t>ted</w:t>
      </w:r>
      <w:r w:rsidRPr="0049335F">
        <w:t xml:space="preserve"> since 2019. When public administration and education are added, industries that are dominated by the public sector account for 7</w:t>
      </w:r>
      <w:r w:rsidR="004C1AAE" w:rsidRPr="0049335F">
        <w:t>2</w:t>
      </w:r>
      <w:r w:rsidRPr="0049335F">
        <w:t>% of the net job creation since the pandemic started.</w:t>
      </w:r>
    </w:p>
    <w:p w14:paraId="7B12C535" w14:textId="4EA41700" w:rsidR="001041E4" w:rsidRPr="0049335F" w:rsidRDefault="001041E4" w:rsidP="001041E4">
      <w:r w:rsidRPr="0049335F">
        <w:t>By contrast, large parts of the private sector continue to struggle</w:t>
      </w:r>
      <w:r w:rsidR="0004624A">
        <w:t xml:space="preserve"> –</w:t>
      </w:r>
      <w:r w:rsidRPr="0049335F">
        <w:t xml:space="preserve"> </w:t>
      </w:r>
      <w:r w:rsidR="0004624A">
        <w:t>a</w:t>
      </w:r>
      <w:r w:rsidRPr="0049335F">
        <w:t xml:space="preserve">round a third </w:t>
      </w:r>
      <w:r w:rsidR="007B1485">
        <w:t xml:space="preserve">of sub-sectors </w:t>
      </w:r>
      <w:r w:rsidRPr="0049335F">
        <w:t>have lower employment now than in 2019</w:t>
      </w:r>
      <w:r w:rsidR="0004624A">
        <w:t>. These sectors</w:t>
      </w:r>
      <w:r w:rsidRPr="0049335F">
        <w:t xml:space="preserve"> includ</w:t>
      </w:r>
      <w:r w:rsidR="0004624A">
        <w:t>e</w:t>
      </w:r>
      <w:r w:rsidRPr="0049335F">
        <w:t xml:space="preserve"> wholesale and retail, manufacturing, construction, and administrative services –</w:t>
      </w:r>
      <w:r w:rsidR="0004624A">
        <w:t xml:space="preserve"> </w:t>
      </w:r>
      <w:r w:rsidRPr="0049335F">
        <w:t xml:space="preserve">all large </w:t>
      </w:r>
      <w:r w:rsidR="0004624A">
        <w:t>employers</w:t>
      </w:r>
      <w:r w:rsidRPr="0049335F">
        <w:t xml:space="preserve"> that collectively account for just over a third of UK jobs.</w:t>
      </w:r>
    </w:p>
    <w:p w14:paraId="7F3524B9" w14:textId="0D7721C4" w:rsidR="00534EAA" w:rsidRPr="0049335F" w:rsidRDefault="00400DE2" w:rsidP="00F038CB">
      <w:pPr>
        <w:pStyle w:val="Heading3"/>
      </w:pPr>
      <w:r w:rsidRPr="0049335F">
        <w:t>Tighter spending plans suggest public sector job creation will slow</w:t>
      </w:r>
    </w:p>
    <w:p w14:paraId="1276BEBB" w14:textId="4C0862BB" w:rsidR="00575CD7" w:rsidRPr="0049335F" w:rsidRDefault="00E34659" w:rsidP="001041E4">
      <w:r w:rsidRPr="0049335F">
        <w:t xml:space="preserve">Strong public sector job creation </w:t>
      </w:r>
      <w:r w:rsidR="00FF4FBB" w:rsidRPr="0049335F">
        <w:t xml:space="preserve">over the past five years </w:t>
      </w:r>
      <w:r w:rsidRPr="0049335F">
        <w:t xml:space="preserve">has been sustained by </w:t>
      </w:r>
      <w:r w:rsidR="006D70CB" w:rsidRPr="0049335F">
        <w:t>a large increase in government spending</w:t>
      </w:r>
      <w:r w:rsidR="00FF4FBB" w:rsidRPr="0049335F">
        <w:t>, with departmental spending rising from 17% of GDP in fiscal year 2019</w:t>
      </w:r>
      <w:r w:rsidR="0004624A">
        <w:t>/</w:t>
      </w:r>
      <w:r w:rsidR="00FF4FBB" w:rsidRPr="0049335F">
        <w:t>20 to 19% of GDP in 2024</w:t>
      </w:r>
      <w:r w:rsidR="0004624A">
        <w:t>/</w:t>
      </w:r>
      <w:r w:rsidR="00FF4FBB" w:rsidRPr="0049335F">
        <w:t>25</w:t>
      </w:r>
      <w:r w:rsidR="006D70CB" w:rsidRPr="0049335F">
        <w:t>.</w:t>
      </w:r>
      <w:r w:rsidR="00FF4FBB" w:rsidRPr="0049335F">
        <w:t xml:space="preserve"> </w:t>
      </w:r>
      <w:r w:rsidR="001041E4" w:rsidRPr="0049335F">
        <w:t>The extra current government spending announced in the October 2024 Budget should drive further</w:t>
      </w:r>
      <w:r w:rsidR="00FF4FBB" w:rsidRPr="0049335F">
        <w:t xml:space="preserve"> strong</w:t>
      </w:r>
      <w:r w:rsidR="001041E4" w:rsidRPr="0049335F">
        <w:t xml:space="preserve"> job creation in the public sector this year. But </w:t>
      </w:r>
      <w:r w:rsidR="00FF4FBB" w:rsidRPr="0049335F">
        <w:t xml:space="preserve">thereafter, </w:t>
      </w:r>
      <w:r w:rsidR="00352AFB" w:rsidRPr="0049335F">
        <w:t xml:space="preserve">departmental </w:t>
      </w:r>
      <w:r w:rsidR="001041E4" w:rsidRPr="0049335F">
        <w:t>spending plans are much tighter</w:t>
      </w:r>
      <w:r w:rsidR="00FF4FBB" w:rsidRPr="0049335F">
        <w:t xml:space="preserve"> (</w:t>
      </w:r>
      <w:r w:rsidR="004127CB" w:rsidRPr="00F0435A">
        <w:rPr>
          <w:b/>
          <w:color w:val="003469"/>
        </w:rPr>
        <w:fldChar w:fldCharType="begin"/>
      </w:r>
      <w:r w:rsidR="00F0435A" w:rsidRPr="00F0435A">
        <w:rPr>
          <w:b/>
          <w:color w:val="003469"/>
        </w:rPr>
        <w:instrText xml:space="preserve">REF _Ref201596668 \h \* Charformat </w:instrText>
      </w:r>
      <w:r w:rsidR="004127CB" w:rsidRPr="00F0435A">
        <w:rPr>
          <w:b/>
          <w:color w:val="003469"/>
        </w:rPr>
      </w:r>
      <w:r w:rsidR="004127CB" w:rsidRPr="00F0435A">
        <w:rPr>
          <w:b/>
          <w:color w:val="003469"/>
        </w:rPr>
        <w:fldChar w:fldCharType="separate"/>
      </w:r>
      <w:r w:rsidR="00F0435A" w:rsidRPr="00F0435A">
        <w:rPr>
          <w:b/>
          <w:color w:val="003469"/>
        </w:rPr>
        <w:t>Chart 3</w:t>
      </w:r>
      <w:r w:rsidR="004127CB" w:rsidRPr="00F0435A">
        <w:rPr>
          <w:b/>
          <w:color w:val="003469"/>
        </w:rPr>
        <w:fldChar w:fldCharType="end"/>
      </w:r>
      <w:r w:rsidR="00FF4FBB" w:rsidRPr="0049335F">
        <w:t>). This is particularly the case for day-to-day spending, which will be most tightly linked to public sector employment.</w:t>
      </w:r>
    </w:p>
    <w:p w14:paraId="7938CD89" w14:textId="3FA784CC" w:rsidR="003457F2" w:rsidRPr="0049335F" w:rsidRDefault="003457F2" w:rsidP="00F038CB">
      <w:pPr>
        <w:pStyle w:val="ExhibitTitle"/>
      </w:pPr>
      <w:bookmarkStart w:id="2" w:name="_Ref201596668"/>
      <w:r w:rsidRPr="0049335F">
        <w:lastRenderedPageBreak/>
        <w:t xml:space="preserve">Chart </w:t>
      </w:r>
      <w:r w:rsidRPr="0049335F">
        <w:fldChar w:fldCharType="begin"/>
      </w:r>
      <w:r w:rsidR="009011B1" w:rsidRPr="0049335F">
        <w:instrText>SEQ CHART</w:instrText>
      </w:r>
      <w:r w:rsidRPr="0049335F">
        <w:fldChar w:fldCharType="separate"/>
      </w:r>
      <w:r w:rsidR="009A0719" w:rsidRPr="0049335F">
        <w:t>3</w:t>
      </w:r>
      <w:r w:rsidRPr="0049335F">
        <w:fldChar w:fldCharType="end"/>
      </w:r>
      <w:bookmarkEnd w:id="2"/>
      <w:r w:rsidRPr="0049335F">
        <w:t xml:space="preserve">: </w:t>
      </w:r>
      <w:r w:rsidR="00352A85" w:rsidRPr="0049335F">
        <w:t>The government plans much greater spending restraint from next year</w:t>
      </w:r>
    </w:p>
    <w:p w14:paraId="600887E6" w14:textId="6FCE7C68" w:rsidR="009011B1" w:rsidRPr="0049335F" w:rsidRDefault="009011B1" w:rsidP="00F038CB">
      <w:pPr>
        <w:spacing w:after="0"/>
      </w:pPr>
      <w:r w:rsidRPr="0049335F">
        <w:rPr>
          <w:noProof/>
        </w:rPr>
        <w:drawing>
          <wp:inline distT="0" distB="0" distL="0" distR="0" wp14:anchorId="5F87A6C7" wp14:editId="7F820638">
            <wp:extent cx="3250933" cy="2548068"/>
            <wp:effectExtent l="0" t="0" r="6985" b="5080"/>
            <wp:docPr id="11777560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6064" name=""/>
                    <pic:cNvPicPr/>
                  </pic:nvPicPr>
                  <pic:blipFill>
                    <a:blip r:embed="rId22">
                      <a:extLs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63D5F90D" w14:textId="280EB5C5" w:rsidR="003457F2" w:rsidRPr="0049335F" w:rsidRDefault="009011B1" w:rsidP="00F038CB">
      <w:pPr>
        <w:pStyle w:val="ExhibitSource"/>
      </w:pPr>
      <w:r w:rsidRPr="0049335F">
        <w:t>Source: Office for Budget Responsibility</w:t>
      </w:r>
    </w:p>
    <w:p w14:paraId="2ACDF9AE" w14:textId="78C08F59" w:rsidR="00370400" w:rsidRPr="0049335F" w:rsidRDefault="0004624A" w:rsidP="005E052B">
      <w:r>
        <w:t>However</w:t>
      </w:r>
      <w:r w:rsidR="007139B0" w:rsidRPr="0049335F">
        <w:t xml:space="preserve">, </w:t>
      </w:r>
      <w:r>
        <w:t xml:space="preserve">tighter </w:t>
      </w:r>
      <w:r w:rsidR="007139B0" w:rsidRPr="0049335F">
        <w:t>spending restraint is likely to mean slower jobs growth rather than outright falls in headcount. Under the 2010-2015 Conservative-Liberal Democrat coalition, the ratio of departmental spending to GDP fell by almost 4ppts</w:t>
      </w:r>
      <w:r w:rsidR="00175095">
        <w:t>,</w:t>
      </w:r>
      <w:r w:rsidR="007139B0" w:rsidRPr="0049335F">
        <w:t xml:space="preserve"> but </w:t>
      </w:r>
      <w:r w:rsidR="000F121B" w:rsidRPr="0049335F">
        <w:t>the number of public sector jobs still rose slightly over this period.</w:t>
      </w:r>
    </w:p>
    <w:p w14:paraId="3FB6C35A" w14:textId="01B9FF1C" w:rsidR="001041E4" w:rsidRPr="0049335F" w:rsidRDefault="00C32CEB" w:rsidP="00C32CEB">
      <w:r w:rsidRPr="0049335F">
        <w:t xml:space="preserve">The </w:t>
      </w:r>
      <w:r w:rsidR="00D734FB" w:rsidRPr="0049335F">
        <w:t xml:space="preserve">increasing focus </w:t>
      </w:r>
      <w:r w:rsidRPr="0049335F">
        <w:t xml:space="preserve">of </w:t>
      </w:r>
      <w:r w:rsidR="00D734FB" w:rsidRPr="0049335F">
        <w:t xml:space="preserve">public sector </w:t>
      </w:r>
      <w:r w:rsidR="00796E90" w:rsidRPr="0049335F">
        <w:t>employment</w:t>
      </w:r>
      <w:r w:rsidRPr="0049335F">
        <w:t xml:space="preserve"> </w:t>
      </w:r>
      <w:r w:rsidR="00D734FB" w:rsidRPr="0049335F">
        <w:t xml:space="preserve">on healthcare </w:t>
      </w:r>
      <w:r w:rsidRPr="0049335F">
        <w:t xml:space="preserve">also suggests that </w:t>
      </w:r>
      <w:r w:rsidR="00796E90" w:rsidRPr="0049335F">
        <w:t>job creation should continue</w:t>
      </w:r>
      <w:r w:rsidR="00486D38" w:rsidRPr="0049335F">
        <w:t xml:space="preserve"> (</w:t>
      </w:r>
      <w:r w:rsidR="00486D38" w:rsidRPr="00F0435A">
        <w:rPr>
          <w:b/>
          <w:color w:val="003469"/>
        </w:rPr>
        <w:fldChar w:fldCharType="begin"/>
      </w:r>
      <w:r w:rsidR="00F0435A" w:rsidRPr="00F0435A">
        <w:rPr>
          <w:b/>
          <w:color w:val="003469"/>
        </w:rPr>
        <w:instrText xml:space="preserve">REF _Ref201596669 \h \* Charformat </w:instrText>
      </w:r>
      <w:r w:rsidR="00486D38" w:rsidRPr="00F0435A">
        <w:rPr>
          <w:b/>
          <w:color w:val="003469"/>
        </w:rPr>
      </w:r>
      <w:r w:rsidR="00486D38" w:rsidRPr="00F0435A">
        <w:rPr>
          <w:b/>
          <w:color w:val="003469"/>
        </w:rPr>
        <w:fldChar w:fldCharType="separate"/>
      </w:r>
      <w:r w:rsidR="00F0435A" w:rsidRPr="00F0435A">
        <w:rPr>
          <w:b/>
          <w:color w:val="003469"/>
        </w:rPr>
        <w:t>Chart 4</w:t>
      </w:r>
      <w:r w:rsidR="00486D38" w:rsidRPr="00F0435A">
        <w:rPr>
          <w:b/>
          <w:color w:val="003469"/>
        </w:rPr>
        <w:fldChar w:fldCharType="end"/>
      </w:r>
      <w:r w:rsidR="00486D38" w:rsidRPr="0049335F">
        <w:t>)</w:t>
      </w:r>
      <w:r w:rsidR="001041E4" w:rsidRPr="0049335F">
        <w:t>.</w:t>
      </w:r>
      <w:r w:rsidR="00796E90" w:rsidRPr="0049335F">
        <w:t xml:space="preserve"> In Q1 2025, 35% of public sector employees worked in the National Health Service, up from 29% a decade earlier. </w:t>
      </w:r>
      <w:r w:rsidR="004255C7" w:rsidRPr="0049335F">
        <w:t xml:space="preserve">The political importance of public healthcare has left it largely immune to funding </w:t>
      </w:r>
      <w:r w:rsidR="00D11DFC" w:rsidRPr="0049335F">
        <w:t>cuts</w:t>
      </w:r>
      <w:r w:rsidR="004255C7" w:rsidRPr="0049335F">
        <w:t xml:space="preserve"> in recent years </w:t>
      </w:r>
      <w:r w:rsidR="00175095">
        <w:t>–</w:t>
      </w:r>
      <w:r w:rsidR="00175095" w:rsidRPr="0049335F">
        <w:t xml:space="preserve"> </w:t>
      </w:r>
      <w:r w:rsidR="004255C7" w:rsidRPr="0049335F">
        <w:t xml:space="preserve">we think this is likely to </w:t>
      </w:r>
      <w:r w:rsidR="00175095">
        <w:t>continue to be</w:t>
      </w:r>
      <w:r w:rsidR="00175095" w:rsidRPr="0049335F">
        <w:t xml:space="preserve"> </w:t>
      </w:r>
      <w:r w:rsidR="004255C7" w:rsidRPr="0049335F">
        <w:t>the case.</w:t>
      </w:r>
    </w:p>
    <w:p w14:paraId="70B1D8F3" w14:textId="38D5EBB7" w:rsidR="00B012A3" w:rsidRPr="0049335F" w:rsidRDefault="00B012A3" w:rsidP="00F038CB">
      <w:pPr>
        <w:pStyle w:val="ExhibitTitle"/>
      </w:pPr>
      <w:bookmarkStart w:id="3" w:name="_Ref201596669"/>
      <w:r w:rsidRPr="0049335F">
        <w:t xml:space="preserve">Chart </w:t>
      </w:r>
      <w:r w:rsidRPr="0049335F">
        <w:fldChar w:fldCharType="begin"/>
      </w:r>
      <w:r w:rsidR="00FB741E" w:rsidRPr="0049335F">
        <w:instrText>SEQ CHART</w:instrText>
      </w:r>
      <w:r w:rsidRPr="0049335F">
        <w:fldChar w:fldCharType="separate"/>
      </w:r>
      <w:r w:rsidR="009A0719" w:rsidRPr="0049335F">
        <w:t>4</w:t>
      </w:r>
      <w:r w:rsidRPr="0049335F">
        <w:fldChar w:fldCharType="end"/>
      </w:r>
      <w:bookmarkEnd w:id="3"/>
      <w:r w:rsidRPr="0049335F">
        <w:t xml:space="preserve">: </w:t>
      </w:r>
      <w:r w:rsidR="001F46AA" w:rsidRPr="0049335F">
        <w:t>P</w:t>
      </w:r>
      <w:r w:rsidR="004255C7" w:rsidRPr="0049335F">
        <w:t>ublic sector employment</w:t>
      </w:r>
      <w:r w:rsidR="001F46AA" w:rsidRPr="0049335F">
        <w:t xml:space="preserve"> has become progressively more focused on the NHS</w:t>
      </w:r>
    </w:p>
    <w:p w14:paraId="094529B4" w14:textId="4A514C24" w:rsidR="00FB741E" w:rsidRPr="0049335F" w:rsidRDefault="00FB741E" w:rsidP="00F038CB">
      <w:pPr>
        <w:spacing w:after="0"/>
      </w:pPr>
      <w:r w:rsidRPr="0049335F">
        <w:rPr>
          <w:noProof/>
        </w:rPr>
        <w:drawing>
          <wp:inline distT="0" distB="0" distL="0" distR="0" wp14:anchorId="2BE2EF13" wp14:editId="35942767">
            <wp:extent cx="3250933" cy="2548068"/>
            <wp:effectExtent l="0" t="0" r="6985" b="5080"/>
            <wp:docPr id="98491000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0008" name=""/>
                    <pic:cNvPicPr/>
                  </pic:nvPicPr>
                  <pic:blipFill>
                    <a:blip r:embed="rId24">
                      <a:extLs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0A4DDBF9" w14:textId="0FB5FD68" w:rsidR="00B012A3" w:rsidRPr="0049335F" w:rsidRDefault="00FB741E" w:rsidP="00F038CB">
      <w:pPr>
        <w:pStyle w:val="ExhibitSource"/>
      </w:pPr>
      <w:r w:rsidRPr="0049335F">
        <w:t>Source: Haver Analytics</w:t>
      </w:r>
    </w:p>
    <w:p w14:paraId="63B702D7" w14:textId="4D879D30" w:rsidR="00FF4FBB" w:rsidRPr="0049335F" w:rsidRDefault="00A27EA8" w:rsidP="00575CD7">
      <w:r w:rsidRPr="0049335F">
        <w:t xml:space="preserve">In its recent </w:t>
      </w:r>
      <w:hyperlink r:id="rId26" w:history="1">
        <w:r w:rsidRPr="0049335F">
          <w:rPr>
            <w:rStyle w:val="Hyperlink"/>
          </w:rPr>
          <w:t>Spending Review</w:t>
        </w:r>
      </w:hyperlink>
      <w:r w:rsidRPr="0049335F">
        <w:t xml:space="preserve">, the government </w:t>
      </w:r>
      <w:r w:rsidR="00DA67A4" w:rsidRPr="0049335F">
        <w:t>aimed to make</w:t>
      </w:r>
      <w:r w:rsidRPr="0049335F">
        <w:t xml:space="preserve"> substantial efficiency improvements to raise output without the need for continued large increases in the health sector pay bill. But </w:t>
      </w:r>
      <w:r w:rsidR="00DA67A4" w:rsidRPr="0049335F">
        <w:t>t</w:t>
      </w:r>
      <w:r w:rsidRPr="0049335F">
        <w:t xml:space="preserve">he level of healthcare productivity </w:t>
      </w:r>
      <w:r w:rsidR="00DA67A4" w:rsidRPr="0049335F">
        <w:t xml:space="preserve">in 2024 </w:t>
      </w:r>
      <w:r w:rsidRPr="0049335F">
        <w:t xml:space="preserve">was the same as it was in 2012, </w:t>
      </w:r>
      <w:r w:rsidR="00DA67A4" w:rsidRPr="0049335F">
        <w:t xml:space="preserve">so </w:t>
      </w:r>
      <w:r w:rsidRPr="0049335F">
        <w:t xml:space="preserve">we're sceptical that the sector </w:t>
      </w:r>
      <w:r w:rsidR="00175095">
        <w:t>can</w:t>
      </w:r>
      <w:r w:rsidR="00175095" w:rsidRPr="0049335F">
        <w:t xml:space="preserve"> </w:t>
      </w:r>
      <w:r w:rsidRPr="0049335F">
        <w:t xml:space="preserve">achieve these efficiency improvements. </w:t>
      </w:r>
      <w:r w:rsidR="00AE74B3" w:rsidRPr="0049335F">
        <w:t>E</w:t>
      </w:r>
      <w:r w:rsidRPr="0049335F">
        <w:t xml:space="preserve">xperience suggests that the government will likely respond to any failure to </w:t>
      </w:r>
      <w:r w:rsidR="00175095">
        <w:t>improve</w:t>
      </w:r>
      <w:r w:rsidR="00175095" w:rsidRPr="0049335F">
        <w:t xml:space="preserve"> </w:t>
      </w:r>
      <w:r w:rsidRPr="0049335F">
        <w:t>efficiency by increasing spending on the NHS.</w:t>
      </w:r>
    </w:p>
    <w:p w14:paraId="64CB8C56" w14:textId="49DBB19F" w:rsidR="00A27EA8" w:rsidRPr="0049335F" w:rsidRDefault="00A27EA8" w:rsidP="00F038CB">
      <w:pPr>
        <w:pStyle w:val="Heading3"/>
      </w:pPr>
      <w:r w:rsidRPr="0049335F">
        <w:t xml:space="preserve">Private sector employment </w:t>
      </w:r>
      <w:r w:rsidR="00415C27" w:rsidRPr="0049335F">
        <w:t>is</w:t>
      </w:r>
      <w:r w:rsidRPr="0049335F">
        <w:t xml:space="preserve"> falling </w:t>
      </w:r>
      <w:r w:rsidR="0000167B" w:rsidRPr="0049335F">
        <w:t>due to sluggish demand and</w:t>
      </w:r>
      <w:r w:rsidRPr="0049335F">
        <w:t xml:space="preserve"> surging labour costs</w:t>
      </w:r>
    </w:p>
    <w:p w14:paraId="14B32160" w14:textId="0A40674F" w:rsidR="00FF4FBB" w:rsidRPr="0049335F" w:rsidRDefault="00B4135D" w:rsidP="00575CD7">
      <w:r w:rsidRPr="0049335F">
        <w:t xml:space="preserve">The prospect of waning support from the public sector </w:t>
      </w:r>
      <w:r w:rsidR="00FF4FBB" w:rsidRPr="0049335F">
        <w:t>put</w:t>
      </w:r>
      <w:r w:rsidRPr="0049335F">
        <w:t>s</w:t>
      </w:r>
      <w:r w:rsidR="00FF4FBB" w:rsidRPr="0049335F">
        <w:t xml:space="preserve"> a much greater onus on the private sector to drive jobs growth. </w:t>
      </w:r>
      <w:r w:rsidR="00F11ECE" w:rsidRPr="0049335F">
        <w:t>But</w:t>
      </w:r>
      <w:r w:rsidR="00197B62" w:rsidRPr="0049335F">
        <w:t xml:space="preserve"> in the near-term we </w:t>
      </w:r>
      <w:r w:rsidR="00F11ECE" w:rsidRPr="0049335F">
        <w:t>doubt</w:t>
      </w:r>
      <w:r w:rsidR="00197B62" w:rsidRPr="0049335F">
        <w:t xml:space="preserve"> </w:t>
      </w:r>
      <w:r w:rsidR="00175095">
        <w:t>the private sector can pick up the slack</w:t>
      </w:r>
      <w:r w:rsidR="00DF0249">
        <w:t>,</w:t>
      </w:r>
      <w:r w:rsidR="00197B62" w:rsidRPr="0049335F">
        <w:t xml:space="preserve"> given the </w:t>
      </w:r>
      <w:r w:rsidR="00197B62" w:rsidRPr="0049335F">
        <w:lastRenderedPageBreak/>
        <w:t xml:space="preserve">combination of relatively weak demand, the substantial increase in labour costs caused by April's increases in employers' NICs and the NLW, the </w:t>
      </w:r>
      <w:r w:rsidR="00234727" w:rsidRPr="0049335F">
        <w:t xml:space="preserve">broader squeeze on </w:t>
      </w:r>
      <w:r w:rsidR="00BE56C1" w:rsidRPr="0049335F">
        <w:t xml:space="preserve">corporate </w:t>
      </w:r>
      <w:r w:rsidR="00234727" w:rsidRPr="0049335F">
        <w:t xml:space="preserve">profitability, </w:t>
      </w:r>
      <w:r w:rsidR="00197B62" w:rsidRPr="0049335F">
        <w:t>and heightened uncertainty caused by US trade policy.</w:t>
      </w:r>
    </w:p>
    <w:p w14:paraId="3550E05A" w14:textId="56EB132F" w:rsidR="00B012A3" w:rsidRPr="0049335F" w:rsidRDefault="00234727" w:rsidP="000F331B">
      <w:r w:rsidRPr="0049335F">
        <w:t xml:space="preserve">We are now beginning to get early data on employment and wages for the period since the NICs and NLW increases kicked in. </w:t>
      </w:r>
      <w:r w:rsidR="00A371BE" w:rsidRPr="0049335F">
        <w:t xml:space="preserve">HMRC's count of employees on company payrolls has been </w:t>
      </w:r>
      <w:r w:rsidR="00E15C0E" w:rsidRPr="0049335F">
        <w:t>falling on a month-on-month basis since November</w:t>
      </w:r>
      <w:r w:rsidR="000F331B" w:rsidRPr="0049335F">
        <w:t xml:space="preserve">, but the April and May drops were </w:t>
      </w:r>
      <w:r w:rsidR="00DF0249">
        <w:t>by far</w:t>
      </w:r>
      <w:r w:rsidR="00DF0249" w:rsidRPr="0049335F">
        <w:t xml:space="preserve"> </w:t>
      </w:r>
      <w:r w:rsidR="000F331B" w:rsidRPr="0049335F">
        <w:t xml:space="preserve">the largest of that run. There's been a tendency for early HMRC estimates of employee numbers to be revised up over time, but </w:t>
      </w:r>
      <w:r w:rsidR="00E82B29" w:rsidRPr="0049335F">
        <w:t>the scale of recent drops suggests the weakness is unlikely to be fully revised away.</w:t>
      </w:r>
    </w:p>
    <w:p w14:paraId="38E03824" w14:textId="0BD2A400" w:rsidR="000F331B" w:rsidRPr="0049335F" w:rsidRDefault="00636C60" w:rsidP="000F331B">
      <w:r w:rsidRPr="0049335F">
        <w:t>Moreove</w:t>
      </w:r>
      <w:r w:rsidR="00603812" w:rsidRPr="0049335F">
        <w:t xml:space="preserve">r, </w:t>
      </w:r>
      <w:hyperlink r:id="rId27" w:history="1">
        <w:r w:rsidR="00603812" w:rsidRPr="0049335F">
          <w:rPr>
            <w:rStyle w:val="Hyperlink"/>
          </w:rPr>
          <w:t>as we feared would happen</w:t>
        </w:r>
      </w:hyperlink>
      <w:r w:rsidRPr="0049335F">
        <w:t>, t</w:t>
      </w:r>
      <w:r w:rsidR="000F331B" w:rsidRPr="0049335F">
        <w:t xml:space="preserve">he sectoral breakdown </w:t>
      </w:r>
      <w:r w:rsidR="00B96537" w:rsidRPr="0049335F">
        <w:t xml:space="preserve">points to severe pressure in sectors heavily reliant on lower paid roles </w:t>
      </w:r>
      <w:r w:rsidR="009B17E9" w:rsidRPr="0049335F">
        <w:t>(</w:t>
      </w:r>
      <w:r w:rsidR="004127CB" w:rsidRPr="00F0435A">
        <w:rPr>
          <w:b/>
          <w:color w:val="003469"/>
        </w:rPr>
        <w:fldChar w:fldCharType="begin"/>
      </w:r>
      <w:r w:rsidR="00F0435A" w:rsidRPr="00F0435A">
        <w:rPr>
          <w:b/>
          <w:color w:val="003469"/>
        </w:rPr>
        <w:instrText xml:space="preserve">REF _Ref201596670 \h \* Charformat </w:instrText>
      </w:r>
      <w:r w:rsidR="004127CB" w:rsidRPr="00F0435A">
        <w:rPr>
          <w:b/>
          <w:color w:val="003469"/>
        </w:rPr>
      </w:r>
      <w:r w:rsidR="004127CB" w:rsidRPr="00F0435A">
        <w:rPr>
          <w:b/>
          <w:color w:val="003469"/>
        </w:rPr>
        <w:fldChar w:fldCharType="separate"/>
      </w:r>
      <w:r w:rsidR="00F0435A" w:rsidRPr="00F0435A">
        <w:rPr>
          <w:b/>
          <w:color w:val="003469"/>
        </w:rPr>
        <w:t>Chart 5</w:t>
      </w:r>
      <w:r w:rsidR="004127CB" w:rsidRPr="00F0435A">
        <w:rPr>
          <w:b/>
          <w:color w:val="003469"/>
        </w:rPr>
        <w:fldChar w:fldCharType="end"/>
      </w:r>
      <w:r w:rsidR="009B17E9" w:rsidRPr="0049335F">
        <w:t>).</w:t>
      </w:r>
      <w:r w:rsidR="00B96537" w:rsidRPr="0049335F">
        <w:t xml:space="preserve"> </w:t>
      </w:r>
      <w:r w:rsidR="00903687" w:rsidRPr="0049335F">
        <w:t>Accommodation and food</w:t>
      </w:r>
      <w:r w:rsidR="00DF0249">
        <w:t>, which</w:t>
      </w:r>
      <w:r w:rsidR="00903687" w:rsidRPr="0049335F">
        <w:t xml:space="preserve"> pays the lowest median salary</w:t>
      </w:r>
      <w:r w:rsidR="00DF0249">
        <w:t>,</w:t>
      </w:r>
      <w:r w:rsidR="00903687" w:rsidRPr="0049335F">
        <w:t xml:space="preserve"> saw the biggest fall in employment on a three-month-on-three</w:t>
      </w:r>
      <w:r w:rsidR="00DF0249">
        <w:t>-</w:t>
      </w:r>
      <w:r w:rsidR="00903687" w:rsidRPr="0049335F">
        <w:t xml:space="preserve">month basis in May. Other services, agriculture, and wholesale and retail </w:t>
      </w:r>
      <w:r w:rsidR="00DF0249">
        <w:t>are</w:t>
      </w:r>
      <w:r w:rsidR="00DF0249" w:rsidRPr="0049335F">
        <w:t xml:space="preserve"> </w:t>
      </w:r>
      <w:r w:rsidR="00903687" w:rsidRPr="0049335F">
        <w:t>other low</w:t>
      </w:r>
      <w:r w:rsidR="00DF0249">
        <w:t>-</w:t>
      </w:r>
      <w:r w:rsidR="00903687" w:rsidRPr="0049335F">
        <w:t>paying sectors that saw substantial job losses.</w:t>
      </w:r>
    </w:p>
    <w:p w14:paraId="6E8F063B" w14:textId="52563C7E" w:rsidR="004E5397" w:rsidRPr="0049335F" w:rsidRDefault="004E5397" w:rsidP="00F038CB">
      <w:pPr>
        <w:pStyle w:val="ExhibitTitle"/>
      </w:pPr>
      <w:bookmarkStart w:id="4" w:name="_Ref201596670"/>
      <w:r w:rsidRPr="0049335F">
        <w:t xml:space="preserve">Chart </w:t>
      </w:r>
      <w:r w:rsidRPr="0049335F">
        <w:fldChar w:fldCharType="begin"/>
      </w:r>
      <w:r w:rsidR="004019E0" w:rsidRPr="0049335F">
        <w:instrText>SEQ CHART</w:instrText>
      </w:r>
      <w:r w:rsidRPr="0049335F">
        <w:fldChar w:fldCharType="separate"/>
      </w:r>
      <w:r w:rsidR="009A0719" w:rsidRPr="0049335F">
        <w:t>5</w:t>
      </w:r>
      <w:r w:rsidRPr="0049335F">
        <w:fldChar w:fldCharType="end"/>
      </w:r>
      <w:bookmarkEnd w:id="4"/>
      <w:r w:rsidRPr="0049335F">
        <w:t xml:space="preserve">: </w:t>
      </w:r>
      <w:r w:rsidR="007665D4" w:rsidRPr="0049335F">
        <w:t>Sectors more reliant on lower paid roles have seen the biggest job losses so far</w:t>
      </w:r>
    </w:p>
    <w:p w14:paraId="021B9765" w14:textId="465A81D0" w:rsidR="004019E0" w:rsidRPr="0049335F" w:rsidRDefault="004019E0" w:rsidP="00F038CB">
      <w:pPr>
        <w:spacing w:after="0"/>
      </w:pPr>
      <w:r w:rsidRPr="0049335F">
        <w:rPr>
          <w:noProof/>
        </w:rPr>
        <w:drawing>
          <wp:inline distT="0" distB="0" distL="0" distR="0" wp14:anchorId="1932D178" wp14:editId="2EFB200F">
            <wp:extent cx="3250933" cy="2548068"/>
            <wp:effectExtent l="0" t="0" r="6985" b="5080"/>
            <wp:docPr id="3556272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7228" name=""/>
                    <pic:cNvPicPr/>
                  </pic:nvPicPr>
                  <pic:blipFill>
                    <a:blip r:embed="rId28">
                      <a:extLst>
                        <a:ext uri="{96DAC541-7B7A-43D3-8B79-37D633B846F1}">
                          <asvg:svgBlip xmlns:asvg="http://schemas.microsoft.com/office/drawing/2016/SVG/main" r:embed="rId29"/>
                        </a:ext>
                      </a:extLst>
                    </a:blip>
                    <a:srcRect b="1886"/>
                    <a:stretch>
                      <a:fillRect/>
                    </a:stretch>
                  </pic:blipFill>
                  <pic:spPr>
                    <a:xfrm>
                      <a:off x="0" y="0"/>
                      <a:ext cx="3250933" cy="2548068"/>
                    </a:xfrm>
                    <a:prstGeom prst="rect">
                      <a:avLst/>
                    </a:prstGeom>
                  </pic:spPr>
                </pic:pic>
              </a:graphicData>
            </a:graphic>
          </wp:inline>
        </w:drawing>
      </w:r>
    </w:p>
    <w:p w14:paraId="238E9B5E" w14:textId="7EB663EC" w:rsidR="004E5397" w:rsidRPr="0049335F" w:rsidRDefault="004019E0" w:rsidP="00F038CB">
      <w:pPr>
        <w:pStyle w:val="ExhibitSource"/>
      </w:pPr>
      <w:r w:rsidRPr="0049335F">
        <w:t>Source: Oxford Economics calculations using data from Haver Analytics &amp; ONS</w:t>
      </w:r>
    </w:p>
    <w:p w14:paraId="3FF5BA00" w14:textId="2D5D53C2" w:rsidR="00B012A3" w:rsidRPr="0049335F" w:rsidRDefault="00FF402A" w:rsidP="00575CD7">
      <w:r w:rsidRPr="0049335F">
        <w:t xml:space="preserve">Data on unfilled vacancies </w:t>
      </w:r>
      <w:r w:rsidR="003D3967" w:rsidRPr="0049335F">
        <w:t>suggest</w:t>
      </w:r>
      <w:r w:rsidRPr="0049335F">
        <w:t xml:space="preserve"> the recent sectoral pattern of employment is largely a labour demand story. Lower paid sectors report the biggest falls in the vacancy ratio (the ratio of the number of unfilled vacancies per 100 jobs) compared with the </w:t>
      </w:r>
      <w:r w:rsidR="005F753A" w:rsidRPr="0049335F">
        <w:t xml:space="preserve">average of the </w:t>
      </w:r>
      <w:r w:rsidRPr="0049335F">
        <w:t>past ten years, with accommodation and food and other services also the worst performers on this metric (</w:t>
      </w:r>
      <w:r w:rsidR="008C66DE" w:rsidRPr="00F0435A">
        <w:rPr>
          <w:b/>
          <w:color w:val="003469"/>
        </w:rPr>
        <w:fldChar w:fldCharType="begin"/>
      </w:r>
      <w:r w:rsidR="00F0435A" w:rsidRPr="00F0435A">
        <w:rPr>
          <w:b/>
          <w:color w:val="003469"/>
        </w:rPr>
        <w:instrText xml:space="preserve">REF _Ref201693632 \h \* Charformat </w:instrText>
      </w:r>
      <w:r w:rsidR="008C66DE" w:rsidRPr="00F0435A">
        <w:rPr>
          <w:b/>
          <w:color w:val="003469"/>
        </w:rPr>
      </w:r>
      <w:r w:rsidR="008C66DE" w:rsidRPr="00F0435A">
        <w:rPr>
          <w:b/>
          <w:color w:val="003469"/>
        </w:rPr>
        <w:fldChar w:fldCharType="separate"/>
      </w:r>
      <w:r w:rsidR="00F0435A" w:rsidRPr="00F0435A">
        <w:rPr>
          <w:b/>
          <w:color w:val="003469"/>
        </w:rPr>
        <w:t>Chart 6</w:t>
      </w:r>
      <w:r w:rsidR="008C66DE" w:rsidRPr="00F0435A">
        <w:rPr>
          <w:b/>
          <w:color w:val="003469"/>
        </w:rPr>
        <w:fldChar w:fldCharType="end"/>
      </w:r>
      <w:r w:rsidRPr="0049335F">
        <w:t>).</w:t>
      </w:r>
    </w:p>
    <w:p w14:paraId="79FA5EB2" w14:textId="5F7BFFE1" w:rsidR="00F64A9D" w:rsidRPr="0049335F" w:rsidRDefault="00F64A9D" w:rsidP="00F038CB">
      <w:pPr>
        <w:pStyle w:val="ExhibitTitle"/>
      </w:pPr>
      <w:bookmarkStart w:id="5" w:name="_Ref201693632"/>
      <w:r w:rsidRPr="0049335F">
        <w:t xml:space="preserve">Chart </w:t>
      </w:r>
      <w:r w:rsidRPr="0049335F">
        <w:fldChar w:fldCharType="begin"/>
      </w:r>
      <w:r w:rsidR="009011B1" w:rsidRPr="0049335F">
        <w:instrText>SEQ CHART</w:instrText>
      </w:r>
      <w:r w:rsidRPr="0049335F">
        <w:fldChar w:fldCharType="separate"/>
      </w:r>
      <w:r w:rsidR="009A0719" w:rsidRPr="0049335F">
        <w:t>6</w:t>
      </w:r>
      <w:r w:rsidRPr="0049335F">
        <w:fldChar w:fldCharType="end"/>
      </w:r>
      <w:bookmarkEnd w:id="5"/>
      <w:r w:rsidRPr="0049335F">
        <w:t xml:space="preserve">: </w:t>
      </w:r>
      <w:r w:rsidR="00BB6DC9" w:rsidRPr="0049335F">
        <w:t>Lower paid sectors also report weaker demand for workers</w:t>
      </w:r>
    </w:p>
    <w:p w14:paraId="5B4A1B35" w14:textId="10629672" w:rsidR="009011B1" w:rsidRPr="0049335F" w:rsidRDefault="009011B1" w:rsidP="00F038CB">
      <w:pPr>
        <w:spacing w:after="0"/>
      </w:pPr>
      <w:r w:rsidRPr="0049335F">
        <w:rPr>
          <w:noProof/>
        </w:rPr>
        <w:drawing>
          <wp:inline distT="0" distB="0" distL="0" distR="0" wp14:anchorId="313248B0" wp14:editId="567804AB">
            <wp:extent cx="3250933" cy="2548068"/>
            <wp:effectExtent l="0" t="0" r="6985" b="5080"/>
            <wp:docPr id="93218751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87511" name=""/>
                    <pic:cNvPicPr/>
                  </pic:nvPicPr>
                  <pic:blipFill>
                    <a:blip r:embed="rId30">
                      <a:extLst>
                        <a:ext uri="{96DAC541-7B7A-43D3-8B79-37D633B846F1}">
                          <asvg:svgBlip xmlns:asvg="http://schemas.microsoft.com/office/drawing/2016/SVG/main" r:embed="rId31"/>
                        </a:ext>
                      </a:extLst>
                    </a:blip>
                    <a:srcRect b="1886"/>
                    <a:stretch>
                      <a:fillRect/>
                    </a:stretch>
                  </pic:blipFill>
                  <pic:spPr>
                    <a:xfrm>
                      <a:off x="0" y="0"/>
                      <a:ext cx="3250933" cy="2548068"/>
                    </a:xfrm>
                    <a:prstGeom prst="rect">
                      <a:avLst/>
                    </a:prstGeom>
                  </pic:spPr>
                </pic:pic>
              </a:graphicData>
            </a:graphic>
          </wp:inline>
        </w:drawing>
      </w:r>
    </w:p>
    <w:p w14:paraId="089A8F24" w14:textId="0818E233" w:rsidR="006B4C18" w:rsidRPr="0049335F" w:rsidRDefault="009011B1" w:rsidP="00F038CB">
      <w:pPr>
        <w:pStyle w:val="ExhibitSource"/>
      </w:pPr>
      <w:r w:rsidRPr="0049335F">
        <w:t>Source: Oxford Economics calculations using data from Haver Analytics &amp; ONS</w:t>
      </w:r>
    </w:p>
    <w:p w14:paraId="7A87CD7D" w14:textId="0046F7E4" w:rsidR="00164E5F" w:rsidRPr="0049335F" w:rsidRDefault="00164E5F" w:rsidP="00F038CB">
      <w:pPr>
        <w:pStyle w:val="Heading3"/>
      </w:pPr>
      <w:r w:rsidRPr="0049335F">
        <w:lastRenderedPageBreak/>
        <w:t>Labour cost pressures should begin to ease from next year</w:t>
      </w:r>
    </w:p>
    <w:p w14:paraId="6631A42B" w14:textId="25921A01" w:rsidR="00872840" w:rsidRPr="0049335F" w:rsidRDefault="00525344" w:rsidP="00575CD7">
      <w:r w:rsidRPr="0049335F">
        <w:t xml:space="preserve">In </w:t>
      </w:r>
      <w:hyperlink r:id="rId32" w:history="1">
        <w:r w:rsidRPr="0049335F">
          <w:rPr>
            <w:rStyle w:val="Hyperlink"/>
          </w:rPr>
          <w:t>our previous note</w:t>
        </w:r>
      </w:hyperlink>
      <w:r w:rsidRPr="0049335F">
        <w:t xml:space="preserve">, we estimated that </w:t>
      </w:r>
      <w:r w:rsidR="00BB1DB3" w:rsidRPr="0049335F">
        <w:t>the cost of employing a low paid full-time worker rose by more than 40% between 2021-2025. This was due to the</w:t>
      </w:r>
      <w:r w:rsidRPr="0049335F">
        <w:t xml:space="preserve"> combination of a </w:t>
      </w:r>
      <w:r w:rsidR="007F3938" w:rsidRPr="0049335F">
        <w:t>succession</w:t>
      </w:r>
      <w:r w:rsidRPr="0049335F">
        <w:t xml:space="preserve"> of large pay rises, reflecting </w:t>
      </w:r>
      <w:r w:rsidR="007F3938" w:rsidRPr="0049335F">
        <w:t>consecutive</w:t>
      </w:r>
      <w:r w:rsidRPr="0049335F">
        <w:t xml:space="preserve"> big increases in the NLW and a tight labour market, </w:t>
      </w:r>
      <w:r w:rsidR="00BB1DB3" w:rsidRPr="0049335F">
        <w:t>and</w:t>
      </w:r>
      <w:r w:rsidRPr="0049335F">
        <w:t xml:space="preserve"> the increase in employers' NICs. </w:t>
      </w:r>
      <w:r w:rsidR="00FD5AFE" w:rsidRPr="0049335F">
        <w:t xml:space="preserve">The final leg of that increase appears to have caused more pressure on firms' finances than the earlier phases. </w:t>
      </w:r>
    </w:p>
    <w:p w14:paraId="7966B74D" w14:textId="770D692E" w:rsidR="004E5397" w:rsidRPr="0049335F" w:rsidRDefault="00FD5AFE" w:rsidP="00575CD7">
      <w:r w:rsidRPr="0049335F">
        <w:t xml:space="preserve">We expect </w:t>
      </w:r>
      <w:r w:rsidR="00D227A3" w:rsidRPr="0049335F">
        <w:t>future</w:t>
      </w:r>
      <w:r w:rsidRPr="0049335F">
        <w:t xml:space="preserve"> increases in labour costs to be smaller</w:t>
      </w:r>
      <w:r w:rsidR="00872840" w:rsidRPr="0049335F">
        <w:t>. T</w:t>
      </w:r>
      <w:r w:rsidRPr="0049335F">
        <w:t xml:space="preserve">he increase in NICs will </w:t>
      </w:r>
      <w:r w:rsidR="0000167B" w:rsidRPr="0049335F">
        <w:t xml:space="preserve">probably </w:t>
      </w:r>
      <w:r w:rsidRPr="0049335F">
        <w:t xml:space="preserve">not be repeated, </w:t>
      </w:r>
      <w:r w:rsidR="00872840" w:rsidRPr="0049335F">
        <w:t xml:space="preserve">while </w:t>
      </w:r>
      <w:r w:rsidRPr="0049335F">
        <w:t>pay growth is cooling as the labour market loosens</w:t>
      </w:r>
      <w:r w:rsidR="00872840" w:rsidRPr="0049335F">
        <w:t xml:space="preserve">. We also expect a much smaller increase in the NLW from April 2026. The government is yet to issue </w:t>
      </w:r>
      <w:r w:rsidR="0052342D" w:rsidRPr="0049335F">
        <w:t xml:space="preserve">its remit to the </w:t>
      </w:r>
      <w:r w:rsidR="005625AC" w:rsidRPr="0049335F">
        <w:t>Low Pay Commission</w:t>
      </w:r>
      <w:r w:rsidR="0052342D" w:rsidRPr="0049335F">
        <w:t xml:space="preserve">, but with the NLW </w:t>
      </w:r>
      <w:r w:rsidR="000B602A" w:rsidRPr="0049335F">
        <w:t>already at two-thirds of median earnings</w:t>
      </w:r>
      <w:r w:rsidR="009A3FA9" w:rsidRPr="0049335F">
        <w:t xml:space="preserve"> – the previous target – </w:t>
      </w:r>
      <w:r w:rsidR="000B602A" w:rsidRPr="0049335F">
        <w:t xml:space="preserve">future NLW increases </w:t>
      </w:r>
      <w:r w:rsidR="009A3FA9" w:rsidRPr="0049335F">
        <w:t>should</w:t>
      </w:r>
      <w:r w:rsidR="000B602A" w:rsidRPr="0049335F">
        <w:t xml:space="preserve"> be more closely linked to average pay growth.</w:t>
      </w:r>
    </w:p>
    <w:p w14:paraId="270E0914" w14:textId="5F4C9AC6" w:rsidR="00B34239" w:rsidRPr="0049335F" w:rsidRDefault="0098660A" w:rsidP="00575CD7">
      <w:r w:rsidRPr="0049335F">
        <w:t xml:space="preserve">As a result, we </w:t>
      </w:r>
      <w:r w:rsidR="00DF0249">
        <w:t>think</w:t>
      </w:r>
      <w:r w:rsidRPr="0049335F">
        <w:t xml:space="preserve"> this year's fall in employment in lower paid sectors </w:t>
      </w:r>
      <w:r w:rsidR="00DF0249">
        <w:t>is</w:t>
      </w:r>
      <w:r w:rsidRPr="0049335F">
        <w:t xml:space="preserve"> more of a one-off adjustment to the </w:t>
      </w:r>
      <w:r w:rsidR="007D1EE6" w:rsidRPr="0049335F">
        <w:t>build-up</w:t>
      </w:r>
      <w:r w:rsidRPr="0049335F">
        <w:t xml:space="preserve"> in cost pressures than the beginning of a </w:t>
      </w:r>
      <w:r w:rsidR="0000167B" w:rsidRPr="0049335F">
        <w:t>persistent</w:t>
      </w:r>
      <w:r w:rsidRPr="0049335F">
        <w:t xml:space="preserve"> decline in job numbers.</w:t>
      </w:r>
      <w:r w:rsidR="00F37B7A" w:rsidRPr="0049335F">
        <w:t xml:space="preserve"> </w:t>
      </w:r>
      <w:r w:rsidR="00B34239" w:rsidRPr="0049335F">
        <w:t xml:space="preserve">But the recovery in private sector job creation </w:t>
      </w:r>
      <w:r w:rsidR="00563141" w:rsidRPr="0049335F">
        <w:t xml:space="preserve">is likely </w:t>
      </w:r>
      <w:r w:rsidR="00B34239" w:rsidRPr="0049335F">
        <w:t xml:space="preserve">to be slow, </w:t>
      </w:r>
      <w:r w:rsidR="00563141" w:rsidRPr="0049335F">
        <w:t xml:space="preserve">particularly given </w:t>
      </w:r>
      <w:r w:rsidR="009A0BE7" w:rsidRPr="0049335F">
        <w:t xml:space="preserve">that </w:t>
      </w:r>
      <w:r w:rsidR="00B34239" w:rsidRPr="0049335F">
        <w:t>demand</w:t>
      </w:r>
      <w:r w:rsidR="00563141" w:rsidRPr="0049335F">
        <w:t xml:space="preserve"> is </w:t>
      </w:r>
      <w:r w:rsidR="00DF0249">
        <w:t xml:space="preserve">also </w:t>
      </w:r>
      <w:r w:rsidR="00563141" w:rsidRPr="0049335F">
        <w:t>likely to remain weak.</w:t>
      </w:r>
    </w:p>
    <w:p w14:paraId="074B4824" w14:textId="73778340" w:rsidR="00B34239" w:rsidRPr="0049335F" w:rsidRDefault="00B34239" w:rsidP="00F038CB">
      <w:pPr>
        <w:pStyle w:val="Heading3"/>
      </w:pPr>
      <w:r w:rsidRPr="0049335F">
        <w:t xml:space="preserve">Waning public sector job creation and weak private sector demand </w:t>
      </w:r>
      <w:r w:rsidR="00DF0249">
        <w:t>to</w:t>
      </w:r>
      <w:r w:rsidR="00DF0249" w:rsidRPr="0049335F">
        <w:t xml:space="preserve"> </w:t>
      </w:r>
      <w:r w:rsidRPr="0049335F">
        <w:t>push up unemployment</w:t>
      </w:r>
    </w:p>
    <w:p w14:paraId="4C14E06F" w14:textId="6FAF00CD" w:rsidR="005244D8" w:rsidRPr="0049335F" w:rsidRDefault="000377A3" w:rsidP="00575CD7">
      <w:r>
        <w:t>O</w:t>
      </w:r>
      <w:r w:rsidR="00DF0249">
        <w:t>verall</w:t>
      </w:r>
      <w:r w:rsidR="005244D8" w:rsidRPr="0049335F">
        <w:t>, we expect total employment to dip through the rest of this year, as job losses in lower-paid sectors more than offset further job creation in the public sector (</w:t>
      </w:r>
      <w:r w:rsidR="00A763E8" w:rsidRPr="00F0435A">
        <w:rPr>
          <w:b/>
          <w:color w:val="003469"/>
        </w:rPr>
        <w:fldChar w:fldCharType="begin"/>
      </w:r>
      <w:r w:rsidR="00F0435A" w:rsidRPr="00F0435A">
        <w:rPr>
          <w:b/>
          <w:color w:val="003469"/>
        </w:rPr>
        <w:instrText xml:space="preserve">REF _Ref201693633 \h \* Charformat </w:instrText>
      </w:r>
      <w:r w:rsidR="00A763E8" w:rsidRPr="00F0435A">
        <w:rPr>
          <w:b/>
          <w:color w:val="003469"/>
        </w:rPr>
      </w:r>
      <w:r w:rsidR="00A763E8" w:rsidRPr="00F0435A">
        <w:rPr>
          <w:b/>
          <w:color w:val="003469"/>
        </w:rPr>
        <w:fldChar w:fldCharType="separate"/>
      </w:r>
      <w:r w:rsidR="00F0435A" w:rsidRPr="00F0435A">
        <w:rPr>
          <w:b/>
          <w:color w:val="003469"/>
        </w:rPr>
        <w:t>Chart 1</w:t>
      </w:r>
      <w:r w:rsidR="00A763E8" w:rsidRPr="00F0435A">
        <w:rPr>
          <w:b/>
          <w:color w:val="003469"/>
        </w:rPr>
        <w:fldChar w:fldCharType="end"/>
      </w:r>
      <w:r w:rsidR="005244D8" w:rsidRPr="0049335F">
        <w:t xml:space="preserve">). </w:t>
      </w:r>
      <w:r w:rsidR="00E54DA5" w:rsidRPr="0049335F">
        <w:t>Accommodation and food and wholesale and retail are forecast to be the worst performing sectors.</w:t>
      </w:r>
    </w:p>
    <w:p w14:paraId="1E4D0F56" w14:textId="170291DB" w:rsidR="001C46DA" w:rsidRPr="0049335F" w:rsidRDefault="005244D8" w:rsidP="00575CD7">
      <w:r w:rsidRPr="0049335F">
        <w:t xml:space="preserve">But the </w:t>
      </w:r>
      <w:r w:rsidR="00DF0249">
        <w:t>trend</w:t>
      </w:r>
      <w:r w:rsidR="00DF0249" w:rsidRPr="0049335F">
        <w:t xml:space="preserve"> </w:t>
      </w:r>
      <w:r w:rsidRPr="0049335F">
        <w:t xml:space="preserve">should turn around in 2026. We expect </w:t>
      </w:r>
      <w:r w:rsidR="007A67D6" w:rsidRPr="0049335F">
        <w:t>employment in</w:t>
      </w:r>
      <w:r w:rsidRPr="0049335F">
        <w:t xml:space="preserve"> lower paid sectors to </w:t>
      </w:r>
      <w:r w:rsidR="007A67D6" w:rsidRPr="0049335F">
        <w:t>stabilise and then gradually start to pick</w:t>
      </w:r>
      <w:r w:rsidR="00DF0249">
        <w:t xml:space="preserve"> </w:t>
      </w:r>
      <w:r w:rsidR="007A67D6" w:rsidRPr="0049335F">
        <w:t xml:space="preserve">up. </w:t>
      </w:r>
      <w:r w:rsidR="00E54DA5" w:rsidRPr="0049335F">
        <w:t>Better</w:t>
      </w:r>
      <w:r w:rsidR="007A67D6" w:rsidRPr="0049335F">
        <w:t xml:space="preserve">-paid parts of the private sector </w:t>
      </w:r>
      <w:r w:rsidR="001C46DA" w:rsidRPr="0049335F">
        <w:t xml:space="preserve">should see a steady increase in headcount, with </w:t>
      </w:r>
      <w:r w:rsidR="00B23EA5" w:rsidRPr="0049335F">
        <w:t>construction, professional services</w:t>
      </w:r>
      <w:r w:rsidR="00DF0249">
        <w:t>,</w:t>
      </w:r>
      <w:r w:rsidR="00B23EA5" w:rsidRPr="0049335F">
        <w:t xml:space="preserve"> </w:t>
      </w:r>
      <w:r w:rsidR="001C46DA" w:rsidRPr="0049335F">
        <w:t xml:space="preserve">and </w:t>
      </w:r>
      <w:r w:rsidR="00B23EA5" w:rsidRPr="0049335F">
        <w:t>communications</w:t>
      </w:r>
      <w:r w:rsidR="001C46DA" w:rsidRPr="0049335F">
        <w:t xml:space="preserve"> expected to </w:t>
      </w:r>
      <w:r w:rsidR="00B23EA5" w:rsidRPr="0049335F">
        <w:t>lead the way</w:t>
      </w:r>
      <w:r w:rsidR="001C46DA" w:rsidRPr="0049335F">
        <w:t xml:space="preserve">. </w:t>
      </w:r>
      <w:r w:rsidR="00A144B0" w:rsidRPr="0049335F">
        <w:t xml:space="preserve">So </w:t>
      </w:r>
      <w:r w:rsidR="00DF0249">
        <w:t>al</w:t>
      </w:r>
      <w:r w:rsidR="00A144B0" w:rsidRPr="0049335F">
        <w:t xml:space="preserve">though we expect the pace of public sector job creation to cool a little, </w:t>
      </w:r>
      <w:r w:rsidR="00BD0C23" w:rsidRPr="0049335F">
        <w:t>a</w:t>
      </w:r>
      <w:r w:rsidR="00A144B0" w:rsidRPr="0049335F">
        <w:t xml:space="preserve"> slow recovery in private sector employment should ensure that total employment picks up.</w:t>
      </w:r>
    </w:p>
    <w:p w14:paraId="667237E3" w14:textId="00D96841" w:rsidR="009011B1" w:rsidRPr="0049335F" w:rsidRDefault="00A144B0" w:rsidP="00A144B0">
      <w:r w:rsidRPr="0049335F">
        <w:t xml:space="preserve">Still, </w:t>
      </w:r>
      <w:r w:rsidR="005441CB" w:rsidRPr="0049335F">
        <w:t xml:space="preserve">if </w:t>
      </w:r>
      <w:r w:rsidR="00D301AC" w:rsidRPr="0049335F">
        <w:t xml:space="preserve">our forecast </w:t>
      </w:r>
      <w:r w:rsidR="005441CB" w:rsidRPr="0049335F">
        <w:t xml:space="preserve">plays out, the number of </w:t>
      </w:r>
      <w:r w:rsidR="00EC624F" w:rsidRPr="0049335F">
        <w:t xml:space="preserve">private sector jobs </w:t>
      </w:r>
      <w:r w:rsidR="005441CB" w:rsidRPr="0049335F">
        <w:t>at the end of next year would still be lower than it was at the start of the pandemic</w:t>
      </w:r>
      <w:r w:rsidR="00D301AC" w:rsidRPr="0049335F">
        <w:t>.</w:t>
      </w:r>
      <w:r w:rsidR="00EC624F" w:rsidRPr="0049335F">
        <w:t xml:space="preserve"> And given still strong growth in labour supply, the anaemic recovery in employment means we expect </w:t>
      </w:r>
      <w:r w:rsidR="00056355" w:rsidRPr="0049335F">
        <w:t xml:space="preserve">that </w:t>
      </w:r>
      <w:r w:rsidR="00EC624F" w:rsidRPr="0049335F">
        <w:t xml:space="preserve">unemployment will continue to drift upwards in the near-term, peaking </w:t>
      </w:r>
      <w:r w:rsidR="00DF0249">
        <w:t>only in</w:t>
      </w:r>
      <w:r w:rsidR="00EC624F" w:rsidRPr="0049335F">
        <w:t xml:space="preserve"> H2 2026 at close to 5%. This would </w:t>
      </w:r>
      <w:r w:rsidR="00A26D5D">
        <w:t xml:space="preserve">be 0.5ppts higher than the unemployment rate in Q1 2025 and would </w:t>
      </w:r>
      <w:r w:rsidR="00DF0249">
        <w:t>indicate</w:t>
      </w:r>
      <w:r w:rsidR="00DF0249" w:rsidRPr="0049335F">
        <w:t xml:space="preserve"> </w:t>
      </w:r>
      <w:r w:rsidR="00EC624F" w:rsidRPr="0049335F">
        <w:t>a looser labour market than we've been accustomed to for most of the past decade.</w:t>
      </w:r>
    </w:p>
    <w:p w14:paraId="30E712EB" w14:textId="71FD790F" w:rsidR="00056355" w:rsidRPr="0049335F" w:rsidRDefault="00056355" w:rsidP="00A144B0">
      <w:r w:rsidRPr="0049335F">
        <w:t xml:space="preserve">The prospect of further loosening in labour market conditions is one of the factors behind our call that the Bank of England's Monetary Policy Committee will cut Bank Rate more than financial markets anticipate during 2026. </w:t>
      </w:r>
      <w:r w:rsidR="00D20420" w:rsidRPr="0049335F">
        <w:t>The combination of soft employment and cooling pay growth will also slow the momentum behind real household income growth, ensuring that the recovery in consumer spending continues to underwhelm.</w:t>
      </w:r>
    </w:p>
    <w:p w14:paraId="47828362" w14:textId="77777777" w:rsidR="00BF071F" w:rsidRPr="0049335F" w:rsidRDefault="00BF071F">
      <w:pPr>
        <w:spacing w:before="0" w:after="160" w:line="259" w:lineRule="auto"/>
        <w:rPr>
          <w:rFonts w:eastAsiaTheme="majorEastAsia" w:cstheme="majorBidi"/>
          <w:color w:val="003469"/>
          <w:sz w:val="24"/>
          <w:szCs w:val="24"/>
        </w:rPr>
      </w:pPr>
      <w:r w:rsidRPr="0049335F">
        <w:br w:type="page"/>
      </w:r>
    </w:p>
    <w:p w14:paraId="21522206" w14:textId="6D76465D" w:rsidR="00C60EF2" w:rsidRPr="0049335F" w:rsidRDefault="00C60EF2" w:rsidP="00F038CB">
      <w:pPr>
        <w:pStyle w:val="Heading3"/>
        <w:pBdr>
          <w:top w:val="single" w:sz="4" w:space="1" w:color="999999"/>
          <w:left w:val="single" w:sz="4" w:space="1" w:color="999999"/>
          <w:bottom w:val="single" w:sz="4" w:space="1" w:color="999999"/>
          <w:right w:val="single" w:sz="4" w:space="1" w:color="999999"/>
        </w:pBdr>
      </w:pPr>
      <w:bookmarkStart w:id="6" w:name="_Ref201740076"/>
      <w:r w:rsidRPr="0049335F">
        <w:lastRenderedPageBreak/>
        <w:t xml:space="preserve">Box </w:t>
      </w:r>
      <w:r w:rsidRPr="0049335F">
        <w:fldChar w:fldCharType="begin"/>
      </w:r>
      <w:r w:rsidR="005A683D" w:rsidRPr="0049335F">
        <w:instrText>SEQ BOX</w:instrText>
      </w:r>
      <w:r w:rsidRPr="0049335F">
        <w:fldChar w:fldCharType="separate"/>
      </w:r>
      <w:r w:rsidR="009A0719" w:rsidRPr="0049335F">
        <w:t>1</w:t>
      </w:r>
      <w:r w:rsidRPr="0049335F">
        <w:fldChar w:fldCharType="end"/>
      </w:r>
      <w:bookmarkEnd w:id="6"/>
      <w:r w:rsidRPr="0049335F">
        <w:t>: Sector</w:t>
      </w:r>
      <w:r w:rsidR="00044A21" w:rsidRPr="0049335F">
        <w:t>al breakdown used in this note</w:t>
      </w:r>
    </w:p>
    <w:p w14:paraId="2263D2D8" w14:textId="544FDC5C" w:rsidR="00C60EF2" w:rsidRPr="0049335F" w:rsidRDefault="00C60EF2" w:rsidP="009A0719">
      <w:pPr>
        <w:pBdr>
          <w:top w:val="single" w:sz="4" w:space="1" w:color="999999"/>
          <w:left w:val="single" w:sz="4" w:space="1" w:color="999999"/>
          <w:bottom w:val="single" w:sz="4" w:space="1" w:color="999999"/>
          <w:right w:val="single" w:sz="4" w:space="1" w:color="999999"/>
        </w:pBdr>
      </w:pPr>
      <w:r w:rsidRPr="0049335F">
        <w:t xml:space="preserve">This note </w:t>
      </w:r>
      <w:r w:rsidR="00F84990" w:rsidRPr="0049335F">
        <w:t>focuses on</w:t>
      </w:r>
      <w:r w:rsidRPr="0049335F">
        <w:t xml:space="preserve"> the Office for National Statistics' workforce jobs series. This measures the number of jobs, rather than the number of people employed. Though this measure uses the </w:t>
      </w:r>
      <w:r w:rsidR="00A47DD4">
        <w:t>problematic</w:t>
      </w:r>
      <w:r w:rsidR="00A47DD4" w:rsidRPr="0049335F">
        <w:t xml:space="preserve"> </w:t>
      </w:r>
      <w:r w:rsidRPr="0049335F">
        <w:t xml:space="preserve">Labour Force Survey for its estimates of self-employment, the data on employees is </w:t>
      </w:r>
      <w:r w:rsidR="00044A21" w:rsidRPr="0049335F">
        <w:t xml:space="preserve">collected from employers and is generally accepted to be superior to the sectoral data </w:t>
      </w:r>
      <w:r w:rsidR="00776525" w:rsidRPr="0049335F">
        <w:t xml:space="preserve">for employees </w:t>
      </w:r>
      <w:r w:rsidR="00044A21" w:rsidRPr="0049335F">
        <w:t xml:space="preserve">collected </w:t>
      </w:r>
      <w:r w:rsidR="00EC0D74" w:rsidRPr="0049335F">
        <w:t>from</w:t>
      </w:r>
      <w:r w:rsidR="00044A21" w:rsidRPr="0049335F">
        <w:t xml:space="preserve"> the </w:t>
      </w:r>
      <w:r w:rsidR="00A47DD4">
        <w:t>LFS</w:t>
      </w:r>
      <w:r w:rsidR="00044A21" w:rsidRPr="0049335F">
        <w:t>.</w:t>
      </w:r>
    </w:p>
    <w:p w14:paraId="0F7BFADC" w14:textId="2E7A0267" w:rsidR="00044A21" w:rsidRPr="0049335F" w:rsidRDefault="00044A21" w:rsidP="009A0719">
      <w:pPr>
        <w:pBdr>
          <w:top w:val="single" w:sz="4" w:space="1" w:color="999999"/>
          <w:left w:val="single" w:sz="4" w:space="1" w:color="999999"/>
          <w:bottom w:val="single" w:sz="4" w:space="1" w:color="999999"/>
          <w:right w:val="single" w:sz="4" w:space="1" w:color="999999"/>
        </w:pBdr>
      </w:pPr>
      <w:r w:rsidRPr="0049335F">
        <w:t xml:space="preserve">We produce forecasts for 20 sectors at the SIC 2007 section level. But in several places in this note, we have aggregated the sectors into </w:t>
      </w:r>
      <w:r w:rsidR="00B87334" w:rsidRPr="0049335F">
        <w:t>eight</w:t>
      </w:r>
      <w:r w:rsidRPr="0049335F">
        <w:t xml:space="preserve"> categories to aid comparisons. The sectoral breakdown is as follows:</w:t>
      </w:r>
    </w:p>
    <w:p w14:paraId="0D031667" w14:textId="4037D793" w:rsidR="00044A21" w:rsidRPr="0049335F" w:rsidRDefault="00044A21" w:rsidP="009A0719">
      <w:pPr>
        <w:pBdr>
          <w:top w:val="single" w:sz="4" w:space="1" w:color="999999"/>
          <w:left w:val="single" w:sz="4" w:space="1" w:color="999999"/>
          <w:bottom w:val="single" w:sz="4" w:space="1" w:color="999999"/>
          <w:right w:val="single" w:sz="4" w:space="1" w:color="999999"/>
        </w:pBdr>
        <w:rPr>
          <w:b/>
          <w:color w:val="auto"/>
        </w:rPr>
      </w:pPr>
      <w:r w:rsidRPr="0049335F">
        <w:rPr>
          <w:b/>
          <w:color w:val="auto"/>
        </w:rPr>
        <w:t>Agriculture</w:t>
      </w:r>
      <w:r w:rsidR="008D4A01" w:rsidRPr="0049335F">
        <w:t xml:space="preserve"> (SIC section A)</w:t>
      </w:r>
    </w:p>
    <w:p w14:paraId="13396253" w14:textId="19718BF0" w:rsidR="00044A21" w:rsidRPr="0049335F" w:rsidRDefault="008D4A01" w:rsidP="009A0719">
      <w:pPr>
        <w:pBdr>
          <w:top w:val="single" w:sz="4" w:space="1" w:color="999999"/>
          <w:left w:val="single" w:sz="4" w:space="1" w:color="999999"/>
          <w:bottom w:val="single" w:sz="4" w:space="1" w:color="999999"/>
          <w:right w:val="single" w:sz="4" w:space="1" w:color="999999"/>
        </w:pBdr>
        <w:rPr>
          <w:b/>
        </w:rPr>
      </w:pPr>
      <w:r w:rsidRPr="0049335F">
        <w:rPr>
          <w:b/>
        </w:rPr>
        <w:t xml:space="preserve">Extraction </w:t>
      </w:r>
      <w:r w:rsidR="00AB597F" w:rsidRPr="0049335F">
        <w:rPr>
          <w:b/>
        </w:rPr>
        <w:t>and</w:t>
      </w:r>
      <w:r w:rsidR="00AB597F" w:rsidRPr="0049335F">
        <w:t xml:space="preserve"> </w:t>
      </w:r>
      <w:r w:rsidRPr="0049335F">
        <w:rPr>
          <w:b/>
        </w:rPr>
        <w:t>utilities</w:t>
      </w:r>
    </w:p>
    <w:p w14:paraId="3B3AC549" w14:textId="17D9D3F3" w:rsidR="008D4A01" w:rsidRPr="0049335F" w:rsidRDefault="008D4A01" w:rsidP="009A0719">
      <w:pPr>
        <w:pBdr>
          <w:top w:val="single" w:sz="4" w:space="1" w:color="999999"/>
          <w:left w:val="single" w:sz="4" w:space="1" w:color="999999"/>
          <w:bottom w:val="single" w:sz="4" w:space="1" w:color="999999"/>
          <w:right w:val="single" w:sz="4" w:space="1" w:color="999999"/>
        </w:pBdr>
      </w:pPr>
      <w:r w:rsidRPr="0049335F">
        <w:t xml:space="preserve">SIC section B – Mining </w:t>
      </w:r>
      <w:r w:rsidR="00AB597F" w:rsidRPr="0049335F">
        <w:t xml:space="preserve">and </w:t>
      </w:r>
      <w:r w:rsidRPr="0049335F">
        <w:t>quarrying</w:t>
      </w:r>
    </w:p>
    <w:p w14:paraId="70381B20" w14:textId="1C7EEDFF" w:rsidR="008D4A01" w:rsidRPr="0049335F" w:rsidRDefault="008D4A01" w:rsidP="009A0719">
      <w:pPr>
        <w:pBdr>
          <w:top w:val="single" w:sz="4" w:space="1" w:color="999999"/>
          <w:left w:val="single" w:sz="4" w:space="1" w:color="999999"/>
          <w:bottom w:val="single" w:sz="4" w:space="1" w:color="999999"/>
          <w:right w:val="single" w:sz="4" w:space="1" w:color="999999"/>
        </w:pBdr>
      </w:pPr>
      <w:r w:rsidRPr="0049335F">
        <w:t xml:space="preserve">SIC section D – Electricity, gas, steam </w:t>
      </w:r>
      <w:r w:rsidR="00AB597F" w:rsidRPr="0049335F">
        <w:t xml:space="preserve">and </w:t>
      </w:r>
      <w:r w:rsidRPr="0049335F">
        <w:t>air conditioning supply</w:t>
      </w:r>
    </w:p>
    <w:p w14:paraId="3E19DB48" w14:textId="59474426" w:rsidR="008D4A01" w:rsidRPr="0049335F" w:rsidRDefault="008D4A01" w:rsidP="009A0719">
      <w:pPr>
        <w:pBdr>
          <w:top w:val="single" w:sz="4" w:space="1" w:color="999999"/>
          <w:left w:val="single" w:sz="4" w:space="1" w:color="999999"/>
          <w:bottom w:val="single" w:sz="4" w:space="1" w:color="999999"/>
          <w:right w:val="single" w:sz="4" w:space="1" w:color="999999"/>
        </w:pBdr>
      </w:pPr>
      <w:r w:rsidRPr="0049335F">
        <w:t xml:space="preserve">SIC section E – Water supply, sewerage, waste </w:t>
      </w:r>
      <w:r w:rsidR="00AB597F" w:rsidRPr="0049335F">
        <w:t xml:space="preserve">and </w:t>
      </w:r>
      <w:r w:rsidRPr="0049335F">
        <w:t>remediation activities</w:t>
      </w:r>
    </w:p>
    <w:p w14:paraId="2E694502" w14:textId="186F1332" w:rsidR="008D4A01" w:rsidRPr="0049335F" w:rsidRDefault="008D4A01" w:rsidP="009A0719">
      <w:pPr>
        <w:pBdr>
          <w:top w:val="single" w:sz="4" w:space="1" w:color="999999"/>
          <w:left w:val="single" w:sz="4" w:space="1" w:color="999999"/>
          <w:bottom w:val="single" w:sz="4" w:space="1" w:color="999999"/>
          <w:right w:val="single" w:sz="4" w:space="1" w:color="999999"/>
        </w:pBdr>
      </w:pPr>
      <w:r w:rsidRPr="0049335F">
        <w:rPr>
          <w:b/>
        </w:rPr>
        <w:t>Manufacturing</w:t>
      </w:r>
      <w:r w:rsidRPr="0049335F">
        <w:t xml:space="preserve"> (SIC section C)</w:t>
      </w:r>
    </w:p>
    <w:p w14:paraId="1D6002FD" w14:textId="467D2AD9" w:rsidR="008D4A01" w:rsidRPr="0049335F" w:rsidRDefault="008D4A01" w:rsidP="009A0719">
      <w:pPr>
        <w:pBdr>
          <w:top w:val="single" w:sz="4" w:space="1" w:color="999999"/>
          <w:left w:val="single" w:sz="4" w:space="1" w:color="999999"/>
          <w:bottom w:val="single" w:sz="4" w:space="1" w:color="999999"/>
          <w:right w:val="single" w:sz="4" w:space="1" w:color="999999"/>
        </w:pBdr>
      </w:pPr>
      <w:r w:rsidRPr="0049335F">
        <w:rPr>
          <w:b/>
        </w:rPr>
        <w:t>Construction</w:t>
      </w:r>
      <w:r w:rsidRPr="0049335F">
        <w:t xml:space="preserve"> (SIC section F)</w:t>
      </w:r>
    </w:p>
    <w:p w14:paraId="4D2E3489" w14:textId="6F4969E2" w:rsidR="008D4A01" w:rsidRPr="0049335F" w:rsidRDefault="00AB597F" w:rsidP="009A0719">
      <w:pPr>
        <w:pBdr>
          <w:top w:val="single" w:sz="4" w:space="1" w:color="999999"/>
          <w:left w:val="single" w:sz="4" w:space="1" w:color="999999"/>
          <w:bottom w:val="single" w:sz="4" w:space="1" w:color="999999"/>
          <w:right w:val="single" w:sz="4" w:space="1" w:color="999999"/>
        </w:pBdr>
        <w:rPr>
          <w:b/>
        </w:rPr>
      </w:pPr>
      <w:r w:rsidRPr="0049335F">
        <w:rPr>
          <w:b/>
        </w:rPr>
        <w:t>Distribution, accommodation and</w:t>
      </w:r>
      <w:r w:rsidRPr="0049335F">
        <w:t xml:space="preserve"> </w:t>
      </w:r>
      <w:r w:rsidRPr="0049335F">
        <w:rPr>
          <w:b/>
        </w:rPr>
        <w:t>food</w:t>
      </w:r>
    </w:p>
    <w:p w14:paraId="39C889CB" w14:textId="64080F0B" w:rsidR="00AB597F" w:rsidRPr="0049335F" w:rsidRDefault="00AB597F" w:rsidP="009A0719">
      <w:pPr>
        <w:pBdr>
          <w:top w:val="single" w:sz="4" w:space="1" w:color="999999"/>
          <w:left w:val="single" w:sz="4" w:space="1" w:color="999999"/>
          <w:bottom w:val="single" w:sz="4" w:space="1" w:color="999999"/>
          <w:right w:val="single" w:sz="4" w:space="1" w:color="999999"/>
        </w:pBdr>
      </w:pPr>
      <w:r w:rsidRPr="0049335F">
        <w:t>SIC section G – Wholesale and retail trade, repair of motor vehicles and motor cycles</w:t>
      </w:r>
    </w:p>
    <w:p w14:paraId="44CA8B69" w14:textId="105A4294" w:rsidR="00AB597F" w:rsidRPr="0049335F" w:rsidRDefault="00AB597F" w:rsidP="009A0719">
      <w:pPr>
        <w:pBdr>
          <w:top w:val="single" w:sz="4" w:space="1" w:color="999999"/>
          <w:left w:val="single" w:sz="4" w:space="1" w:color="999999"/>
          <w:bottom w:val="single" w:sz="4" w:space="1" w:color="999999"/>
          <w:right w:val="single" w:sz="4" w:space="1" w:color="999999"/>
        </w:pBdr>
      </w:pPr>
      <w:r w:rsidRPr="0049335F">
        <w:t>SIC section I – Accommodation and food service activities</w:t>
      </w:r>
    </w:p>
    <w:p w14:paraId="0D2B9FB1" w14:textId="2080EBAB" w:rsidR="00044A21" w:rsidRPr="0049335F" w:rsidRDefault="004F25C6" w:rsidP="009A0719">
      <w:pPr>
        <w:pBdr>
          <w:top w:val="single" w:sz="4" w:space="1" w:color="999999"/>
          <w:left w:val="single" w:sz="4" w:space="1" w:color="999999"/>
          <w:bottom w:val="single" w:sz="4" w:space="1" w:color="999999"/>
          <w:right w:val="single" w:sz="4" w:space="1" w:color="999999"/>
        </w:pBdr>
        <w:rPr>
          <w:b/>
        </w:rPr>
      </w:pPr>
      <w:r w:rsidRPr="0049335F">
        <w:rPr>
          <w:b/>
        </w:rPr>
        <w:t>Transport</w:t>
      </w:r>
      <w:r w:rsidR="00B87334" w:rsidRPr="0049335F">
        <w:rPr>
          <w:b/>
        </w:rPr>
        <w:t>, storage</w:t>
      </w:r>
      <w:r w:rsidRPr="0049335F">
        <w:rPr>
          <w:b/>
        </w:rPr>
        <w:t xml:space="preserve"> and communications</w:t>
      </w:r>
    </w:p>
    <w:p w14:paraId="3B8E8114" w14:textId="4E50A9C8" w:rsidR="004F25C6" w:rsidRPr="0049335F" w:rsidRDefault="004F25C6" w:rsidP="009A0719">
      <w:pPr>
        <w:pBdr>
          <w:top w:val="single" w:sz="4" w:space="1" w:color="999999"/>
          <w:left w:val="single" w:sz="4" w:space="1" w:color="999999"/>
          <w:bottom w:val="single" w:sz="4" w:space="1" w:color="999999"/>
          <w:right w:val="single" w:sz="4" w:space="1" w:color="999999"/>
        </w:pBdr>
      </w:pPr>
      <w:r w:rsidRPr="0049335F">
        <w:t>SIC section H – Transport and storage</w:t>
      </w:r>
    </w:p>
    <w:p w14:paraId="7597D8F2" w14:textId="0DAF2D7E" w:rsidR="004F25C6" w:rsidRPr="0049335F" w:rsidRDefault="004F25C6" w:rsidP="009A0719">
      <w:pPr>
        <w:pBdr>
          <w:top w:val="single" w:sz="4" w:space="1" w:color="999999"/>
          <w:left w:val="single" w:sz="4" w:space="1" w:color="999999"/>
          <w:bottom w:val="single" w:sz="4" w:space="1" w:color="999999"/>
          <w:right w:val="single" w:sz="4" w:space="1" w:color="999999"/>
        </w:pBdr>
      </w:pPr>
      <w:r w:rsidRPr="0049335F">
        <w:t>SIC section J – Information and communication</w:t>
      </w:r>
    </w:p>
    <w:p w14:paraId="4D67E84A" w14:textId="01746340" w:rsidR="004F25C6" w:rsidRPr="0049335F" w:rsidRDefault="00B87334" w:rsidP="009A0719">
      <w:pPr>
        <w:pBdr>
          <w:top w:val="single" w:sz="4" w:space="1" w:color="999999"/>
          <w:left w:val="single" w:sz="4" w:space="1" w:color="999999"/>
          <w:bottom w:val="single" w:sz="4" w:space="1" w:color="999999"/>
          <w:right w:val="single" w:sz="4" w:space="1" w:color="999999"/>
        </w:pBdr>
        <w:rPr>
          <w:b/>
        </w:rPr>
      </w:pPr>
      <w:r w:rsidRPr="0049335F">
        <w:rPr>
          <w:b/>
        </w:rPr>
        <w:t>Business services and finance</w:t>
      </w:r>
    </w:p>
    <w:p w14:paraId="2F9C6F69" w14:textId="35543E3C"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K – Financial and insurance activities</w:t>
      </w:r>
    </w:p>
    <w:p w14:paraId="00738437" w14:textId="11521F8D"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L – Real estate activities</w:t>
      </w:r>
    </w:p>
    <w:p w14:paraId="5A57BC64" w14:textId="43A1F7CA"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M – Professional, scientific and technical activities</w:t>
      </w:r>
    </w:p>
    <w:p w14:paraId="280E45AE" w14:textId="77777777"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N – Administrative and support service activities</w:t>
      </w:r>
    </w:p>
    <w:p w14:paraId="4693EE17" w14:textId="67725E59" w:rsidR="00B87334" w:rsidRPr="0049335F" w:rsidRDefault="00B87334" w:rsidP="009A0719">
      <w:pPr>
        <w:pBdr>
          <w:top w:val="single" w:sz="4" w:space="1" w:color="999999"/>
          <w:left w:val="single" w:sz="4" w:space="1" w:color="999999"/>
          <w:bottom w:val="single" w:sz="4" w:space="1" w:color="999999"/>
          <w:right w:val="single" w:sz="4" w:space="1" w:color="999999"/>
        </w:pBdr>
        <w:rPr>
          <w:b/>
        </w:rPr>
      </w:pPr>
      <w:r w:rsidRPr="0049335F">
        <w:rPr>
          <w:b/>
        </w:rPr>
        <w:t>Government and other services</w:t>
      </w:r>
    </w:p>
    <w:p w14:paraId="212504F1" w14:textId="5AB5703D"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O – Public admin and defence, compulsory social security</w:t>
      </w:r>
    </w:p>
    <w:p w14:paraId="75AE9BF5" w14:textId="6EC98979"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P – Education</w:t>
      </w:r>
    </w:p>
    <w:p w14:paraId="0DCDAFE4" w14:textId="7C9BB1D2"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Q – Human health and social work activities</w:t>
      </w:r>
    </w:p>
    <w:p w14:paraId="686482BA" w14:textId="226AC42F"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R –Arts, entertainment and recreation</w:t>
      </w:r>
    </w:p>
    <w:p w14:paraId="75996AEA" w14:textId="51AD80E5" w:rsidR="00B87334"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S – Other service activities</w:t>
      </w:r>
    </w:p>
    <w:p w14:paraId="31F5B774" w14:textId="77777777" w:rsidR="009A0719" w:rsidRPr="0049335F" w:rsidRDefault="00B87334" w:rsidP="009A0719">
      <w:pPr>
        <w:pBdr>
          <w:top w:val="single" w:sz="4" w:space="1" w:color="999999"/>
          <w:left w:val="single" w:sz="4" w:space="1" w:color="999999"/>
          <w:bottom w:val="single" w:sz="4" w:space="1" w:color="999999"/>
          <w:right w:val="single" w:sz="4" w:space="1" w:color="999999"/>
        </w:pBdr>
      </w:pPr>
      <w:r w:rsidRPr="0049335F">
        <w:t>SIC section T – People employed by households</w:t>
      </w:r>
    </w:p>
    <w:p w14:paraId="3B0870CE" w14:textId="670B2776" w:rsidR="00C60EF2" w:rsidRPr="0049335F" w:rsidRDefault="00C60EF2" w:rsidP="00575CD7"/>
    <w:sectPr w:rsidR="00C60EF2" w:rsidRPr="0049335F" w:rsidSect="009A0719">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99198" w14:textId="77777777" w:rsidR="00903E6B" w:rsidRDefault="00903E6B" w:rsidP="00575CD7">
      <w:pPr>
        <w:spacing w:before="0" w:after="0"/>
      </w:pPr>
      <w:r>
        <w:separator/>
      </w:r>
    </w:p>
  </w:endnote>
  <w:endnote w:type="continuationSeparator" w:id="0">
    <w:p w14:paraId="1F1C3BAB" w14:textId="77777777" w:rsidR="00903E6B" w:rsidRDefault="00903E6B" w:rsidP="00575CD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5607C" w14:textId="0065D451" w:rsidR="00575CD7" w:rsidRPr="00575CD7" w:rsidRDefault="00575CD7" w:rsidP="00575CD7">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37C07" w14:textId="17177079" w:rsidR="00575CD7" w:rsidRDefault="00575CD7" w:rsidP="00575CD7">
    <w:pPr>
      <w:pStyle w:val="Author"/>
    </w:pPr>
    <w:r>
      <w:t>Andrew Goodwin</w:t>
    </w:r>
    <w:r w:rsidR="00F038CB">
      <w:t xml:space="preserve"> - </w:t>
    </w:r>
    <w:r>
      <w:t>Chief UK Economist</w:t>
    </w:r>
    <w:r w:rsidR="00F038CB">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322F3" w14:textId="77777777" w:rsidR="00903E6B" w:rsidRDefault="00903E6B" w:rsidP="00575CD7">
      <w:pPr>
        <w:spacing w:before="0" w:after="0"/>
      </w:pPr>
      <w:r>
        <w:separator/>
      </w:r>
    </w:p>
  </w:footnote>
  <w:footnote w:type="continuationSeparator" w:id="0">
    <w:p w14:paraId="4AE92CBE" w14:textId="77777777" w:rsidR="00903E6B" w:rsidRDefault="00903E6B" w:rsidP="00575CD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AF069" w14:textId="77777777" w:rsidR="00575CD7" w:rsidRDefault="00575CD7">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99832" w14:textId="5FD4C2D2" w:rsidR="00575CD7" w:rsidRDefault="00575CD7" w:rsidP="00575CD7">
    <w:pPr>
      <w:pStyle w:val="Headline"/>
      <w:spacing w:before="120"/>
      <w:ind w:right="-1000"/>
    </w:pPr>
    <w:r w:rsidRPr="00575CD7">
      <w:rPr>
        <w:noProof/>
      </w:rPr>
      <w:drawing>
        <wp:anchor distT="0" distB="0" distL="114300" distR="114300" simplePos="0" relativeHeight="251658239" behindDoc="1" locked="1" layoutInCell="1" allowOverlap="1" wp14:anchorId="4B8D2C9F" wp14:editId="024EF958">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7B1485" w:rsidRPr="007B1485">
      <w:t>How the sectoral mix of jobs is changing and what it means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2B8C4" w14:textId="1E266510" w:rsidR="00575CD7" w:rsidRDefault="00575CD7" w:rsidP="00575CD7">
    <w:r w:rsidRPr="00575CD7">
      <w:rPr>
        <w:noProof/>
      </w:rPr>
      <w:drawing>
        <wp:anchor distT="0" distB="0" distL="114300" distR="114300" simplePos="0" relativeHeight="251659264" behindDoc="1" locked="1" layoutInCell="1" allowOverlap="1" wp14:anchorId="41FFEBEE" wp14:editId="129BFC79">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259029837"/>
      <w:lock w:val="sdtLocked"/>
      <w:placeholder>
        <w:docPart w:val="DefaultPlaceholder_-1854013437"/>
      </w:placeholder>
      <w:date w:fullDate="2025-07-01T00:00:00Z">
        <w:dateFormat w:val="d MMMM yyyy"/>
        <w:lid w:val="en-GB"/>
        <w:storeMappedDataAs w:val="dateTime"/>
        <w:calendar w:val="gregorian"/>
      </w:date>
    </w:sdtPr>
    <w:sdtEndPr/>
    <w:sdtContent>
      <w:p w14:paraId="1E7CE3BA" w14:textId="40637479" w:rsidR="00575CD7" w:rsidRDefault="002470A4" w:rsidP="00575CD7">
        <w:pPr>
          <w:pStyle w:val="PublishDate"/>
          <w:framePr w:w="2835" w:h="340" w:hRule="exact" w:hSpace="180" w:wrap="around" w:vAnchor="page" w:hAnchor="page" w:x="7801" w:y="601" w:anchorLock="1"/>
        </w:pPr>
        <w:r>
          <w:t>1 July 2025</w:t>
        </w:r>
      </w:p>
    </w:sdtContent>
  </w:sdt>
  <w:p w14:paraId="347964F6" w14:textId="188DFD0B" w:rsidR="00575CD7" w:rsidRDefault="000E3243" w:rsidP="00575CD7">
    <w:pPr>
      <w:pStyle w:val="ProductDescription"/>
      <w:framePr w:w="11339" w:h="1474" w:hRule="exact" w:hSpace="180" w:wrap="around" w:vAnchor="page" w:hAnchor="page" w:x="401" w:y="1141" w:anchorLock="1"/>
      <w:spacing w:after="200"/>
    </w:pPr>
    <w:r>
      <w:t>Research Briefing</w:t>
    </w:r>
    <w:r w:rsidR="00575CD7">
      <w:t xml:space="preserve"> | </w:t>
    </w:r>
    <w:r>
      <w:t>UK</w:t>
    </w:r>
  </w:p>
  <w:p w14:paraId="7EC4C5B8" w14:textId="57F04D50" w:rsidR="00575CD7" w:rsidRDefault="007B1485" w:rsidP="00575CD7">
    <w:pPr>
      <w:pStyle w:val="Headline"/>
      <w:framePr w:w="11339" w:h="1474" w:hRule="exact" w:hSpace="180" w:wrap="around" w:vAnchor="page" w:hAnchor="page" w:x="401" w:y="1141" w:anchorLock="1"/>
      <w:spacing w:line="200" w:lineRule="auto"/>
    </w:pPr>
    <w:r w:rsidRPr="007B1485">
      <w:t>How the sectoral mix of jobs is changing and what it means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D7"/>
    <w:rsid w:val="0000167B"/>
    <w:rsid w:val="00003BA7"/>
    <w:rsid w:val="000047D9"/>
    <w:rsid w:val="0001162A"/>
    <w:rsid w:val="00022761"/>
    <w:rsid w:val="00032C7D"/>
    <w:rsid w:val="000377A3"/>
    <w:rsid w:val="00044A21"/>
    <w:rsid w:val="0004624A"/>
    <w:rsid w:val="00051FD9"/>
    <w:rsid w:val="0005491E"/>
    <w:rsid w:val="00056355"/>
    <w:rsid w:val="0006237E"/>
    <w:rsid w:val="00073246"/>
    <w:rsid w:val="00080F6F"/>
    <w:rsid w:val="00085CB8"/>
    <w:rsid w:val="000B001A"/>
    <w:rsid w:val="000B602A"/>
    <w:rsid w:val="000C0ADF"/>
    <w:rsid w:val="000D2B2D"/>
    <w:rsid w:val="000D3E43"/>
    <w:rsid w:val="000E2BD3"/>
    <w:rsid w:val="000E3243"/>
    <w:rsid w:val="000E61A5"/>
    <w:rsid w:val="000F121B"/>
    <w:rsid w:val="000F331B"/>
    <w:rsid w:val="000F3F52"/>
    <w:rsid w:val="0010020D"/>
    <w:rsid w:val="001018E9"/>
    <w:rsid w:val="001041E4"/>
    <w:rsid w:val="00120D7A"/>
    <w:rsid w:val="00124E58"/>
    <w:rsid w:val="00160F71"/>
    <w:rsid w:val="0016316B"/>
    <w:rsid w:val="00164E5F"/>
    <w:rsid w:val="00165BC9"/>
    <w:rsid w:val="0017078A"/>
    <w:rsid w:val="00175095"/>
    <w:rsid w:val="00190C04"/>
    <w:rsid w:val="00192CDF"/>
    <w:rsid w:val="00197B62"/>
    <w:rsid w:val="001A5775"/>
    <w:rsid w:val="001A6993"/>
    <w:rsid w:val="001A749F"/>
    <w:rsid w:val="001B2B67"/>
    <w:rsid w:val="001B2C32"/>
    <w:rsid w:val="001C46DA"/>
    <w:rsid w:val="001C5614"/>
    <w:rsid w:val="001D7057"/>
    <w:rsid w:val="001E0785"/>
    <w:rsid w:val="001E0C4A"/>
    <w:rsid w:val="001F3317"/>
    <w:rsid w:val="001F46AA"/>
    <w:rsid w:val="00234727"/>
    <w:rsid w:val="00242708"/>
    <w:rsid w:val="00242E5E"/>
    <w:rsid w:val="002470A4"/>
    <w:rsid w:val="002520F8"/>
    <w:rsid w:val="002566AF"/>
    <w:rsid w:val="002615F6"/>
    <w:rsid w:val="00262D94"/>
    <w:rsid w:val="00263E48"/>
    <w:rsid w:val="0026468A"/>
    <w:rsid w:val="00267256"/>
    <w:rsid w:val="002745D6"/>
    <w:rsid w:val="00274B3E"/>
    <w:rsid w:val="00282A8A"/>
    <w:rsid w:val="00286754"/>
    <w:rsid w:val="00294A54"/>
    <w:rsid w:val="0029566B"/>
    <w:rsid w:val="002965A9"/>
    <w:rsid w:val="002A2CE6"/>
    <w:rsid w:val="002B1D2C"/>
    <w:rsid w:val="002C1955"/>
    <w:rsid w:val="002D0DC9"/>
    <w:rsid w:val="002F5AB2"/>
    <w:rsid w:val="003017D9"/>
    <w:rsid w:val="0031169C"/>
    <w:rsid w:val="00316CBE"/>
    <w:rsid w:val="0032596D"/>
    <w:rsid w:val="00336CE5"/>
    <w:rsid w:val="003444B6"/>
    <w:rsid w:val="003457F2"/>
    <w:rsid w:val="00352A85"/>
    <w:rsid w:val="00352AFB"/>
    <w:rsid w:val="00353F4C"/>
    <w:rsid w:val="00363894"/>
    <w:rsid w:val="00365470"/>
    <w:rsid w:val="00370400"/>
    <w:rsid w:val="00370974"/>
    <w:rsid w:val="00374E02"/>
    <w:rsid w:val="00386488"/>
    <w:rsid w:val="00390489"/>
    <w:rsid w:val="00396426"/>
    <w:rsid w:val="003B0CAB"/>
    <w:rsid w:val="003B5DDA"/>
    <w:rsid w:val="003B715A"/>
    <w:rsid w:val="003C1BB1"/>
    <w:rsid w:val="003D3967"/>
    <w:rsid w:val="003E7F3C"/>
    <w:rsid w:val="003F0F4E"/>
    <w:rsid w:val="00400DE2"/>
    <w:rsid w:val="004019E0"/>
    <w:rsid w:val="0040359C"/>
    <w:rsid w:val="00405A12"/>
    <w:rsid w:val="00405A51"/>
    <w:rsid w:val="00405D65"/>
    <w:rsid w:val="004127CB"/>
    <w:rsid w:val="0041437C"/>
    <w:rsid w:val="004147DC"/>
    <w:rsid w:val="00415C27"/>
    <w:rsid w:val="00420DD4"/>
    <w:rsid w:val="004255C7"/>
    <w:rsid w:val="004258C9"/>
    <w:rsid w:val="00434B71"/>
    <w:rsid w:val="004458BB"/>
    <w:rsid w:val="0045348A"/>
    <w:rsid w:val="00455A9D"/>
    <w:rsid w:val="004602D9"/>
    <w:rsid w:val="0046292D"/>
    <w:rsid w:val="00464473"/>
    <w:rsid w:val="004677EA"/>
    <w:rsid w:val="00467FB0"/>
    <w:rsid w:val="00471CBC"/>
    <w:rsid w:val="004827E3"/>
    <w:rsid w:val="00486D38"/>
    <w:rsid w:val="00487D13"/>
    <w:rsid w:val="0049335F"/>
    <w:rsid w:val="00495DE7"/>
    <w:rsid w:val="004A2A92"/>
    <w:rsid w:val="004B4F66"/>
    <w:rsid w:val="004B6103"/>
    <w:rsid w:val="004B6DBB"/>
    <w:rsid w:val="004B77CC"/>
    <w:rsid w:val="004C1AAE"/>
    <w:rsid w:val="004C7923"/>
    <w:rsid w:val="004D0700"/>
    <w:rsid w:val="004D2309"/>
    <w:rsid w:val="004D473F"/>
    <w:rsid w:val="004D5B83"/>
    <w:rsid w:val="004D650E"/>
    <w:rsid w:val="004E5397"/>
    <w:rsid w:val="004F25C6"/>
    <w:rsid w:val="005176F2"/>
    <w:rsid w:val="0052254E"/>
    <w:rsid w:val="0052342D"/>
    <w:rsid w:val="00524103"/>
    <w:rsid w:val="005244D8"/>
    <w:rsid w:val="00525344"/>
    <w:rsid w:val="00534EAA"/>
    <w:rsid w:val="00535C71"/>
    <w:rsid w:val="005414BA"/>
    <w:rsid w:val="0054280C"/>
    <w:rsid w:val="005441CB"/>
    <w:rsid w:val="005473C6"/>
    <w:rsid w:val="005625AC"/>
    <w:rsid w:val="00563141"/>
    <w:rsid w:val="00563FEB"/>
    <w:rsid w:val="00575045"/>
    <w:rsid w:val="00575CD7"/>
    <w:rsid w:val="00576CB8"/>
    <w:rsid w:val="005854F3"/>
    <w:rsid w:val="00592138"/>
    <w:rsid w:val="005A0350"/>
    <w:rsid w:val="005A683D"/>
    <w:rsid w:val="005E052B"/>
    <w:rsid w:val="005E05FB"/>
    <w:rsid w:val="005E404F"/>
    <w:rsid w:val="005F0616"/>
    <w:rsid w:val="005F753A"/>
    <w:rsid w:val="00603812"/>
    <w:rsid w:val="00607C49"/>
    <w:rsid w:val="006125A3"/>
    <w:rsid w:val="006141E5"/>
    <w:rsid w:val="006166EE"/>
    <w:rsid w:val="00633BE2"/>
    <w:rsid w:val="006350C4"/>
    <w:rsid w:val="00636C60"/>
    <w:rsid w:val="00641547"/>
    <w:rsid w:val="00641A6D"/>
    <w:rsid w:val="006669BF"/>
    <w:rsid w:val="00670139"/>
    <w:rsid w:val="00671564"/>
    <w:rsid w:val="006739BF"/>
    <w:rsid w:val="00674CC4"/>
    <w:rsid w:val="0067595A"/>
    <w:rsid w:val="006A1630"/>
    <w:rsid w:val="006A22E5"/>
    <w:rsid w:val="006A676D"/>
    <w:rsid w:val="006B4C18"/>
    <w:rsid w:val="006B76A5"/>
    <w:rsid w:val="006C7C06"/>
    <w:rsid w:val="006D3068"/>
    <w:rsid w:val="006D70CB"/>
    <w:rsid w:val="006E04C6"/>
    <w:rsid w:val="006F092C"/>
    <w:rsid w:val="006F60F1"/>
    <w:rsid w:val="007139B0"/>
    <w:rsid w:val="00723A70"/>
    <w:rsid w:val="00725044"/>
    <w:rsid w:val="00730E79"/>
    <w:rsid w:val="0073574C"/>
    <w:rsid w:val="0074116D"/>
    <w:rsid w:val="007438EC"/>
    <w:rsid w:val="00750BB7"/>
    <w:rsid w:val="007541BE"/>
    <w:rsid w:val="007665D4"/>
    <w:rsid w:val="007723AE"/>
    <w:rsid w:val="00776525"/>
    <w:rsid w:val="00796E90"/>
    <w:rsid w:val="007A0480"/>
    <w:rsid w:val="007A0F18"/>
    <w:rsid w:val="007A67D6"/>
    <w:rsid w:val="007B1485"/>
    <w:rsid w:val="007B57CD"/>
    <w:rsid w:val="007C56BA"/>
    <w:rsid w:val="007C78E2"/>
    <w:rsid w:val="007D1EE6"/>
    <w:rsid w:val="007E3CD1"/>
    <w:rsid w:val="007F2193"/>
    <w:rsid w:val="007F3938"/>
    <w:rsid w:val="007F5D5D"/>
    <w:rsid w:val="00811B8D"/>
    <w:rsid w:val="00812773"/>
    <w:rsid w:val="0082116E"/>
    <w:rsid w:val="00847933"/>
    <w:rsid w:val="008540AE"/>
    <w:rsid w:val="00855D68"/>
    <w:rsid w:val="0086090E"/>
    <w:rsid w:val="00870A50"/>
    <w:rsid w:val="00871220"/>
    <w:rsid w:val="00872840"/>
    <w:rsid w:val="008742FC"/>
    <w:rsid w:val="00874B7C"/>
    <w:rsid w:val="0088455B"/>
    <w:rsid w:val="008903B3"/>
    <w:rsid w:val="008B6649"/>
    <w:rsid w:val="008C66DE"/>
    <w:rsid w:val="008D4A01"/>
    <w:rsid w:val="008D4F08"/>
    <w:rsid w:val="008E11F0"/>
    <w:rsid w:val="008E5DAE"/>
    <w:rsid w:val="008E721D"/>
    <w:rsid w:val="008F1A70"/>
    <w:rsid w:val="008F6EAB"/>
    <w:rsid w:val="009011B1"/>
    <w:rsid w:val="00902669"/>
    <w:rsid w:val="00903687"/>
    <w:rsid w:val="00903E6B"/>
    <w:rsid w:val="0091053D"/>
    <w:rsid w:val="00920D15"/>
    <w:rsid w:val="009325D3"/>
    <w:rsid w:val="00933B30"/>
    <w:rsid w:val="009634AC"/>
    <w:rsid w:val="00963AA5"/>
    <w:rsid w:val="0098660A"/>
    <w:rsid w:val="00995E6B"/>
    <w:rsid w:val="009A0719"/>
    <w:rsid w:val="009A0BE7"/>
    <w:rsid w:val="009A3FA9"/>
    <w:rsid w:val="009B17E9"/>
    <w:rsid w:val="009B2166"/>
    <w:rsid w:val="009B6F49"/>
    <w:rsid w:val="009B723B"/>
    <w:rsid w:val="009C7C16"/>
    <w:rsid w:val="009E07F1"/>
    <w:rsid w:val="009E5F70"/>
    <w:rsid w:val="009F2174"/>
    <w:rsid w:val="009F37D1"/>
    <w:rsid w:val="009F3F01"/>
    <w:rsid w:val="00A0184E"/>
    <w:rsid w:val="00A144B0"/>
    <w:rsid w:val="00A25234"/>
    <w:rsid w:val="00A26D5D"/>
    <w:rsid w:val="00A27EA8"/>
    <w:rsid w:val="00A332D4"/>
    <w:rsid w:val="00A36898"/>
    <w:rsid w:val="00A371BE"/>
    <w:rsid w:val="00A47DD4"/>
    <w:rsid w:val="00A50835"/>
    <w:rsid w:val="00A52669"/>
    <w:rsid w:val="00A527F4"/>
    <w:rsid w:val="00A53B81"/>
    <w:rsid w:val="00A5405E"/>
    <w:rsid w:val="00A576A0"/>
    <w:rsid w:val="00A63323"/>
    <w:rsid w:val="00A64B4D"/>
    <w:rsid w:val="00A66B32"/>
    <w:rsid w:val="00A758AE"/>
    <w:rsid w:val="00A763E8"/>
    <w:rsid w:val="00A77085"/>
    <w:rsid w:val="00A86555"/>
    <w:rsid w:val="00A9430E"/>
    <w:rsid w:val="00AB24B7"/>
    <w:rsid w:val="00AB597F"/>
    <w:rsid w:val="00AB6B99"/>
    <w:rsid w:val="00AD07ED"/>
    <w:rsid w:val="00AE74B3"/>
    <w:rsid w:val="00AE76E6"/>
    <w:rsid w:val="00B012A3"/>
    <w:rsid w:val="00B04E07"/>
    <w:rsid w:val="00B13820"/>
    <w:rsid w:val="00B16B5A"/>
    <w:rsid w:val="00B23C4F"/>
    <w:rsid w:val="00B23EA5"/>
    <w:rsid w:val="00B34239"/>
    <w:rsid w:val="00B4135D"/>
    <w:rsid w:val="00B449E4"/>
    <w:rsid w:val="00B50DB7"/>
    <w:rsid w:val="00B513ED"/>
    <w:rsid w:val="00B54BDB"/>
    <w:rsid w:val="00B606B6"/>
    <w:rsid w:val="00B62BA6"/>
    <w:rsid w:val="00B726B8"/>
    <w:rsid w:val="00B7343B"/>
    <w:rsid w:val="00B74590"/>
    <w:rsid w:val="00B82987"/>
    <w:rsid w:val="00B846EA"/>
    <w:rsid w:val="00B872F6"/>
    <w:rsid w:val="00B87334"/>
    <w:rsid w:val="00B910EA"/>
    <w:rsid w:val="00B96537"/>
    <w:rsid w:val="00BA1934"/>
    <w:rsid w:val="00BB1DB3"/>
    <w:rsid w:val="00BB6195"/>
    <w:rsid w:val="00BB6DC9"/>
    <w:rsid w:val="00BC41EB"/>
    <w:rsid w:val="00BD0C23"/>
    <w:rsid w:val="00BE1485"/>
    <w:rsid w:val="00BE56C1"/>
    <w:rsid w:val="00BE7F3D"/>
    <w:rsid w:val="00BF071F"/>
    <w:rsid w:val="00BF6A2A"/>
    <w:rsid w:val="00C07766"/>
    <w:rsid w:val="00C17065"/>
    <w:rsid w:val="00C27189"/>
    <w:rsid w:val="00C27C2E"/>
    <w:rsid w:val="00C32CEB"/>
    <w:rsid w:val="00C42086"/>
    <w:rsid w:val="00C43629"/>
    <w:rsid w:val="00C46441"/>
    <w:rsid w:val="00C47DB9"/>
    <w:rsid w:val="00C55652"/>
    <w:rsid w:val="00C60EF2"/>
    <w:rsid w:val="00C65A69"/>
    <w:rsid w:val="00C71A9B"/>
    <w:rsid w:val="00C72052"/>
    <w:rsid w:val="00C75153"/>
    <w:rsid w:val="00C76458"/>
    <w:rsid w:val="00C82F4B"/>
    <w:rsid w:val="00C83707"/>
    <w:rsid w:val="00C84902"/>
    <w:rsid w:val="00C84AD7"/>
    <w:rsid w:val="00C90D41"/>
    <w:rsid w:val="00C9349D"/>
    <w:rsid w:val="00C93538"/>
    <w:rsid w:val="00C9768F"/>
    <w:rsid w:val="00CA048E"/>
    <w:rsid w:val="00CA4BF3"/>
    <w:rsid w:val="00CB23EC"/>
    <w:rsid w:val="00CB7716"/>
    <w:rsid w:val="00CC3321"/>
    <w:rsid w:val="00CC73F2"/>
    <w:rsid w:val="00CE3160"/>
    <w:rsid w:val="00CF1575"/>
    <w:rsid w:val="00D01AEE"/>
    <w:rsid w:val="00D07F8E"/>
    <w:rsid w:val="00D11DFC"/>
    <w:rsid w:val="00D20420"/>
    <w:rsid w:val="00D227A3"/>
    <w:rsid w:val="00D301AC"/>
    <w:rsid w:val="00D379EC"/>
    <w:rsid w:val="00D44219"/>
    <w:rsid w:val="00D645EE"/>
    <w:rsid w:val="00D66D76"/>
    <w:rsid w:val="00D734FB"/>
    <w:rsid w:val="00D82250"/>
    <w:rsid w:val="00D82721"/>
    <w:rsid w:val="00D8731B"/>
    <w:rsid w:val="00D948B9"/>
    <w:rsid w:val="00DA67A4"/>
    <w:rsid w:val="00DB0BE6"/>
    <w:rsid w:val="00DC3B6C"/>
    <w:rsid w:val="00DD3D20"/>
    <w:rsid w:val="00DE568D"/>
    <w:rsid w:val="00DF0249"/>
    <w:rsid w:val="00DF4A8C"/>
    <w:rsid w:val="00DF68CB"/>
    <w:rsid w:val="00DF73F9"/>
    <w:rsid w:val="00E10235"/>
    <w:rsid w:val="00E14DE8"/>
    <w:rsid w:val="00E15C0E"/>
    <w:rsid w:val="00E213A8"/>
    <w:rsid w:val="00E21928"/>
    <w:rsid w:val="00E23560"/>
    <w:rsid w:val="00E34659"/>
    <w:rsid w:val="00E35192"/>
    <w:rsid w:val="00E526E0"/>
    <w:rsid w:val="00E54DA5"/>
    <w:rsid w:val="00E721F5"/>
    <w:rsid w:val="00E82B29"/>
    <w:rsid w:val="00EA0803"/>
    <w:rsid w:val="00EA2025"/>
    <w:rsid w:val="00EB3564"/>
    <w:rsid w:val="00EC0D74"/>
    <w:rsid w:val="00EC10CA"/>
    <w:rsid w:val="00EC624F"/>
    <w:rsid w:val="00ED2D1E"/>
    <w:rsid w:val="00ED615F"/>
    <w:rsid w:val="00ED6FF0"/>
    <w:rsid w:val="00EE3AE6"/>
    <w:rsid w:val="00EF009C"/>
    <w:rsid w:val="00F038CB"/>
    <w:rsid w:val="00F0435A"/>
    <w:rsid w:val="00F11ECE"/>
    <w:rsid w:val="00F2643F"/>
    <w:rsid w:val="00F37B7A"/>
    <w:rsid w:val="00F52C66"/>
    <w:rsid w:val="00F64A9D"/>
    <w:rsid w:val="00F65F68"/>
    <w:rsid w:val="00F671F9"/>
    <w:rsid w:val="00F72F2A"/>
    <w:rsid w:val="00F84990"/>
    <w:rsid w:val="00FA2193"/>
    <w:rsid w:val="00FA5C58"/>
    <w:rsid w:val="00FB741E"/>
    <w:rsid w:val="00FC1EA7"/>
    <w:rsid w:val="00FD5AFE"/>
    <w:rsid w:val="00FE0EF6"/>
    <w:rsid w:val="00FE5C10"/>
    <w:rsid w:val="00FF402A"/>
    <w:rsid w:val="00FF4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91C22"/>
  <w15:chartTrackingRefBased/>
  <w15:docId w15:val="{4A7563BF-7BF5-48BC-B3CA-1DF23DBE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CD7"/>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575CD7"/>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75CD7"/>
    <w:pPr>
      <w:outlineLvl w:val="1"/>
    </w:pPr>
    <w:rPr>
      <w:sz w:val="28"/>
    </w:rPr>
  </w:style>
  <w:style w:type="paragraph" w:styleId="Heading3">
    <w:name w:val="heading 3"/>
    <w:basedOn w:val="Normal"/>
    <w:next w:val="Normal"/>
    <w:link w:val="Heading3Char"/>
    <w:uiPriority w:val="9"/>
    <w:unhideWhenUsed/>
    <w:qFormat/>
    <w:rsid w:val="00575CD7"/>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75CD7"/>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75CD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575CD7"/>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575CD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575CD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75CD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D7"/>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575CD7"/>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575CD7"/>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575CD7"/>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575CD7"/>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75CD7"/>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575CD7"/>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575CD7"/>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75CD7"/>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575CD7"/>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75CD7"/>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575CD7"/>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575CD7"/>
    <w:pPr>
      <w:tabs>
        <w:tab w:val="center" w:pos="4320"/>
        <w:tab w:val="right" w:pos="8640"/>
      </w:tabs>
    </w:pPr>
  </w:style>
  <w:style w:type="character" w:customStyle="1" w:styleId="HeaderChar">
    <w:name w:val="Header Char"/>
    <w:basedOn w:val="DefaultParagraphFont"/>
    <w:link w:val="Header"/>
    <w:uiPriority w:val="99"/>
    <w:rsid w:val="00575CD7"/>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575CD7"/>
    <w:pPr>
      <w:tabs>
        <w:tab w:val="center" w:pos="4320"/>
        <w:tab w:val="right" w:pos="8640"/>
      </w:tabs>
    </w:pPr>
  </w:style>
  <w:style w:type="character" w:customStyle="1" w:styleId="FooterChar">
    <w:name w:val="Footer Char"/>
    <w:basedOn w:val="DefaultParagraphFont"/>
    <w:link w:val="Footer"/>
    <w:uiPriority w:val="99"/>
    <w:rsid w:val="00575CD7"/>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575CD7"/>
    <w:rPr>
      <w:noProof w:val="0"/>
    </w:rPr>
  </w:style>
  <w:style w:type="character" w:styleId="Hyperlink">
    <w:name w:val="Hyperlink"/>
    <w:basedOn w:val="DefaultParagraphFont"/>
    <w:uiPriority w:val="99"/>
    <w:unhideWhenUsed/>
    <w:rsid w:val="00575CD7"/>
    <w:rPr>
      <w:noProof w:val="0"/>
      <w:color w:val="467886" w:themeColor="hyperlink"/>
      <w:u w:val="single"/>
    </w:rPr>
  </w:style>
  <w:style w:type="paragraph" w:styleId="Revision">
    <w:name w:val="Revision"/>
    <w:hidden/>
    <w:uiPriority w:val="99"/>
    <w:semiHidden/>
    <w:rsid w:val="00575CD7"/>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575CD7"/>
    <w:pPr>
      <w:spacing w:after="120"/>
    </w:pPr>
    <w:rPr>
      <w:b/>
      <w:bCs/>
      <w:color w:val="FFFFFF"/>
      <w:sz w:val="32"/>
      <w:szCs w:val="32"/>
    </w:rPr>
  </w:style>
  <w:style w:type="paragraph" w:customStyle="1" w:styleId="Headline">
    <w:name w:val="Headline"/>
    <w:basedOn w:val="Normal"/>
    <w:next w:val="Normal"/>
    <w:link w:val="HeadlineChar"/>
    <w:qFormat/>
    <w:rsid w:val="00575CD7"/>
    <w:rPr>
      <w:rFonts w:ascii="Segoe UI Semilight" w:hAnsi="Segoe UI Semilight" w:cs="Segoe UI Semilight"/>
      <w:b/>
      <w:bCs/>
      <w:color w:val="FFFFFF"/>
      <w:sz w:val="40"/>
      <w:szCs w:val="40"/>
    </w:rPr>
  </w:style>
  <w:style w:type="paragraph" w:customStyle="1" w:styleId="ExhibitTitle">
    <w:name w:val="Exhibit Title"/>
    <w:basedOn w:val="Normal"/>
    <w:qFormat/>
    <w:rsid w:val="00575CD7"/>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75CD7"/>
    <w:pPr>
      <w:shd w:val="clear" w:color="auto" w:fill="D6E2FA"/>
      <w:spacing w:after="0"/>
    </w:pPr>
    <w:rPr>
      <w:color w:val="595959" w:themeColor="text1" w:themeTint="A6"/>
      <w:sz w:val="18"/>
    </w:rPr>
  </w:style>
  <w:style w:type="paragraph" w:customStyle="1" w:styleId="ExhibitSource">
    <w:name w:val="Exhibit Source"/>
    <w:next w:val="Normal"/>
    <w:qFormat/>
    <w:rsid w:val="00575CD7"/>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575CD7"/>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575CD7"/>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575CD7"/>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575CD7"/>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575CD7"/>
    <w:rPr>
      <w:rFonts w:ascii="Segoe UI" w:hAnsi="Segoe UI" w:cs="Segoe UI"/>
      <w:noProof w:val="0"/>
      <w:color w:val="000000" w:themeColor="text1"/>
    </w:rPr>
  </w:style>
  <w:style w:type="paragraph" w:customStyle="1" w:styleId="Summary">
    <w:name w:val="Summary"/>
    <w:basedOn w:val="Normal"/>
    <w:link w:val="SummaryChar"/>
    <w:qFormat/>
    <w:rsid w:val="00575CD7"/>
    <w:pPr>
      <w:numPr>
        <w:numId w:val="1"/>
      </w:numPr>
      <w:ind w:left="1797" w:hanging="357"/>
    </w:pPr>
    <w:rPr>
      <w:kern w:val="2"/>
      <w:sz w:val="22"/>
      <w14:ligatures w14:val="standardContextual"/>
    </w:rPr>
  </w:style>
  <w:style w:type="paragraph" w:customStyle="1" w:styleId="TableData">
    <w:name w:val="Table Data"/>
    <w:link w:val="TableDataChar"/>
    <w:qFormat/>
    <w:rsid w:val="00575CD7"/>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575CD7"/>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575CD7"/>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575CD7"/>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575CD7"/>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575CD7"/>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575CD7"/>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575CD7"/>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575CD7"/>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575CD7"/>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575CD7"/>
    <w:rPr>
      <w:color w:val="003469"/>
    </w:rPr>
  </w:style>
  <w:style w:type="character" w:customStyle="1" w:styleId="RepeatingFooterChar">
    <w:name w:val="Repeating Footer Char"/>
    <w:basedOn w:val="FooterChar"/>
    <w:link w:val="RepeatingFooter"/>
    <w:rsid w:val="00575CD7"/>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575CD7"/>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575CD7"/>
    <w:rPr>
      <w:b/>
      <w:bCs/>
      <w:noProof w:val="0"/>
    </w:rPr>
  </w:style>
  <w:style w:type="character" w:customStyle="1" w:styleId="Italics">
    <w:name w:val="Italics"/>
    <w:uiPriority w:val="1"/>
    <w:qFormat/>
    <w:rsid w:val="00575CD7"/>
    <w:rPr>
      <w:i/>
      <w:iCs/>
      <w:noProof w:val="0"/>
    </w:rPr>
  </w:style>
  <w:style w:type="table" w:customStyle="1" w:styleId="TableGridHeader">
    <w:name w:val="Table Grid Header"/>
    <w:basedOn w:val="TableNormal"/>
    <w:uiPriority w:val="99"/>
    <w:rsid w:val="00575CD7"/>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072155059d274d8db6dD8a/Toc" TargetMode="External"/><Relationship Id="rId3" Type="http://schemas.openxmlformats.org/officeDocument/2006/relationships/customXml" Target="../customXml/item3.xml"/><Relationship Id="rId21" Type="http://schemas.openxmlformats.org/officeDocument/2006/relationships/image" Target="media/image6.svg"/><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my.oxfordeconomics.com/reports/8512Dd98595F43E480dB85" TargetMode="External"/><Relationship Id="rId17" Type="http://schemas.openxmlformats.org/officeDocument/2006/relationships/footer" Target="footer1.xml"/><Relationship Id="rId25" Type="http://schemas.openxmlformats.org/officeDocument/2006/relationships/image" Target="media/image10.sv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s/82c78c4b281F426bb3f52b" TargetMode="External"/><Relationship Id="rId24" Type="http://schemas.openxmlformats.org/officeDocument/2006/relationships/image" Target="media/image9.png"/><Relationship Id="rId32" Type="http://schemas.openxmlformats.org/officeDocument/2006/relationships/hyperlink" Target="https://my.oxfordeconomics.com/reports/8512Dd98595F43E480dB85" TargetMode="Externa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8.svg"/><Relationship Id="rId28" Type="http://schemas.openxmlformats.org/officeDocument/2006/relationships/image" Target="media/image11.png"/><Relationship Id="rId10" Type="http://schemas.openxmlformats.org/officeDocument/2006/relationships/hyperlink" Target="https://my.oxfordeconomics.com/reports/d96F0447efA14f46a16D77" TargetMode="External"/><Relationship Id="rId19" Type="http://schemas.openxmlformats.org/officeDocument/2006/relationships/footer" Target="footer2.xml"/><Relationship Id="rId31" Type="http://schemas.openxmlformats.org/officeDocument/2006/relationships/image" Target="media/image14.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 Id="rId22" Type="http://schemas.openxmlformats.org/officeDocument/2006/relationships/image" Target="media/image7.png"/><Relationship Id="rId27" Type="http://schemas.openxmlformats.org/officeDocument/2006/relationships/hyperlink" Target="https://my.oxfordeconomics.com/reports/8512Dd98595F43E480dB85" TargetMode="External"/><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337CEC07-76FC-4114-A7CA-F000BDCD0095}"/>
      </w:docPartPr>
      <w:docPartBody>
        <w:p w:rsidR="00E60170" w:rsidRDefault="00E60170">
          <w:r w:rsidRPr="002667C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70"/>
    <w:rsid w:val="00073246"/>
    <w:rsid w:val="00165BC9"/>
    <w:rsid w:val="002965A9"/>
    <w:rsid w:val="0032596D"/>
    <w:rsid w:val="00443FF6"/>
    <w:rsid w:val="004D0700"/>
    <w:rsid w:val="005E05FB"/>
    <w:rsid w:val="00674CC4"/>
    <w:rsid w:val="00750BB7"/>
    <w:rsid w:val="007C56BA"/>
    <w:rsid w:val="009B2166"/>
    <w:rsid w:val="009B6F49"/>
    <w:rsid w:val="00C47DB9"/>
    <w:rsid w:val="00C82F4B"/>
    <w:rsid w:val="00D82721"/>
    <w:rsid w:val="00E60170"/>
    <w:rsid w:val="00ED2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0188BA5C-D62F-488C-A820-39193F4B5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C2161C-DFD8-4E0F-9ABD-29DB64E51B18}">
  <ds:schemaRefs>
    <ds:schemaRef ds:uri="http://schemas.microsoft.com/sharepoint/v3/contenttype/forms"/>
  </ds:schemaRefs>
</ds:datastoreItem>
</file>

<file path=customXml/itemProps3.xml><?xml version="1.0" encoding="utf-8"?>
<ds:datastoreItem xmlns:ds="http://schemas.openxmlformats.org/officeDocument/2006/customXml" ds:itemID="{B5205CF5-75D2-422A-9252-79856B8A2CDD}">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23</cp:revision>
  <dcterms:created xsi:type="dcterms:W3CDTF">2025-07-01T09:56:00Z</dcterms:created>
  <dcterms:modified xsi:type="dcterms:W3CDTF">2025-07-01T11:16:00Z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1f5784-19ed-4d1e-9a93-4ea41014d730_Enabled">
    <vt:lpwstr>true</vt:lpwstr>
  </property>
  <property fmtid="{D5CDD505-2E9C-101B-9397-08002B2CF9AE}" pid="3" name="MSIP_Label_231f5784-19ed-4d1e-9a93-4ea41014d730_SetDate">
    <vt:lpwstr>2025-07-01T11:15:37.000Z</vt:lpwstr>
  </property>
  <property fmtid="{D5CDD505-2E9C-101B-9397-08002B2CF9AE}" pid="4" name="MSIP_Label_231f5784-19ed-4d1e-9a93-4ea41014d730_Method">
    <vt:lpwstr>Privileged</vt:lpwstr>
  </property>
  <property fmtid="{D5CDD505-2E9C-101B-9397-08002B2CF9AE}" pid="5" name="MSIP_Label_231f5784-19ed-4d1e-9a93-4ea41014d730_Name">
    <vt:lpwstr>External</vt:lpwstr>
  </property>
  <property fmtid="{D5CDD505-2E9C-101B-9397-08002B2CF9AE}" pid="6" name="MSIP_Label_231f5784-19ed-4d1e-9a93-4ea41014d730_SiteId">
    <vt:lpwstr>2c277f63-6743-4f98-ac15-4851e55c0cc7</vt:lpwstr>
  </property>
  <property fmtid="{D5CDD505-2E9C-101B-9397-08002B2CF9AE}" pid="7" name="OEP_VERSION">
    <vt:lpwstr>v0.8.1.1</vt:lpwstr>
  </property>
  <property fmtid="{D5CDD505-2E9C-101B-9397-08002B2CF9AE}" pid="8" name="OEP_GROUP_BRAND">
    <vt:lpwstr>OE</vt:lpwstr>
  </property>
  <property fmtid="{D5CDD505-2E9C-101B-9397-08002B2CF9AE}" pid="9" name="OEP_ANALYST_FULLNAME">
    <vt:lpwstr>Andrew Goodwin</vt:lpwstr>
  </property>
  <property fmtid="{D5CDD505-2E9C-101B-9397-08002B2CF9AE}" pid="10" name="OEP_ANALYST_JOBTITLE">
    <vt:lpwstr>Chief UK Economist</vt:lpwstr>
  </property>
  <property fmtid="{D5CDD505-2E9C-101B-9397-08002B2CF9AE}" pid="11" name="OEP_ANALYST_EMAIL">
    <vt:lpwstr>agoodwin@oxfordeconomics.com</vt:lpwstr>
  </property>
  <property fmtid="{D5CDD505-2E9C-101B-9397-08002B2CF9AE}" pid="12" name="OEP_AUTHORS">
    <vt:lpwstr>Andrew Goodwin|Chief UK Economist|agoodwin@oxfordeconomics.com_x000d_</vt:lpwstr>
  </property>
  <property fmtid="{D5CDD505-2E9C-101B-9397-08002B2CF9AE}" pid="13" name="OEP_EXHIBIT_FILEPATHS">
    <vt:lpwstr>Z:\UK Team\UK Research Briefing\20250701 RB UK Labour market - Sectors - Charts.xlsx</vt:lpwstr>
  </property>
  <property fmtid="{D5CDD505-2E9C-101B-9397-08002B2CF9AE}" pid="14" name="OEP_CATEGORIES">
    <vt:lpwstr>AnalysisbyRegion-Europe-UnitedKingdom,Macro-ResearchBriefings-UnitedKingdom</vt:lpwstr>
  </property>
  <property fmtid="{D5CDD505-2E9C-101B-9397-08002B2CF9AE}" pid="15" name="OEP_TAGS">
    <vt:lpwstr>Key Themes:labour trends</vt:lpwstr>
  </property>
  <property fmtid="{D5CDD505-2E9C-101B-9397-08002B2CF9AE}" pid="16" name="ContentTypeId">
    <vt:lpwstr>0x01010009401BB7205AF745BAD4FA98BDE0B98F</vt:lpwstr>
  </property>
  <property fmtid="{D5CDD505-2E9C-101B-9397-08002B2CF9AE}" pid="17" name="OEP_PRODUCT_CODE">
    <vt:lpwstr>b5316b39ae74423fbF6C4b</vt:lpwstr>
  </property>
  <property fmtid="{D5CDD505-2E9C-101B-9397-08002B2CF9AE}" pid="18" name="OEP_PUBLISH_DATE">
    <vt:lpwstr>2025-07-01T10:56:16.000Z</vt:lpwstr>
  </property>
</Properties>
</file>