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C1E88" w14:textId="4D626397" w:rsidR="003566FA" w:rsidRDefault="001E41C3" w:rsidP="00245D8A">
      <w:pPr>
        <w:pStyle w:val="Bullet"/>
      </w:pPr>
      <w:r>
        <w:t xml:space="preserve">Although </w:t>
      </w:r>
      <w:r w:rsidR="00255355">
        <w:t xml:space="preserve">the </w:t>
      </w:r>
      <w:r w:rsidR="00A708E1">
        <w:t xml:space="preserve">Bank of England's Monetary Policy Committee continues to lower Bank Rate, </w:t>
      </w:r>
      <w:r w:rsidR="008C59E4">
        <w:t xml:space="preserve">we expect net household interest payments </w:t>
      </w:r>
      <w:r>
        <w:t xml:space="preserve">to </w:t>
      </w:r>
      <w:r w:rsidR="00042BDC">
        <w:t xml:space="preserve">rise </w:t>
      </w:r>
      <w:r w:rsidR="00D828C9">
        <w:t xml:space="preserve">further </w:t>
      </w:r>
      <w:r w:rsidR="00042BDC">
        <w:t xml:space="preserve">as mortgagors refinance </w:t>
      </w:r>
      <w:r w:rsidR="0064031D">
        <w:t>cheap fixed-rate deals</w:t>
      </w:r>
      <w:r w:rsidR="00F72D6B">
        <w:t xml:space="preserve">. </w:t>
      </w:r>
      <w:r w:rsidR="0059703E">
        <w:t xml:space="preserve">Alongside softer real pay growth and </w:t>
      </w:r>
      <w:r w:rsidR="00A6190E">
        <w:t xml:space="preserve">tighter fiscal policy, </w:t>
      </w:r>
      <w:r w:rsidR="00B07977">
        <w:t xml:space="preserve">the lagged impact of past rate hikes on mortgagors will continue to </w:t>
      </w:r>
      <w:r w:rsidR="002040A9">
        <w:t>weigh</w:t>
      </w:r>
      <w:r w:rsidR="00B07977">
        <w:t xml:space="preserve"> on consumer spending.</w:t>
      </w:r>
    </w:p>
    <w:p w14:paraId="0381425B" w14:textId="1D8E12C3" w:rsidR="00245D8A" w:rsidRDefault="000902C8" w:rsidP="00245D8A">
      <w:pPr>
        <w:pStyle w:val="Bullet"/>
      </w:pPr>
      <w:r>
        <w:t xml:space="preserve">In contrast, </w:t>
      </w:r>
      <w:r w:rsidR="008808AE">
        <w:t xml:space="preserve">policy rate cuts </w:t>
      </w:r>
      <w:r w:rsidR="0021116E">
        <w:t>are passing</w:t>
      </w:r>
      <w:r w:rsidR="008808AE">
        <w:t xml:space="preserve"> through to the corporate sector much more quickly</w:t>
      </w:r>
      <w:r w:rsidR="00DE06FB">
        <w:t xml:space="preserve">. </w:t>
      </w:r>
      <w:r w:rsidR="003B5056">
        <w:t>This should support firms' cashflow position</w:t>
      </w:r>
      <w:r w:rsidR="00D1785B">
        <w:t>s</w:t>
      </w:r>
      <w:r w:rsidR="003B5056">
        <w:t xml:space="preserve"> </w:t>
      </w:r>
      <w:r w:rsidR="00054459">
        <w:t xml:space="preserve">and make </w:t>
      </w:r>
      <w:r w:rsidR="00F0324D">
        <w:t>external financing more aff</w:t>
      </w:r>
      <w:r w:rsidR="002040A9">
        <w:t xml:space="preserve">ordable. Nevertheless, we still expect business investment to remain broadly flat given the headwinds from </w:t>
      </w:r>
      <w:r w:rsidR="003E6788">
        <w:t xml:space="preserve">elevated trade policy uncertainty, </w:t>
      </w:r>
      <w:r w:rsidR="00417FA7">
        <w:t xml:space="preserve">sharply rising </w:t>
      </w:r>
      <w:r w:rsidR="003E6788">
        <w:t>labour costs, and we</w:t>
      </w:r>
      <w:r w:rsidR="003D7974">
        <w:t>ak profitability.</w:t>
      </w:r>
    </w:p>
    <w:p w14:paraId="0DA81FD7" w14:textId="17B46C5F" w:rsidR="00245D8A" w:rsidRDefault="00FD5BE2" w:rsidP="00245D8A">
      <w:pPr>
        <w:pStyle w:val="Bullet"/>
      </w:pPr>
      <w:r>
        <w:t xml:space="preserve">Bank Rate </w:t>
      </w:r>
      <w:r w:rsidR="003208DF">
        <w:t>is</w:t>
      </w:r>
      <w:r>
        <w:t xml:space="preserve"> comfortably above most plausible estimates of neutral</w:t>
      </w:r>
      <w:r w:rsidR="00170DEE">
        <w:t>. Given this, and our view that</w:t>
      </w:r>
      <w:r w:rsidR="008A6D81">
        <w:t xml:space="preserve"> </w:t>
      </w:r>
      <w:r w:rsidR="00293FFE">
        <w:t xml:space="preserve">real activity growth </w:t>
      </w:r>
      <w:r w:rsidR="00107C62">
        <w:t>is likely</w:t>
      </w:r>
      <w:r w:rsidR="00CE206C">
        <w:t xml:space="preserve"> to</w:t>
      </w:r>
      <w:r w:rsidR="00534727">
        <w:t xml:space="preserve"> remain </w:t>
      </w:r>
      <w:r w:rsidR="00293FFE">
        <w:t>relatively insensitive to looser policy</w:t>
      </w:r>
      <w:r w:rsidR="007D5113">
        <w:t xml:space="preserve"> for some time</w:t>
      </w:r>
      <w:r w:rsidR="003F4ABA">
        <w:t xml:space="preserve">, we think </w:t>
      </w:r>
      <w:r w:rsidR="00FE2209">
        <w:t>this would mitigate some of the downsides</w:t>
      </w:r>
      <w:r w:rsidR="00170DEE">
        <w:t xml:space="preserve"> to the MPC adopting </w:t>
      </w:r>
      <w:r w:rsidR="0059668E">
        <w:t xml:space="preserve">a more activist approach to cutting rates than the gradual and cautious path </w:t>
      </w:r>
      <w:r w:rsidR="001E41C3">
        <w:t xml:space="preserve">it has </w:t>
      </w:r>
      <w:r w:rsidR="0059668E">
        <w:t>pursued thus far</w:t>
      </w:r>
      <w:r w:rsidR="00234B19">
        <w:t>.</w:t>
      </w:r>
    </w:p>
    <w:p w14:paraId="6AB610ED" w14:textId="20F841A9" w:rsidR="009A18B7" w:rsidRDefault="00B13A01" w:rsidP="009A18B7">
      <w:r>
        <w:t xml:space="preserve">The Bank of England's Monetary Policy Committee </w:t>
      </w:r>
      <w:r w:rsidR="001E41C3">
        <w:t xml:space="preserve">has </w:t>
      </w:r>
      <w:r>
        <w:t xml:space="preserve">delivered </w:t>
      </w:r>
      <w:r w:rsidR="00167C6B">
        <w:t xml:space="preserve">100bps of rate cuts since its </w:t>
      </w:r>
      <w:r w:rsidR="00EC7249">
        <w:t xml:space="preserve">easing cycle began in August 2024. </w:t>
      </w:r>
      <w:r w:rsidR="001E41C3">
        <w:t>Alt</w:t>
      </w:r>
      <w:r w:rsidR="00EC7249">
        <w:t xml:space="preserve">hough </w:t>
      </w:r>
      <w:r w:rsidR="00400BD4">
        <w:t xml:space="preserve">we expect </w:t>
      </w:r>
      <w:r w:rsidR="00EC7249">
        <w:t>the MPC</w:t>
      </w:r>
      <w:r w:rsidR="00D3699A">
        <w:t xml:space="preserve"> </w:t>
      </w:r>
      <w:r w:rsidR="001E41C3">
        <w:t xml:space="preserve">to </w:t>
      </w:r>
      <w:r w:rsidR="00D3699A">
        <w:t xml:space="preserve">continue to </w:t>
      </w:r>
      <w:r w:rsidR="00DD3ADC">
        <w:t>gradually lower the policy rate</w:t>
      </w:r>
      <w:r w:rsidR="002D2E81">
        <w:t>, the lagged impact of the 2022-2024</w:t>
      </w:r>
      <w:r w:rsidR="003B0569">
        <w:t xml:space="preserve"> hiking cycle </w:t>
      </w:r>
      <w:r w:rsidR="00296D5F">
        <w:t>is still dominating</w:t>
      </w:r>
      <w:r w:rsidR="00534D10">
        <w:t xml:space="preserve"> and</w:t>
      </w:r>
      <w:r w:rsidR="00BE3876">
        <w:t xml:space="preserve"> </w:t>
      </w:r>
      <w:r w:rsidR="00534D10">
        <w:t>w</w:t>
      </w:r>
      <w:r w:rsidR="00BE3876">
        <w:t xml:space="preserve">e don't </w:t>
      </w:r>
      <w:r w:rsidR="001E41C3">
        <w:t xml:space="preserve">think </w:t>
      </w:r>
      <w:r w:rsidR="009E48CF">
        <w:t xml:space="preserve">looser </w:t>
      </w:r>
      <w:r w:rsidR="00E505A5">
        <w:t xml:space="preserve">monetary </w:t>
      </w:r>
      <w:r w:rsidR="009E48CF">
        <w:t xml:space="preserve">policy </w:t>
      </w:r>
      <w:r w:rsidR="001E41C3">
        <w:t xml:space="preserve">will </w:t>
      </w:r>
      <w:r w:rsidR="00534292">
        <w:t>support an upturn in economic activity over the next couple of years.</w:t>
      </w:r>
    </w:p>
    <w:p w14:paraId="1EEC2A5B" w14:textId="396CF3BC" w:rsidR="00245D8A" w:rsidRDefault="00245D8A" w:rsidP="009A18B7">
      <w:pPr>
        <w:pStyle w:val="ExhibitTitle"/>
        <w:jc w:val="center"/>
      </w:pPr>
      <w:bookmarkStart w:id="0" w:name="_Ref203413517"/>
      <w:r>
        <w:t xml:space="preserve">Chart </w:t>
      </w:r>
      <w:r>
        <w:fldChar w:fldCharType="begin"/>
      </w:r>
      <w:r w:rsidR="009A18B7">
        <w:instrText>SEQ CHART</w:instrText>
      </w:r>
      <w:r>
        <w:fldChar w:fldCharType="separate"/>
      </w:r>
      <w:r w:rsidR="009A18B7">
        <w:rPr>
          <w:noProof/>
        </w:rPr>
        <w:t>1</w:t>
      </w:r>
      <w:r>
        <w:fldChar w:fldCharType="end"/>
      </w:r>
      <w:bookmarkEnd w:id="0"/>
      <w:r>
        <w:t xml:space="preserve">: </w:t>
      </w:r>
      <w:r w:rsidR="00A11A22">
        <w:t>We expect firms to benefit from rate cuts more quickly than households</w:t>
      </w:r>
    </w:p>
    <w:p w14:paraId="30119D64" w14:textId="75895F1F" w:rsidR="009A18B7" w:rsidRDefault="009A18B7" w:rsidP="009A18B7">
      <w:pPr>
        <w:spacing w:after="0"/>
        <w:jc w:val="center"/>
        <w:rPr>
          <w:noProof/>
        </w:rPr>
      </w:pPr>
      <w:r>
        <w:rPr>
          <w:noProof/>
        </w:rPr>
        <w:drawing>
          <wp:inline distT="0" distB="0" distL="0" distR="0" wp14:anchorId="321319A1" wp14:editId="27C7E219">
            <wp:extent cx="4006964" cy="3145495"/>
            <wp:effectExtent l="0" t="0" r="0" b="0"/>
            <wp:docPr id="13774522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2292" name=""/>
                    <pic:cNvPicPr/>
                  </pic:nvPicPr>
                  <pic:blipFill>
                    <a:blip r:embed="rId7">
                      <a:extLst>
                        <a:ext uri="{96DAC541-7B7A-43D3-8B79-37D633B846F1}">
                          <asvg:svgBlip xmlns:asvg="http://schemas.microsoft.com/office/drawing/2016/SVG/main" r:embed="rId8"/>
                        </a:ext>
                      </a:extLst>
                    </a:blip>
                    <a:srcRect b="1799"/>
                    <a:stretch>
                      <a:fillRect/>
                    </a:stretch>
                  </pic:blipFill>
                  <pic:spPr>
                    <a:xfrm>
                      <a:off x="0" y="0"/>
                      <a:ext cx="4006964" cy="3145495"/>
                    </a:xfrm>
                    <a:prstGeom prst="rect">
                      <a:avLst/>
                    </a:prstGeom>
                  </pic:spPr>
                </pic:pic>
              </a:graphicData>
            </a:graphic>
          </wp:inline>
        </w:drawing>
      </w:r>
    </w:p>
    <w:p w14:paraId="3AB5A407" w14:textId="2668E3CF" w:rsidR="00245D8A" w:rsidRDefault="009A18B7" w:rsidP="009A18B7">
      <w:pPr>
        <w:pStyle w:val="ExhibitSource"/>
        <w:jc w:val="center"/>
      </w:pPr>
      <w:r>
        <w:t>Sources: Oxford Economics, Haver Analytics</w:t>
      </w:r>
    </w:p>
    <w:p w14:paraId="31E5FF51" w14:textId="0ACB778A" w:rsidR="00245D8A" w:rsidRDefault="00245D8A" w:rsidP="00245D8A">
      <w:pPr>
        <w:pStyle w:val="ExhibitSource"/>
        <w:jc w:val="center"/>
        <w:sectPr w:rsidR="00245D8A" w:rsidSect="009A18B7">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pPr>
    </w:p>
    <w:p w14:paraId="39B52393" w14:textId="4D2D9DC2" w:rsidR="00C12336" w:rsidRDefault="00973067" w:rsidP="00441D1D">
      <w:pPr>
        <w:pStyle w:val="Heading3"/>
      </w:pPr>
      <w:r>
        <w:lastRenderedPageBreak/>
        <w:t xml:space="preserve">Cuts to Bank Rate </w:t>
      </w:r>
      <w:r w:rsidR="007A7DCF">
        <w:t>will continue to</w:t>
      </w:r>
      <w:r>
        <w:t xml:space="preserve"> pass through to c</w:t>
      </w:r>
      <w:r w:rsidR="00AF2474">
        <w:t xml:space="preserve">orporate interest rates </w:t>
      </w:r>
      <w:r>
        <w:t>quickly</w:t>
      </w:r>
    </w:p>
    <w:p w14:paraId="64BC406F" w14:textId="0A708DBF" w:rsidR="00245D8A" w:rsidRDefault="00BE3CB3" w:rsidP="00245D8A">
      <w:r>
        <w:t xml:space="preserve">Higher debt servicing costs have been a key pressure on </w:t>
      </w:r>
      <w:r w:rsidR="001D0B7C">
        <w:t xml:space="preserve">corporate finances in recent years. </w:t>
      </w:r>
      <w:r w:rsidR="002502CF">
        <w:t xml:space="preserve">The average interest rate on </w:t>
      </w:r>
      <w:r w:rsidR="0004085E">
        <w:t xml:space="preserve">outstanding loans to </w:t>
      </w:r>
      <w:r w:rsidR="008B4C5F">
        <w:t>private non-financial companies</w:t>
      </w:r>
      <w:r w:rsidR="0004085E">
        <w:t xml:space="preserve"> rose by more than 400bps during the BoE's hiking cycle</w:t>
      </w:r>
      <w:r w:rsidR="006A056C">
        <w:t xml:space="preserve"> (</w:t>
      </w:r>
      <w:r w:rsidR="00E34B1D" w:rsidRPr="00BC61DE">
        <w:rPr>
          <w:b/>
          <w:color w:val="003469"/>
        </w:rPr>
        <w:fldChar w:fldCharType="begin"/>
      </w:r>
      <w:r w:rsidR="00BC61DE" w:rsidRPr="00BC61DE">
        <w:rPr>
          <w:b/>
          <w:color w:val="003469"/>
        </w:rPr>
        <w:instrText xml:space="preserve">REF _Ref203413517 \h \* Charformat </w:instrText>
      </w:r>
      <w:r w:rsidR="00BC61DE" w:rsidRPr="00BC61DE">
        <w:rPr>
          <w:b/>
          <w:color w:val="003469"/>
        </w:rPr>
      </w:r>
      <w:r w:rsidR="00E34B1D" w:rsidRPr="00BC61DE">
        <w:rPr>
          <w:b/>
          <w:color w:val="003469"/>
        </w:rPr>
        <w:fldChar w:fldCharType="separate"/>
      </w:r>
      <w:r w:rsidR="00BC61DE" w:rsidRPr="00BC61DE">
        <w:rPr>
          <w:b/>
          <w:color w:val="003469"/>
        </w:rPr>
        <w:t>Chart 1</w:t>
      </w:r>
      <w:r w:rsidR="00E34B1D" w:rsidRPr="00BC61DE">
        <w:rPr>
          <w:b/>
          <w:color w:val="003469"/>
        </w:rPr>
        <w:fldChar w:fldCharType="end"/>
      </w:r>
      <w:r w:rsidR="006A056C">
        <w:t>)</w:t>
      </w:r>
      <w:r w:rsidR="0004085E">
        <w:t xml:space="preserve">. </w:t>
      </w:r>
      <w:r w:rsidR="00BF2E47">
        <w:t xml:space="preserve">The relatively quick </w:t>
      </w:r>
      <w:r w:rsidR="003E0293">
        <w:t>transmission</w:t>
      </w:r>
      <w:r w:rsidR="00BF2E47">
        <w:t xml:space="preserve"> of</w:t>
      </w:r>
      <w:r w:rsidR="00645A32">
        <w:t xml:space="preserve"> past</w:t>
      </w:r>
      <w:r w:rsidR="00BF2E47">
        <w:t xml:space="preserve"> </w:t>
      </w:r>
      <w:r w:rsidR="0047650A">
        <w:t xml:space="preserve">increases in Bank Rate </w:t>
      </w:r>
      <w:r w:rsidR="00B34A06">
        <w:t xml:space="preserve">to corporate interest rates </w:t>
      </w:r>
      <w:r w:rsidR="00B60AB8">
        <w:t>is a result of 83%</w:t>
      </w:r>
      <w:r w:rsidR="00E62449">
        <w:t xml:space="preserve"> of loans </w:t>
      </w:r>
      <w:r w:rsidR="00F60224">
        <w:t xml:space="preserve">to companies being </w:t>
      </w:r>
      <w:r w:rsidR="002D3062">
        <w:t>on a floating interest rate</w:t>
      </w:r>
      <w:r w:rsidR="006B58C8">
        <w:t>.</w:t>
      </w:r>
    </w:p>
    <w:p w14:paraId="7B928B3F" w14:textId="3A82A9DD" w:rsidR="00BE3CB3" w:rsidRDefault="00C53986" w:rsidP="00245D8A">
      <w:r>
        <w:t xml:space="preserve">This rapid transmission has continued as the MPC has </w:t>
      </w:r>
      <w:r w:rsidR="00D1785B">
        <w:t>begun to loosen</w:t>
      </w:r>
      <w:r>
        <w:t xml:space="preserve"> policy</w:t>
      </w:r>
      <w:r w:rsidR="0074637C">
        <w:t xml:space="preserve">. The BoE </w:t>
      </w:r>
      <w:r w:rsidR="00D1785B">
        <w:t xml:space="preserve">has </w:t>
      </w:r>
      <w:r w:rsidR="009452CC">
        <w:t>delivered 100bps of rate cuts over the past year and the</w:t>
      </w:r>
      <w:r w:rsidR="00C3372C">
        <w:t xml:space="preserve"> average</w:t>
      </w:r>
      <w:r w:rsidR="009452CC">
        <w:t xml:space="preserve"> interest rate on the stock</w:t>
      </w:r>
      <w:r w:rsidR="00910032">
        <w:t xml:space="preserve"> of company loans </w:t>
      </w:r>
      <w:r w:rsidR="00C3372C">
        <w:t xml:space="preserve">has </w:t>
      </w:r>
      <w:r w:rsidR="00D1785B">
        <w:t xml:space="preserve">decreased </w:t>
      </w:r>
      <w:r w:rsidR="00C3372C">
        <w:t xml:space="preserve">by </w:t>
      </w:r>
      <w:r w:rsidR="007E60CB">
        <w:t>70</w:t>
      </w:r>
      <w:r w:rsidR="00C3372C">
        <w:t xml:space="preserve">bps </w:t>
      </w:r>
      <w:r w:rsidR="00910032">
        <w:t>(</w:t>
      </w:r>
      <w:r w:rsidR="00E34B1D" w:rsidRPr="00BC61DE">
        <w:rPr>
          <w:b/>
          <w:color w:val="003469"/>
        </w:rPr>
        <w:fldChar w:fldCharType="begin"/>
      </w:r>
      <w:r w:rsidR="00BC61DE" w:rsidRPr="00BC61DE">
        <w:rPr>
          <w:b/>
          <w:color w:val="003469"/>
        </w:rPr>
        <w:instrText xml:space="preserve">REF _Ref203413518 \h \* Charformat </w:instrText>
      </w:r>
      <w:r w:rsidR="00BC61DE" w:rsidRPr="00BC61DE">
        <w:rPr>
          <w:b/>
          <w:color w:val="003469"/>
        </w:rPr>
      </w:r>
      <w:r w:rsidR="00E34B1D" w:rsidRPr="00BC61DE">
        <w:rPr>
          <w:b/>
          <w:color w:val="003469"/>
        </w:rPr>
        <w:fldChar w:fldCharType="separate"/>
      </w:r>
      <w:r w:rsidR="00BC61DE" w:rsidRPr="00BC61DE">
        <w:rPr>
          <w:b/>
          <w:color w:val="003469"/>
        </w:rPr>
        <w:t>Chart 2</w:t>
      </w:r>
      <w:r w:rsidR="00E34B1D" w:rsidRPr="00BC61DE">
        <w:rPr>
          <w:b/>
          <w:color w:val="003469"/>
        </w:rPr>
        <w:fldChar w:fldCharType="end"/>
      </w:r>
      <w:r w:rsidR="00910032">
        <w:t>)</w:t>
      </w:r>
      <w:r w:rsidR="00101C9D">
        <w:t xml:space="preserve">. </w:t>
      </w:r>
      <w:r w:rsidR="00D1785B">
        <w:t xml:space="preserve">Given </w:t>
      </w:r>
      <w:r w:rsidR="007244DE">
        <w:t xml:space="preserve">the BoE </w:t>
      </w:r>
      <w:r w:rsidR="00D1785B">
        <w:t xml:space="preserve">is </w:t>
      </w:r>
      <w:r w:rsidR="007244DE">
        <w:t xml:space="preserve">set to continue </w:t>
      </w:r>
      <w:r w:rsidR="00335F6B">
        <w:t xml:space="preserve">gradually </w:t>
      </w:r>
      <w:r w:rsidR="007244DE">
        <w:t>cutting Bank Rate</w:t>
      </w:r>
      <w:r w:rsidR="00335F6B">
        <w:t xml:space="preserve">, we expect corporate interest rates </w:t>
      </w:r>
      <w:r w:rsidR="00D1785B">
        <w:t xml:space="preserve">to </w:t>
      </w:r>
      <w:r w:rsidR="00335F6B">
        <w:t>continue to fall.</w:t>
      </w:r>
    </w:p>
    <w:p w14:paraId="663E6628" w14:textId="41C8A9C7" w:rsidR="00245D8A" w:rsidRDefault="00245D8A" w:rsidP="00441D1D">
      <w:pPr>
        <w:pStyle w:val="ExhibitTitle"/>
      </w:pPr>
      <w:bookmarkStart w:id="3" w:name="_Ref203413518"/>
      <w:r>
        <w:t xml:space="preserve">Chart </w:t>
      </w:r>
      <w:r>
        <w:fldChar w:fldCharType="begin"/>
      </w:r>
      <w:r w:rsidR="00E34B1D">
        <w:instrText>SEQ CHART</w:instrText>
      </w:r>
      <w:r>
        <w:fldChar w:fldCharType="separate"/>
      </w:r>
      <w:r w:rsidR="009A18B7">
        <w:rPr>
          <w:noProof/>
        </w:rPr>
        <w:t>2</w:t>
      </w:r>
      <w:r>
        <w:fldChar w:fldCharType="end"/>
      </w:r>
      <w:bookmarkEnd w:id="3"/>
      <w:r>
        <w:t xml:space="preserve">: </w:t>
      </w:r>
      <w:r w:rsidR="009D0C60">
        <w:t xml:space="preserve">Recent </w:t>
      </w:r>
      <w:r w:rsidR="00D1785B">
        <w:t>cuts to</w:t>
      </w:r>
      <w:r w:rsidR="009D0C60">
        <w:t xml:space="preserve"> Bank Rate </w:t>
      </w:r>
      <w:r w:rsidR="0055175C">
        <w:t xml:space="preserve">are passing through to corporate interest rates </w:t>
      </w:r>
      <w:r w:rsidR="007F44F3">
        <w:t xml:space="preserve">relatively </w:t>
      </w:r>
      <w:r w:rsidR="0055175C">
        <w:t>quickly</w:t>
      </w:r>
    </w:p>
    <w:p w14:paraId="430F3521" w14:textId="016C6BF7" w:rsidR="00BF1F9A" w:rsidRDefault="00BF1F9A" w:rsidP="00441D1D">
      <w:pPr>
        <w:spacing w:after="0"/>
      </w:pPr>
      <w:r>
        <w:rPr>
          <w:noProof/>
        </w:rPr>
        <w:drawing>
          <wp:inline distT="0" distB="0" distL="0" distR="0" wp14:anchorId="3776A5A4" wp14:editId="4FC6199C">
            <wp:extent cx="3250933" cy="2545554"/>
            <wp:effectExtent l="0" t="0" r="6985" b="7620"/>
            <wp:docPr id="156445675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56758" name=""/>
                    <pic:cNvPicPr/>
                  </pic:nvPicPr>
                  <pic:blipFill>
                    <a:blip r:embed="rId15">
                      <a:extLst>
                        <a:ext uri="{96DAC541-7B7A-43D3-8B79-37D633B846F1}">
                          <asvg:svgBlip xmlns:asvg="http://schemas.microsoft.com/office/drawing/2016/SVG/main" r:embed="rId16"/>
                        </a:ext>
                      </a:extLst>
                    </a:blip>
                    <a:srcRect b="1802"/>
                    <a:stretch>
                      <a:fillRect/>
                    </a:stretch>
                  </pic:blipFill>
                  <pic:spPr>
                    <a:xfrm>
                      <a:off x="0" y="0"/>
                      <a:ext cx="3250933" cy="2545554"/>
                    </a:xfrm>
                    <a:prstGeom prst="rect">
                      <a:avLst/>
                    </a:prstGeom>
                  </pic:spPr>
                </pic:pic>
              </a:graphicData>
            </a:graphic>
          </wp:inline>
        </w:drawing>
      </w:r>
    </w:p>
    <w:p w14:paraId="73478A6F" w14:textId="6FB43D6B" w:rsidR="00245D8A" w:rsidRDefault="00BF1F9A" w:rsidP="00441D1D">
      <w:pPr>
        <w:pStyle w:val="ExhibitSource"/>
      </w:pPr>
      <w:r>
        <w:t>Source: Bank of England</w:t>
      </w:r>
    </w:p>
    <w:p w14:paraId="774117AE" w14:textId="608CDC0D" w:rsidR="00C55FF3" w:rsidRDefault="007A7DCF" w:rsidP="00441D1D">
      <w:pPr>
        <w:pStyle w:val="Heading3"/>
      </w:pPr>
      <w:r>
        <w:t>But the transmission of looser policy to household interest rates will be more protracted</w:t>
      </w:r>
    </w:p>
    <w:p w14:paraId="0D0F68B6" w14:textId="4BA7DEAE" w:rsidR="00610ACD" w:rsidRDefault="00BA07FA" w:rsidP="00610ACD">
      <w:r>
        <w:t xml:space="preserve">The picture for </w:t>
      </w:r>
      <w:r w:rsidR="00891FCD">
        <w:t>household interest rates looks very different</w:t>
      </w:r>
      <w:r w:rsidR="00641FC0">
        <w:t xml:space="preserve">, with </w:t>
      </w:r>
      <w:r w:rsidR="00B97ADB">
        <w:t>the impact of past rate hikes continuing to dominate</w:t>
      </w:r>
      <w:r w:rsidR="003D7302">
        <w:t>.</w:t>
      </w:r>
      <w:r w:rsidR="00E01BAF">
        <w:t xml:space="preserve"> The BoE's latest </w:t>
      </w:r>
      <w:hyperlink r:id="rId17" w:history="1">
        <w:r w:rsidR="00E01BAF" w:rsidRPr="00827510">
          <w:rPr>
            <w:rStyle w:val="Hyperlink"/>
          </w:rPr>
          <w:t>Financial Stability Report</w:t>
        </w:r>
      </w:hyperlink>
      <w:r w:rsidR="00E01BAF">
        <w:t xml:space="preserve"> </w:t>
      </w:r>
      <w:r w:rsidR="006B1539">
        <w:t xml:space="preserve">reported </w:t>
      </w:r>
      <w:r w:rsidR="00FE42A5">
        <w:t xml:space="preserve">that </w:t>
      </w:r>
      <w:r w:rsidR="003D7A75">
        <w:t xml:space="preserve">around 30% of </w:t>
      </w:r>
      <w:r w:rsidR="0038172A">
        <w:t>mortgagors</w:t>
      </w:r>
      <w:r w:rsidR="003D7A75">
        <w:t xml:space="preserve"> </w:t>
      </w:r>
      <w:r w:rsidR="00DC7CA8">
        <w:t>are yet to refinance cheap</w:t>
      </w:r>
      <w:r w:rsidR="007A1030">
        <w:t xml:space="preserve"> five-year</w:t>
      </w:r>
      <w:r w:rsidR="00DC7CA8">
        <w:t xml:space="preserve"> </w:t>
      </w:r>
      <w:r w:rsidR="0038172A">
        <w:t>fixed-rate</w:t>
      </w:r>
      <w:r w:rsidR="009A4FFA">
        <w:t xml:space="preserve"> </w:t>
      </w:r>
      <w:r w:rsidR="0038172A">
        <w:t xml:space="preserve">deals </w:t>
      </w:r>
      <w:r w:rsidR="00607063">
        <w:t xml:space="preserve">taken out </w:t>
      </w:r>
      <w:r w:rsidR="009F4FAF">
        <w:t xml:space="preserve">before the BoE started its rate </w:t>
      </w:r>
      <w:r w:rsidR="006B1539">
        <w:t xml:space="preserve">hiking </w:t>
      </w:r>
      <w:r w:rsidR="009F4FAF">
        <w:t xml:space="preserve">cycle </w:t>
      </w:r>
      <w:r w:rsidR="00B52244">
        <w:t>in H2 2021</w:t>
      </w:r>
      <w:r w:rsidR="009C357C">
        <w:t xml:space="preserve">. </w:t>
      </w:r>
      <w:r w:rsidR="0058411B">
        <w:t>A</w:t>
      </w:r>
      <w:r w:rsidR="00E44B45">
        <w:t xml:space="preserve">lmost all of these </w:t>
      </w:r>
      <w:r w:rsidR="0058411B">
        <w:t xml:space="preserve">borrowers </w:t>
      </w:r>
      <w:r w:rsidR="007A1030">
        <w:t xml:space="preserve">on five-year fixes </w:t>
      </w:r>
      <w:r w:rsidR="0058411B">
        <w:t>hav</w:t>
      </w:r>
      <w:r w:rsidR="003010CC">
        <w:t xml:space="preserve">e deals </w:t>
      </w:r>
      <w:r w:rsidR="0058411B">
        <w:t>that will expire in the next cou</w:t>
      </w:r>
      <w:r w:rsidR="003010CC">
        <w:t>ple of years</w:t>
      </w:r>
      <w:r w:rsidR="00920222">
        <w:t xml:space="preserve"> and we estimate that these mortgagors </w:t>
      </w:r>
      <w:r w:rsidR="00FE026F">
        <w:t>will face increase</w:t>
      </w:r>
      <w:r w:rsidR="00D1785B">
        <w:t>s</w:t>
      </w:r>
      <w:r w:rsidR="00FE026F">
        <w:t xml:space="preserve"> in their mortgage rate</w:t>
      </w:r>
      <w:r w:rsidR="00D1785B">
        <w:t>s</w:t>
      </w:r>
      <w:r w:rsidR="00FE026F">
        <w:t xml:space="preserve"> of 200-250bps</w:t>
      </w:r>
      <w:r w:rsidR="00267CFB">
        <w:t xml:space="preserve"> (</w:t>
      </w:r>
      <w:r w:rsidR="00E34B1D" w:rsidRPr="00BC61DE">
        <w:rPr>
          <w:b/>
          <w:color w:val="003469"/>
        </w:rPr>
        <w:fldChar w:fldCharType="begin"/>
      </w:r>
      <w:r w:rsidR="00BC61DE" w:rsidRPr="00BC61DE">
        <w:rPr>
          <w:b/>
          <w:color w:val="003469"/>
        </w:rPr>
        <w:instrText xml:space="preserve">REF _Ref203413519 \h \* Charformat </w:instrText>
      </w:r>
      <w:r w:rsidR="00BC61DE" w:rsidRPr="00BC61DE">
        <w:rPr>
          <w:b/>
          <w:color w:val="003469"/>
        </w:rPr>
      </w:r>
      <w:r w:rsidR="00E34B1D" w:rsidRPr="00BC61DE">
        <w:rPr>
          <w:b/>
          <w:color w:val="003469"/>
        </w:rPr>
        <w:fldChar w:fldCharType="separate"/>
      </w:r>
      <w:r w:rsidR="00BC61DE" w:rsidRPr="00BC61DE">
        <w:rPr>
          <w:b/>
          <w:color w:val="003469"/>
        </w:rPr>
        <w:t>Chart 3</w:t>
      </w:r>
      <w:r w:rsidR="00E34B1D" w:rsidRPr="00BC61DE">
        <w:rPr>
          <w:b/>
          <w:color w:val="003469"/>
        </w:rPr>
        <w:fldChar w:fldCharType="end"/>
      </w:r>
      <w:r w:rsidR="00267CFB">
        <w:t>).</w:t>
      </w:r>
    </w:p>
    <w:p w14:paraId="23D23B79" w14:textId="6AE77E7C" w:rsidR="00245D8A" w:rsidRDefault="00245D8A" w:rsidP="00441D1D">
      <w:pPr>
        <w:pStyle w:val="ExhibitTitle"/>
      </w:pPr>
      <w:bookmarkStart w:id="4" w:name="_Ref203413519"/>
      <w:r>
        <w:t xml:space="preserve">Chart </w:t>
      </w:r>
      <w:r>
        <w:fldChar w:fldCharType="begin"/>
      </w:r>
      <w:r w:rsidR="009A18B7">
        <w:instrText>SEQ CHART</w:instrText>
      </w:r>
      <w:r>
        <w:fldChar w:fldCharType="separate"/>
      </w:r>
      <w:r w:rsidR="009A18B7">
        <w:rPr>
          <w:noProof/>
        </w:rPr>
        <w:t>3</w:t>
      </w:r>
      <w:r>
        <w:fldChar w:fldCharType="end"/>
      </w:r>
      <w:bookmarkEnd w:id="4"/>
      <w:r>
        <w:t xml:space="preserve">: </w:t>
      </w:r>
      <w:r w:rsidR="00265616">
        <w:t xml:space="preserve">Many mortgagors </w:t>
      </w:r>
      <w:r w:rsidR="00D1785B">
        <w:t xml:space="preserve">will need to refinance </w:t>
      </w:r>
      <w:r w:rsidR="00265616">
        <w:t>at much higher rates over the next couple of years</w:t>
      </w:r>
    </w:p>
    <w:p w14:paraId="53C897D2" w14:textId="1AFD1260" w:rsidR="009A18B7" w:rsidRDefault="009A18B7" w:rsidP="00441D1D">
      <w:pPr>
        <w:spacing w:after="0"/>
        <w:rPr>
          <w:noProof/>
        </w:rPr>
      </w:pPr>
      <w:r>
        <w:rPr>
          <w:noProof/>
        </w:rPr>
        <w:drawing>
          <wp:inline distT="0" distB="0" distL="0" distR="0" wp14:anchorId="79B69B07" wp14:editId="606017B8">
            <wp:extent cx="3250933" cy="2552005"/>
            <wp:effectExtent l="0" t="0" r="6985" b="1270"/>
            <wp:docPr id="5219348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34804" name=""/>
                    <pic:cNvPicPr/>
                  </pic:nvPicPr>
                  <pic:blipFill>
                    <a:blip r:embed="rId18">
                      <a:extLst>
                        <a:ext uri="{96DAC541-7B7A-43D3-8B79-37D633B846F1}">
                          <asvg:svgBlip xmlns:asvg="http://schemas.microsoft.com/office/drawing/2016/SVG/main" r:embed="rId19"/>
                        </a:ext>
                      </a:extLst>
                    </a:blip>
                    <a:srcRect b="1799"/>
                    <a:stretch>
                      <a:fillRect/>
                    </a:stretch>
                  </pic:blipFill>
                  <pic:spPr>
                    <a:xfrm>
                      <a:off x="0" y="0"/>
                      <a:ext cx="3250933" cy="2552005"/>
                    </a:xfrm>
                    <a:prstGeom prst="rect">
                      <a:avLst/>
                    </a:prstGeom>
                  </pic:spPr>
                </pic:pic>
              </a:graphicData>
            </a:graphic>
          </wp:inline>
        </w:drawing>
      </w:r>
    </w:p>
    <w:p w14:paraId="1AF3E036" w14:textId="6FD393D4" w:rsidR="00245D8A" w:rsidRDefault="009A18B7" w:rsidP="00441D1D">
      <w:pPr>
        <w:pStyle w:val="ExhibitSource"/>
      </w:pPr>
      <w:r>
        <w:t>Sources: Oxford Economics, Haver Analytics</w:t>
      </w:r>
    </w:p>
    <w:p w14:paraId="15408186" w14:textId="05C673D7" w:rsidR="00B06486" w:rsidRDefault="0070693A" w:rsidP="00245D8A">
      <w:r>
        <w:lastRenderedPageBreak/>
        <w:t xml:space="preserve">However, there will </w:t>
      </w:r>
      <w:r w:rsidR="008D38A8">
        <w:t xml:space="preserve">be </w:t>
      </w:r>
      <w:r>
        <w:t xml:space="preserve">a wide spread of outcomes for mortgagors. </w:t>
      </w:r>
      <w:r w:rsidR="002910EE">
        <w:t xml:space="preserve">Households </w:t>
      </w:r>
      <w:r w:rsidR="009169B6">
        <w:t xml:space="preserve">coming to the end of shorter fixed-rate deals </w:t>
      </w:r>
      <w:r w:rsidR="00F40BA9">
        <w:t>are likely to benefit</w:t>
      </w:r>
      <w:r w:rsidR="00F005A6">
        <w:t xml:space="preserve"> from </w:t>
      </w:r>
      <w:r w:rsidR="00F73D95">
        <w:t>refinancing,</w:t>
      </w:r>
      <w:r w:rsidR="00F40BA9">
        <w:t xml:space="preserve"> </w:t>
      </w:r>
      <w:r w:rsidR="00F73D95">
        <w:t xml:space="preserve">following </w:t>
      </w:r>
      <w:r w:rsidR="00BF608F">
        <w:t xml:space="preserve">the decline in quoted mortgage rates in recent </w:t>
      </w:r>
      <w:r w:rsidR="00A043FE">
        <w:t>years</w:t>
      </w:r>
      <w:r w:rsidR="00A70D82">
        <w:t xml:space="preserve">. Meanwhile, </w:t>
      </w:r>
      <w:r w:rsidR="00D770C8">
        <w:t xml:space="preserve">the </w:t>
      </w:r>
      <w:r w:rsidR="004909AD">
        <w:t>10</w:t>
      </w:r>
      <w:r w:rsidR="00D770C8">
        <w:t xml:space="preserve">% of mortgagors on variable-rate deals should also see </w:t>
      </w:r>
      <w:r w:rsidR="0034530B">
        <w:t xml:space="preserve">their monthly repayments fall </w:t>
      </w:r>
      <w:r w:rsidR="00D93D77">
        <w:t>as cuts to Bank Rate continue.</w:t>
      </w:r>
    </w:p>
    <w:p w14:paraId="5C9E9FF7" w14:textId="23283FE3" w:rsidR="00B06486" w:rsidRDefault="00B06486" w:rsidP="00245D8A">
      <w:r>
        <w:t>Nevertheless, there</w:t>
      </w:r>
      <w:r w:rsidR="00A04336">
        <w:t>'</w:t>
      </w:r>
      <w:r>
        <w:t xml:space="preserve">s been a large shift in the structure of the mortgage market </w:t>
      </w:r>
      <w:r w:rsidR="00CA09A7">
        <w:t>over the past decade</w:t>
      </w:r>
      <w:r w:rsidR="000731B1">
        <w:t>. Fewer households have mortgages</w:t>
      </w:r>
      <w:r w:rsidR="00A04336">
        <w:t>,</w:t>
      </w:r>
      <w:r w:rsidR="000731B1">
        <w:t xml:space="preserve"> and </w:t>
      </w:r>
      <w:r w:rsidR="00CA09A7">
        <w:t xml:space="preserve">product demand </w:t>
      </w:r>
      <w:r w:rsidR="000731B1">
        <w:t xml:space="preserve">from those with mortgages has </w:t>
      </w:r>
      <w:r w:rsidR="00CA09A7">
        <w:t>mov</w:t>
      </w:r>
      <w:r w:rsidR="000731B1">
        <w:t>ed</w:t>
      </w:r>
      <w:r w:rsidR="00CA09A7">
        <w:t xml:space="preserve"> </w:t>
      </w:r>
      <w:r>
        <w:t>away from floating</w:t>
      </w:r>
      <w:r w:rsidR="00A04336">
        <w:t>-</w:t>
      </w:r>
      <w:r>
        <w:t xml:space="preserve">rate </w:t>
      </w:r>
      <w:r w:rsidR="000731B1">
        <w:t xml:space="preserve">deals, with five-year fixed-rate deals </w:t>
      </w:r>
      <w:r w:rsidR="000C1D90">
        <w:t>currently</w:t>
      </w:r>
      <w:r w:rsidR="000731B1">
        <w:t xml:space="preserve"> the most popular mortgage product</w:t>
      </w:r>
      <w:r>
        <w:t xml:space="preserve"> (</w:t>
      </w:r>
      <w:r w:rsidR="00A53685" w:rsidRPr="00BC61DE">
        <w:rPr>
          <w:b/>
          <w:color w:val="003469"/>
        </w:rPr>
        <w:fldChar w:fldCharType="begin"/>
      </w:r>
      <w:r w:rsidR="00BC61DE" w:rsidRPr="00BC61DE">
        <w:rPr>
          <w:b/>
          <w:color w:val="003469"/>
        </w:rPr>
        <w:instrText xml:space="preserve">REF _Ref203670395 \h \* Charformat </w:instrText>
      </w:r>
      <w:r w:rsidR="00BC61DE" w:rsidRPr="00BC61DE">
        <w:rPr>
          <w:b/>
          <w:color w:val="003469"/>
        </w:rPr>
      </w:r>
      <w:r w:rsidR="00A53685" w:rsidRPr="00BC61DE">
        <w:rPr>
          <w:b/>
          <w:color w:val="003469"/>
        </w:rPr>
        <w:fldChar w:fldCharType="separate"/>
      </w:r>
      <w:r w:rsidR="00BC61DE" w:rsidRPr="00BC61DE">
        <w:rPr>
          <w:b/>
          <w:color w:val="003469"/>
        </w:rPr>
        <w:t>Chart 4</w:t>
      </w:r>
      <w:r w:rsidR="00A53685" w:rsidRPr="00BC61DE">
        <w:rPr>
          <w:b/>
          <w:color w:val="003469"/>
        </w:rPr>
        <w:fldChar w:fldCharType="end"/>
      </w:r>
      <w:r>
        <w:t>). This means</w:t>
      </w:r>
      <w:r w:rsidR="00782C06">
        <w:t xml:space="preserve"> that</w:t>
      </w:r>
      <w:r>
        <w:t xml:space="preserve"> the transmission of policy rate cuts to mortgagors is now far more </w:t>
      </w:r>
      <w:r w:rsidR="00BD6568">
        <w:t>gradual</w:t>
      </w:r>
      <w:r>
        <w:t xml:space="preserve"> than in previous </w:t>
      </w:r>
      <w:r w:rsidR="00A04336">
        <w:t>rate-cutting</w:t>
      </w:r>
      <w:r>
        <w:t xml:space="preserve"> cycles. </w:t>
      </w:r>
      <w:r w:rsidR="00CF0FCF">
        <w:t>G</w:t>
      </w:r>
      <w:r>
        <w:t>iven the scale</w:t>
      </w:r>
      <w:r w:rsidRPr="00B06486">
        <w:t xml:space="preserve"> </w:t>
      </w:r>
      <w:r>
        <w:t>of the increase</w:t>
      </w:r>
      <w:r w:rsidR="00CA09A7">
        <w:t xml:space="preserve"> in monthly repayments</w:t>
      </w:r>
      <w:r>
        <w:t xml:space="preserve"> facing borrowers who are due to refinance five-year fixed-rate mortgages</w:t>
      </w:r>
      <w:r w:rsidR="00782C06">
        <w:t>,</w:t>
      </w:r>
      <w:r>
        <w:t xml:space="preserve"> </w:t>
      </w:r>
      <w:r w:rsidR="00CA09A7">
        <w:t>and</w:t>
      </w:r>
      <w:r>
        <w:t xml:space="preserve"> the popularity of these deals</w:t>
      </w:r>
      <w:r w:rsidR="00782C06">
        <w:t xml:space="preserve">, we still expect </w:t>
      </w:r>
      <w:r>
        <w:t xml:space="preserve">the effective interest rate on outstanding mortgages </w:t>
      </w:r>
      <w:r w:rsidR="0000011D">
        <w:t xml:space="preserve">to </w:t>
      </w:r>
      <w:r>
        <w:t>continue to drift upwards over the coming years.</w:t>
      </w:r>
    </w:p>
    <w:p w14:paraId="4AD4265F" w14:textId="0FBBF78B" w:rsidR="00B06486" w:rsidRDefault="00B06486" w:rsidP="00441D1D">
      <w:pPr>
        <w:pStyle w:val="ExhibitTitle"/>
      </w:pPr>
      <w:bookmarkStart w:id="5" w:name="_Ref203670395"/>
      <w:r>
        <w:t xml:space="preserve">Chart </w:t>
      </w:r>
      <w:r>
        <w:fldChar w:fldCharType="begin"/>
      </w:r>
      <w:r w:rsidR="00A53685">
        <w:instrText>SEQ CHART</w:instrText>
      </w:r>
      <w:r>
        <w:fldChar w:fldCharType="separate"/>
      </w:r>
      <w:r w:rsidR="009A18B7">
        <w:rPr>
          <w:noProof/>
        </w:rPr>
        <w:t>4</w:t>
      </w:r>
      <w:r>
        <w:fldChar w:fldCharType="end"/>
      </w:r>
      <w:bookmarkEnd w:id="5"/>
      <w:r>
        <w:t xml:space="preserve">: </w:t>
      </w:r>
      <w:r w:rsidR="001F02B9">
        <w:t>Variable-rate and short fixed-rate</w:t>
      </w:r>
      <w:r w:rsidR="00782C06">
        <w:t xml:space="preserve"> </w:t>
      </w:r>
      <w:r w:rsidR="001F02B9">
        <w:t xml:space="preserve">mortgages </w:t>
      </w:r>
      <w:r w:rsidR="00782C06">
        <w:t xml:space="preserve">are much </w:t>
      </w:r>
      <w:r w:rsidR="001F02B9">
        <w:t xml:space="preserve">less </w:t>
      </w:r>
      <w:r w:rsidR="00782C06">
        <w:t>popular than in past cutting cycles</w:t>
      </w:r>
    </w:p>
    <w:p w14:paraId="175B5935" w14:textId="3379498F" w:rsidR="008D17B1" w:rsidRDefault="008D17B1" w:rsidP="00441D1D">
      <w:pPr>
        <w:spacing w:after="0"/>
        <w:rPr>
          <w:noProof/>
        </w:rPr>
      </w:pPr>
      <w:r>
        <w:rPr>
          <w:noProof/>
        </w:rPr>
        <w:drawing>
          <wp:inline distT="0" distB="0" distL="0" distR="0" wp14:anchorId="4F07C811" wp14:editId="411FB5A8">
            <wp:extent cx="3250933" cy="2546292"/>
            <wp:effectExtent l="0" t="0" r="6985" b="6985"/>
            <wp:docPr id="145116754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7542" name=""/>
                    <pic:cNvPicPr/>
                  </pic:nvPicPr>
                  <pic:blipFill>
                    <a:blip r:embed="rId20">
                      <a:extLst>
                        <a:ext uri="{96DAC541-7B7A-43D3-8B79-37D633B846F1}">
                          <asvg:svgBlip xmlns:asvg="http://schemas.microsoft.com/office/drawing/2016/SVG/main" r:embed="rId21"/>
                        </a:ext>
                      </a:extLst>
                    </a:blip>
                    <a:srcRect b="1799"/>
                    <a:stretch>
                      <a:fillRect/>
                    </a:stretch>
                  </pic:blipFill>
                  <pic:spPr>
                    <a:xfrm>
                      <a:off x="0" y="0"/>
                      <a:ext cx="3250933" cy="2546292"/>
                    </a:xfrm>
                    <a:prstGeom prst="rect">
                      <a:avLst/>
                    </a:prstGeom>
                  </pic:spPr>
                </pic:pic>
              </a:graphicData>
            </a:graphic>
          </wp:inline>
        </w:drawing>
      </w:r>
    </w:p>
    <w:p w14:paraId="72C30FAC" w14:textId="75403BE9" w:rsidR="00B06486" w:rsidRDefault="008D17B1" w:rsidP="00441D1D">
      <w:pPr>
        <w:pStyle w:val="ExhibitSource"/>
      </w:pPr>
      <w:r>
        <w:t>Source: Oxford Economics calculations using data from Haver Analytics</w:t>
      </w:r>
    </w:p>
    <w:p w14:paraId="41BCFAC2" w14:textId="54369E1C" w:rsidR="00CC7AF1" w:rsidRDefault="00CC7AF1" w:rsidP="00245D8A">
      <w:r>
        <w:t xml:space="preserve">The transmission of recent cuts to Bank Rate to interest rates payable on household savings has also been relatively slow. </w:t>
      </w:r>
      <w:r w:rsidR="00DC68BB">
        <w:t xml:space="preserve">The interest rate on instant-access sight deposits is down just 26bps from its recent peak, while the interest rate on time deposits has fallen only slightly further. This is </w:t>
      </w:r>
      <w:r w:rsidR="00A37F6E">
        <w:t xml:space="preserve">a consequence </w:t>
      </w:r>
      <w:r w:rsidR="00DC68BB">
        <w:t xml:space="preserve">of both the limited </w:t>
      </w:r>
      <w:r w:rsidR="0000011D">
        <w:t xml:space="preserve">pass-through </w:t>
      </w:r>
      <w:r w:rsidR="00DC68BB">
        <w:t xml:space="preserve">of </w:t>
      </w:r>
      <w:r w:rsidR="0000011D">
        <w:t xml:space="preserve">the </w:t>
      </w:r>
      <w:r w:rsidR="00DC68BB">
        <w:t>BoE's recent tightening cycle to household savings rates, but also increasingly strong competition for deposits between banks.</w:t>
      </w:r>
    </w:p>
    <w:p w14:paraId="0C22EB59" w14:textId="0BA408BA" w:rsidR="00F76433" w:rsidRDefault="00DC68BB" w:rsidP="00245D8A">
      <w:r>
        <w:t xml:space="preserve">Overall, the combination of further upward pressure on </w:t>
      </w:r>
      <w:r w:rsidR="006C0D2B">
        <w:t>mortgage</w:t>
      </w:r>
      <w:r>
        <w:t xml:space="preserve"> debt</w:t>
      </w:r>
      <w:r w:rsidR="0000011D">
        <w:t>-</w:t>
      </w:r>
      <w:r>
        <w:t xml:space="preserve">servicing payments and the slight downtick in </w:t>
      </w:r>
      <w:r w:rsidR="00BD6568">
        <w:t xml:space="preserve">interest receipts from household savings </w:t>
      </w:r>
      <w:r w:rsidR="00F8653E">
        <w:t xml:space="preserve">means </w:t>
      </w:r>
      <w:r w:rsidR="00974607">
        <w:t xml:space="preserve">changes in interest rates will remain </w:t>
      </w:r>
      <w:r w:rsidR="00EB43DB">
        <w:t xml:space="preserve">a net negative </w:t>
      </w:r>
      <w:r w:rsidR="0000011D">
        <w:t xml:space="preserve">for </w:t>
      </w:r>
      <w:r w:rsidR="00EB43DB">
        <w:t>household incomes this year and next</w:t>
      </w:r>
      <w:r w:rsidR="004E6648">
        <w:t>,</w:t>
      </w:r>
      <w:r w:rsidR="00EB43DB">
        <w:t xml:space="preserve"> </w:t>
      </w:r>
      <w:r w:rsidR="007F403F">
        <w:t xml:space="preserve">before the squeeze starts to </w:t>
      </w:r>
      <w:r w:rsidR="000E5B10">
        <w:t>fade</w:t>
      </w:r>
      <w:r w:rsidR="007F403F">
        <w:t xml:space="preserve"> </w:t>
      </w:r>
      <w:r w:rsidR="000E5B10">
        <w:t xml:space="preserve">from 2027 </w:t>
      </w:r>
      <w:r w:rsidR="007F403F">
        <w:t>(</w:t>
      </w:r>
      <w:r w:rsidR="00E34B1D" w:rsidRPr="00BC61DE">
        <w:rPr>
          <w:b/>
          <w:color w:val="003469"/>
        </w:rPr>
        <w:fldChar w:fldCharType="begin"/>
      </w:r>
      <w:r w:rsidR="00BC61DE" w:rsidRPr="00BC61DE">
        <w:rPr>
          <w:b/>
          <w:color w:val="003469"/>
        </w:rPr>
        <w:instrText xml:space="preserve">REF _Ref203413520 \h \* Charformat </w:instrText>
      </w:r>
      <w:r w:rsidR="00BC61DE" w:rsidRPr="00BC61DE">
        <w:rPr>
          <w:b/>
          <w:color w:val="003469"/>
        </w:rPr>
      </w:r>
      <w:r w:rsidR="00E34B1D" w:rsidRPr="00BC61DE">
        <w:rPr>
          <w:b/>
          <w:color w:val="003469"/>
        </w:rPr>
        <w:fldChar w:fldCharType="separate"/>
      </w:r>
      <w:r w:rsidR="00BC61DE" w:rsidRPr="00BC61DE">
        <w:rPr>
          <w:b/>
          <w:color w:val="003469"/>
        </w:rPr>
        <w:t>Chart 5</w:t>
      </w:r>
      <w:r w:rsidR="00E34B1D" w:rsidRPr="00BC61DE">
        <w:rPr>
          <w:b/>
          <w:color w:val="003469"/>
        </w:rPr>
        <w:fldChar w:fldCharType="end"/>
      </w:r>
      <w:r w:rsidR="007F403F">
        <w:t>).</w:t>
      </w:r>
      <w:r w:rsidR="00F00C5B">
        <w:t xml:space="preserve"> </w:t>
      </w:r>
    </w:p>
    <w:p w14:paraId="4F6C8A8F" w14:textId="4A83E47D" w:rsidR="00CF570E" w:rsidRDefault="00CF570E" w:rsidP="00441D1D">
      <w:pPr>
        <w:pStyle w:val="ExhibitTitle"/>
      </w:pPr>
      <w:bookmarkStart w:id="6" w:name="_Ref203413520"/>
      <w:r>
        <w:lastRenderedPageBreak/>
        <w:t xml:space="preserve">Chart </w:t>
      </w:r>
      <w:r>
        <w:fldChar w:fldCharType="begin"/>
      </w:r>
      <w:r w:rsidR="009A18B7">
        <w:instrText>SEQ CHART</w:instrText>
      </w:r>
      <w:r>
        <w:fldChar w:fldCharType="separate"/>
      </w:r>
      <w:r w:rsidR="009A18B7">
        <w:rPr>
          <w:noProof/>
        </w:rPr>
        <w:t>5</w:t>
      </w:r>
      <w:r>
        <w:fldChar w:fldCharType="end"/>
      </w:r>
      <w:bookmarkEnd w:id="6"/>
      <w:r>
        <w:t xml:space="preserve">: </w:t>
      </w:r>
      <w:r w:rsidR="0019243F">
        <w:t>The drag from net interest payments</w:t>
      </w:r>
      <w:r w:rsidR="00B77B62">
        <w:t xml:space="preserve"> </w:t>
      </w:r>
      <w:r w:rsidR="0019243F">
        <w:t xml:space="preserve">on </w:t>
      </w:r>
      <w:r w:rsidR="00B77B62">
        <w:t>disposable income</w:t>
      </w:r>
      <w:r w:rsidR="0019243F">
        <w:t>s</w:t>
      </w:r>
      <w:r w:rsidR="001B2C6C">
        <w:t xml:space="preserve"> will</w:t>
      </w:r>
      <w:r w:rsidR="00C849B5">
        <w:t xml:space="preserve"> grow</w:t>
      </w:r>
      <w:r w:rsidR="00B77B62">
        <w:t xml:space="preserve"> this yea</w:t>
      </w:r>
      <w:r w:rsidR="00D57D95">
        <w:t>r and next</w:t>
      </w:r>
    </w:p>
    <w:p w14:paraId="0F01E228" w14:textId="01AC597F" w:rsidR="009A18B7" w:rsidRDefault="009A18B7" w:rsidP="00441D1D">
      <w:pPr>
        <w:spacing w:after="0"/>
        <w:rPr>
          <w:noProof/>
        </w:rPr>
      </w:pPr>
      <w:r>
        <w:rPr>
          <w:noProof/>
        </w:rPr>
        <w:drawing>
          <wp:inline distT="0" distB="0" distL="0" distR="0" wp14:anchorId="4BF219AE" wp14:editId="31EFCD1E">
            <wp:extent cx="3250933" cy="2566074"/>
            <wp:effectExtent l="0" t="0" r="6985" b="5715"/>
            <wp:docPr id="4471343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4311" name=""/>
                    <pic:cNvPicPr/>
                  </pic:nvPicPr>
                  <pic:blipFill>
                    <a:blip r:embed="rId22">
                      <a:extLst>
                        <a:ext uri="{96DAC541-7B7A-43D3-8B79-37D633B846F1}">
                          <asvg:svgBlip xmlns:asvg="http://schemas.microsoft.com/office/drawing/2016/SVG/main" r:embed="rId23"/>
                        </a:ext>
                      </a:extLst>
                    </a:blip>
                    <a:srcRect b="1258"/>
                    <a:stretch>
                      <a:fillRect/>
                    </a:stretch>
                  </pic:blipFill>
                  <pic:spPr>
                    <a:xfrm>
                      <a:off x="0" y="0"/>
                      <a:ext cx="3250933" cy="2566074"/>
                    </a:xfrm>
                    <a:prstGeom prst="rect">
                      <a:avLst/>
                    </a:prstGeom>
                  </pic:spPr>
                </pic:pic>
              </a:graphicData>
            </a:graphic>
          </wp:inline>
        </w:drawing>
      </w:r>
    </w:p>
    <w:p w14:paraId="7C5998DB" w14:textId="7FC12979" w:rsidR="00C217EE" w:rsidRDefault="009A18B7" w:rsidP="00441D1D">
      <w:pPr>
        <w:pStyle w:val="ExhibitSource"/>
      </w:pPr>
      <w:r>
        <w:t>Sources: Oxford Economics, Haver Analytics</w:t>
      </w:r>
    </w:p>
    <w:p w14:paraId="7A5C535C" w14:textId="58165065" w:rsidR="00F4065C" w:rsidRDefault="001D3C2D" w:rsidP="00441D1D">
      <w:pPr>
        <w:pStyle w:val="Heading3"/>
      </w:pPr>
      <w:r>
        <w:t>Looser monetary policy will remain a blunt tool for supporting real activity growth</w:t>
      </w:r>
    </w:p>
    <w:p w14:paraId="74F14915" w14:textId="0B2D01D6" w:rsidR="00E43DAC" w:rsidRDefault="004F16A2" w:rsidP="000D6287">
      <w:r>
        <w:t xml:space="preserve">Although we expect </w:t>
      </w:r>
      <w:r w:rsidR="00E43DAC">
        <w:t xml:space="preserve">the speed at which cuts to the policy rate are reflected in corporate and household interest rates </w:t>
      </w:r>
      <w:r w:rsidR="001D3C2D">
        <w:t>to</w:t>
      </w:r>
      <w:r w:rsidR="00E43DAC">
        <w:t xml:space="preserve"> differ</w:t>
      </w:r>
      <w:r w:rsidR="009C67B3">
        <w:t xml:space="preserve"> significantly</w:t>
      </w:r>
      <w:r w:rsidR="001D3C2D">
        <w:t xml:space="preserve"> over the coming years</w:t>
      </w:r>
      <w:r w:rsidR="00E43DAC">
        <w:t>, the</w:t>
      </w:r>
      <w:r w:rsidR="001D3C2D">
        <w:t xml:space="preserve"> overall</w:t>
      </w:r>
      <w:r w:rsidR="00E43DAC">
        <w:t xml:space="preserve"> boost to economic activity from </w:t>
      </w:r>
      <w:r w:rsidR="009C67B3">
        <w:t>lower interest rates</w:t>
      </w:r>
      <w:r w:rsidR="00E43DAC">
        <w:t xml:space="preserve"> is likely to be limited.</w:t>
      </w:r>
    </w:p>
    <w:p w14:paraId="37FE84FF" w14:textId="3A310C20" w:rsidR="000D6287" w:rsidRDefault="000D6287" w:rsidP="000D6287">
      <w:r>
        <w:t xml:space="preserve">There are several channels through which </w:t>
      </w:r>
      <w:r w:rsidR="001D3C2D">
        <w:t xml:space="preserve">changes in </w:t>
      </w:r>
      <w:r>
        <w:t xml:space="preserve">corporate interest rates can </w:t>
      </w:r>
      <w:r w:rsidR="001D3C2D">
        <w:t>influence</w:t>
      </w:r>
      <w:r>
        <w:t xml:space="preserve"> economic activity. First, the fall in debt servicing costs associated with lower corporate interest rates should improve companies' cashflow position</w:t>
      </w:r>
      <w:r w:rsidR="004F16A2">
        <w:t>s</w:t>
      </w:r>
      <w:r>
        <w:t xml:space="preserve">. </w:t>
      </w:r>
      <w:r w:rsidR="00DF3562">
        <w:t>I</w:t>
      </w:r>
      <w:r>
        <w:t xml:space="preserve">n turn, all else being equal, </w:t>
      </w:r>
      <w:r w:rsidR="00DF3562">
        <w:t xml:space="preserve">this </w:t>
      </w:r>
      <w:r>
        <w:t>provides greater availability of internal financing for investment and hiring plans. Second, as corporate interest rates fall, debt-financed investment becomes relatively more appealing. Third, a lower cost of capital reduces the hurdle rate on capital expenditure, resulting in a greater variety of investment projects that a given firm can pursue.</w:t>
      </w:r>
    </w:p>
    <w:p w14:paraId="3A41036D" w14:textId="49AA2747" w:rsidR="000D6287" w:rsidRDefault="00FC0E1A" w:rsidP="000D6287">
      <w:r>
        <w:t>However</w:t>
      </w:r>
      <w:r w:rsidR="000D6287">
        <w:t xml:space="preserve">, </w:t>
      </w:r>
      <w:r w:rsidR="004F16A2">
        <w:t>we're</w:t>
      </w:r>
      <w:r w:rsidR="000D6287">
        <w:t xml:space="preserve"> sceptical that lower corporate interest rates </w:t>
      </w:r>
      <w:r w:rsidR="004F16A2">
        <w:t>will</w:t>
      </w:r>
      <w:r w:rsidR="000D6287">
        <w:t xml:space="preserve"> deliver a material upturn in business investment in the near term. This reflects the strength of other factors that are weighing on the ability and desire of firms to invest. Corporate profitability is at its lowest level in more than 20 years, and the upward pressure on labour costs from recent rises in </w:t>
      </w:r>
      <w:hyperlink r:id="rId24" w:history="1">
        <w:r w:rsidR="000D6287" w:rsidRPr="008F16D0">
          <w:rPr>
            <w:rStyle w:val="Hyperlink"/>
          </w:rPr>
          <w:t>employers' national insurance contributions</w:t>
        </w:r>
      </w:hyperlink>
      <w:r w:rsidR="000D6287">
        <w:t xml:space="preserve"> and the national living wage </w:t>
      </w:r>
      <w:r w:rsidR="00DF3562">
        <w:t>is</w:t>
      </w:r>
      <w:r w:rsidR="000D6287">
        <w:t xml:space="preserve"> likely to more than offset the benefits from lower corporate interest rates. Elevated </w:t>
      </w:r>
      <w:hyperlink r:id="rId25" w:history="1">
        <w:r w:rsidR="000D6287" w:rsidRPr="00FF00AB">
          <w:rPr>
            <w:rStyle w:val="Hyperlink"/>
          </w:rPr>
          <w:t>trade policy uncertainty</w:t>
        </w:r>
      </w:hyperlink>
      <w:r w:rsidR="000D6287">
        <w:t xml:space="preserve"> and weak consumer demand mean the climate for committing to multi-year capital projects is poor. Moreover, there</w:t>
      </w:r>
      <w:r w:rsidR="004F16A2">
        <w:t>'s</w:t>
      </w:r>
      <w:r w:rsidR="000D6287">
        <w:t xml:space="preserve"> also evidence that hurdle rates and business investment </w:t>
      </w:r>
      <w:hyperlink r:id="rId26" w:history="1">
        <w:r w:rsidR="000D6287" w:rsidRPr="009445FE">
          <w:rPr>
            <w:rStyle w:val="Hyperlink"/>
          </w:rPr>
          <w:t>respond relatively sluggishly</w:t>
        </w:r>
      </w:hyperlink>
      <w:r w:rsidR="000D6287">
        <w:t xml:space="preserve"> to changes in the cost of capital. Therefore, </w:t>
      </w:r>
      <w:r w:rsidR="004F16A2">
        <w:t xml:space="preserve">although corporates will certainly welcome </w:t>
      </w:r>
      <w:r w:rsidR="000D6287">
        <w:t>lower debt servicing costs, we still expect business investment to remain broadly flat over the next couple of years.</w:t>
      </w:r>
    </w:p>
    <w:p w14:paraId="40F967A4" w14:textId="5EB660FD" w:rsidR="000D6287" w:rsidRDefault="001D3C2D" w:rsidP="000D6287">
      <w:r>
        <w:t xml:space="preserve">On the household side, together with the </w:t>
      </w:r>
      <w:r w:rsidR="000D6287">
        <w:t>drags from softer real earnings growth and the freeze on most tax thresholds and allowances, we expect the lagged impact of past interest rates to result in much weaker growth in real household incomes over the next couple of years.</w:t>
      </w:r>
    </w:p>
    <w:p w14:paraId="78E19D1A" w14:textId="20C15F1A" w:rsidR="00AA5859" w:rsidRDefault="000D6287" w:rsidP="000D6287">
      <w:r>
        <w:t>Consumers have exercised extreme caution in recent years, with the pickup in spending lagging well behind the recovery in real incomes. Surveys suggest consumer sentiment is starting to pick up a little, and this should mean households will gradually be</w:t>
      </w:r>
      <w:r w:rsidR="004F16A2">
        <w:t>come</w:t>
      </w:r>
      <w:r>
        <w:t xml:space="preserve"> keener to spend and take on more credit. Lower interest rates on savings may also help this along.</w:t>
      </w:r>
      <w:r w:rsidR="00AA5859">
        <w:t xml:space="preserve"> </w:t>
      </w:r>
      <w:r>
        <w:t>But even allowing for an improved consumer mindset,</w:t>
      </w:r>
      <w:r w:rsidR="00AA5859">
        <w:t xml:space="preserve"> </w:t>
      </w:r>
      <w:r>
        <w:t xml:space="preserve">the slowdown in real </w:t>
      </w:r>
      <w:r w:rsidR="00123A09">
        <w:t xml:space="preserve">disposable </w:t>
      </w:r>
      <w:r>
        <w:t>income growth</w:t>
      </w:r>
      <w:r w:rsidR="00123A09">
        <w:t xml:space="preserve"> – particularly for mortgagors and renters</w:t>
      </w:r>
      <w:r w:rsidR="004D78C1">
        <w:t>,</w:t>
      </w:r>
      <w:r w:rsidR="00123A09">
        <w:t xml:space="preserve"> </w:t>
      </w:r>
      <w:r w:rsidR="004D78C1">
        <w:t>who</w:t>
      </w:r>
      <w:r w:rsidR="00123A09">
        <w:t xml:space="preserve"> typically have a higher marginal propensity to consume than other households –</w:t>
      </w:r>
      <w:r>
        <w:t xml:space="preserve"> is likely to mean that spending growth remains fairly sluggish.</w:t>
      </w:r>
    </w:p>
    <w:p w14:paraId="562F715C" w14:textId="361188FD" w:rsidR="0044740C" w:rsidRDefault="00AF4AA4" w:rsidP="00441D1D">
      <w:pPr>
        <w:pStyle w:val="Heading3"/>
      </w:pPr>
      <w:r>
        <w:lastRenderedPageBreak/>
        <w:t xml:space="preserve">Limited policy transmission mitigates </w:t>
      </w:r>
      <w:r w:rsidR="000D32D5">
        <w:t>some</w:t>
      </w:r>
      <w:r>
        <w:t xml:space="preserve"> downsides of the MPC cutting more quickly</w:t>
      </w:r>
    </w:p>
    <w:p w14:paraId="15FF7B82" w14:textId="77777777" w:rsidR="005D1AFA" w:rsidRDefault="00BC2415" w:rsidP="00245D8A">
      <w:r>
        <w:t xml:space="preserve">Bringing </w:t>
      </w:r>
      <w:r w:rsidR="00C447C2">
        <w:t xml:space="preserve">all of these factors together, </w:t>
      </w:r>
      <w:r w:rsidR="009C70A2">
        <w:t xml:space="preserve">we think </w:t>
      </w:r>
      <w:r w:rsidR="00001206">
        <w:t xml:space="preserve">a challenging corporate outlook and </w:t>
      </w:r>
      <w:r w:rsidR="0081337F">
        <w:t xml:space="preserve">the lagged impact of past rate hikes on mortgagors continuing to </w:t>
      </w:r>
      <w:r w:rsidR="00FD1970">
        <w:t xml:space="preserve">emerge </w:t>
      </w:r>
      <w:r w:rsidR="00BC1EF9">
        <w:t xml:space="preserve">mean </w:t>
      </w:r>
      <w:r w:rsidR="00C327A5">
        <w:t xml:space="preserve">the BoE's rate-cutting cycle is </w:t>
      </w:r>
      <w:r w:rsidR="00405D52">
        <w:t xml:space="preserve">unlikely </w:t>
      </w:r>
      <w:r w:rsidR="00C327A5">
        <w:t xml:space="preserve">to </w:t>
      </w:r>
      <w:r w:rsidR="005B5B93">
        <w:t>provide much of a tailwind for business investment and consumer spending</w:t>
      </w:r>
      <w:r w:rsidR="00D71B78">
        <w:t xml:space="preserve"> over the next couple of years</w:t>
      </w:r>
      <w:r w:rsidR="005B5B93">
        <w:t>.</w:t>
      </w:r>
    </w:p>
    <w:p w14:paraId="67F8B2B2" w14:textId="7B68D9FF" w:rsidR="005D1AFA" w:rsidRDefault="000C442B" w:rsidP="00245D8A">
      <w:r>
        <w:t xml:space="preserve">Given </w:t>
      </w:r>
      <w:r w:rsidR="00774FB7">
        <w:t>the sluggish transmission of recent rate cuts to activity</w:t>
      </w:r>
      <w:r>
        <w:t xml:space="preserve">, </w:t>
      </w:r>
      <w:r w:rsidR="00822C79">
        <w:t xml:space="preserve">and that Bank Rate is still comfortably above most plausible estimates of </w:t>
      </w:r>
      <w:r w:rsidR="00CB35AB">
        <w:t>neutral</w:t>
      </w:r>
      <w:r w:rsidR="00CB35AB" w:rsidRPr="00CB35AB">
        <w:t xml:space="preserve"> – </w:t>
      </w:r>
      <w:r w:rsidR="0017526C" w:rsidRPr="0017526C">
        <w:t xml:space="preserve">the </w:t>
      </w:r>
      <w:r w:rsidR="00CB35AB">
        <w:t xml:space="preserve">BoE's </w:t>
      </w:r>
      <w:hyperlink r:id="rId27" w:history="1">
        <w:r w:rsidR="0017526C" w:rsidRPr="0017526C">
          <w:rPr>
            <w:rStyle w:val="Hyperlink"/>
          </w:rPr>
          <w:t>Market Participants Survey</w:t>
        </w:r>
      </w:hyperlink>
      <w:r w:rsidR="0017526C" w:rsidRPr="0017526C">
        <w:t xml:space="preserve"> </w:t>
      </w:r>
      <w:r w:rsidR="00CB1ED4">
        <w:t>suggests a neutral rate of between 3% and 3.5%</w:t>
      </w:r>
      <w:r w:rsidR="00B93DAE">
        <w:t xml:space="preserve"> </w:t>
      </w:r>
      <w:r w:rsidR="00B93DAE" w:rsidRPr="00B93DAE">
        <w:t>–</w:t>
      </w:r>
      <w:r w:rsidR="00B93DAE">
        <w:t xml:space="preserve"> </w:t>
      </w:r>
      <w:r w:rsidR="00B458FF">
        <w:t xml:space="preserve">we think this would mitigate some of the downsides to the MPC relaxing its </w:t>
      </w:r>
      <w:r w:rsidR="00B458FF" w:rsidRPr="00B458FF">
        <w:t xml:space="preserve">"gradual and careful" approach to loosening policy. </w:t>
      </w:r>
      <w:r w:rsidR="00B458FF">
        <w:t xml:space="preserve">However, the speed of monetary transmission </w:t>
      </w:r>
      <w:r w:rsidR="004F16A2">
        <w:t>isn't</w:t>
      </w:r>
      <w:r w:rsidR="00B458FF">
        <w:t xml:space="preserve"> the MPC's only consideration when setting Bank Rate and </w:t>
      </w:r>
      <w:r w:rsidR="004F16A2">
        <w:t>it's</w:t>
      </w:r>
      <w:r w:rsidR="00B458FF">
        <w:t xml:space="preserve"> currently prioritising other issues, </w:t>
      </w:r>
      <w:r w:rsidR="004A20C1">
        <w:t>including</w:t>
      </w:r>
      <w:r w:rsidR="00B458FF">
        <w:t xml:space="preserve"> underlying inflationary pressures</w:t>
      </w:r>
      <w:r w:rsidR="004A20C1">
        <w:t>,</w:t>
      </w:r>
      <w:r w:rsidR="00B458FF">
        <w:t xml:space="preserve"> labour market conditions</w:t>
      </w:r>
      <w:r w:rsidR="004A20C1">
        <w:t>, and seeking to maintain the committee's inflation-fighting credibility</w:t>
      </w:r>
      <w:r w:rsidR="00B458FF">
        <w:t xml:space="preserve">. </w:t>
      </w:r>
    </w:p>
    <w:p w14:paraId="768F9B6F" w14:textId="7087F0FB" w:rsidR="00E64EBC" w:rsidRDefault="00B458FF" w:rsidP="00245D8A">
      <w:r>
        <w:t xml:space="preserve">Nevertheless, that real activity growth </w:t>
      </w:r>
      <w:r w:rsidR="004F16A2">
        <w:t>will probably</w:t>
      </w:r>
      <w:r>
        <w:t xml:space="preserve"> remain relatively insensitive to looser policy for some time is one key factor behind why we view </w:t>
      </w:r>
      <w:r w:rsidR="001E1514">
        <w:t xml:space="preserve">a scenario in which the MPC </w:t>
      </w:r>
      <w:r w:rsidR="00031892">
        <w:t>lowers Bank Rate more quickly than markets expect</w:t>
      </w:r>
      <w:r w:rsidR="00DE5EB7">
        <w:t xml:space="preserve"> as more likely than one in which </w:t>
      </w:r>
      <w:r w:rsidR="00F74BE1">
        <w:t xml:space="preserve">the committee takes </w:t>
      </w:r>
      <w:r w:rsidR="00CA6EFE">
        <w:t xml:space="preserve">a </w:t>
      </w:r>
      <w:r w:rsidR="00F74BE1">
        <w:t>more cautious approach</w:t>
      </w:r>
      <w:r w:rsidR="00CA6EFE">
        <w:t xml:space="preserve"> to cutting</w:t>
      </w:r>
      <w:r w:rsidR="004A4061">
        <w:t>.</w:t>
      </w:r>
    </w:p>
    <w:sectPr w:rsidR="00E64EBC" w:rsidSect="009A18B7">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5ADCB" w14:textId="77777777" w:rsidR="008E065A" w:rsidRDefault="008E065A" w:rsidP="00245D8A">
      <w:pPr>
        <w:spacing w:before="0" w:after="0"/>
      </w:pPr>
      <w:r>
        <w:separator/>
      </w:r>
    </w:p>
  </w:endnote>
  <w:endnote w:type="continuationSeparator" w:id="0">
    <w:p w14:paraId="16AA6F35" w14:textId="77777777" w:rsidR="008E065A" w:rsidRDefault="008E065A" w:rsidP="00245D8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7245" w14:textId="77777777" w:rsidR="002D38A9" w:rsidRDefault="002D38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E98E" w14:textId="1AAB92A6" w:rsidR="00245D8A" w:rsidRPr="00245D8A" w:rsidRDefault="00245D8A" w:rsidP="00245D8A">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9F62C" w14:textId="2BCD9787" w:rsidR="00245D8A" w:rsidRDefault="00245D8A" w:rsidP="00245D8A">
    <w:pPr>
      <w:pStyle w:val="Author"/>
    </w:pPr>
    <w:r>
      <w:t>Edward Allenby</w:t>
    </w:r>
    <w:r w:rsidR="00441D1D">
      <w:t xml:space="preserve"> - </w:t>
    </w:r>
    <w:r>
      <w:t>UK Economist</w:t>
    </w:r>
    <w:r w:rsidR="00441D1D">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06F95" w14:textId="77777777" w:rsidR="008E065A" w:rsidRDefault="008E065A" w:rsidP="00245D8A">
      <w:pPr>
        <w:spacing w:before="0" w:after="0"/>
      </w:pPr>
      <w:r>
        <w:separator/>
      </w:r>
    </w:p>
  </w:footnote>
  <w:footnote w:type="continuationSeparator" w:id="0">
    <w:p w14:paraId="3BD907AA" w14:textId="77777777" w:rsidR="008E065A" w:rsidRDefault="008E065A" w:rsidP="00245D8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C53BF" w14:textId="77777777" w:rsidR="00245D8A" w:rsidRDefault="00245D8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0FFEB" w14:textId="0C3EA65D" w:rsidR="00245D8A" w:rsidRDefault="00245D8A" w:rsidP="00245D8A">
    <w:pPr>
      <w:pStyle w:val="Headline"/>
      <w:spacing w:before="120"/>
      <w:ind w:right="-1000"/>
    </w:pPr>
    <w:bookmarkStart w:id="1" w:name="_Hlk203670470"/>
    <w:bookmarkStart w:id="2" w:name="_Hlk203670471"/>
    <w:r w:rsidRPr="00245D8A">
      <w:rPr>
        <w:noProof/>
      </w:rPr>
      <w:drawing>
        <wp:anchor distT="0" distB="0" distL="114300" distR="114300" simplePos="0" relativeHeight="251658239" behindDoc="1" locked="1" layoutInCell="1" allowOverlap="1" wp14:anchorId="6D312C0C" wp14:editId="04067E23">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05A4E">
      <w:t>W</w:t>
    </w:r>
    <w:r w:rsidR="00E47823">
      <w:t>hy</w:t>
    </w:r>
    <w:r w:rsidR="005F046B">
      <w:t xml:space="preserve"> </w:t>
    </w:r>
    <w:r w:rsidR="00242CC6">
      <w:t xml:space="preserve">interest </w:t>
    </w:r>
    <w:r w:rsidR="00E47823">
      <w:t xml:space="preserve">rate cuts </w:t>
    </w:r>
    <w:r w:rsidR="00E064EB">
      <w:t>remain a blunt tool</w:t>
    </w:r>
    <w:r w:rsidR="00E47823">
      <w:t xml:space="preserve"> </w: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02777" w14:textId="0CA53A4D" w:rsidR="00245D8A" w:rsidRDefault="00245D8A" w:rsidP="00245D8A">
    <w:r w:rsidRPr="00245D8A">
      <w:rPr>
        <w:noProof/>
      </w:rPr>
      <w:drawing>
        <wp:anchor distT="0" distB="0" distL="114300" distR="114300" simplePos="0" relativeHeight="251659264" behindDoc="1" locked="1" layoutInCell="1" allowOverlap="1" wp14:anchorId="39BA4A0E" wp14:editId="65D3709E">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938335856"/>
      <w:lock w:val="sdtLocked"/>
      <w:placeholder>
        <w:docPart w:val="DefaultPlaceholder_-1854013437"/>
      </w:placeholder>
      <w:date w:fullDate="2025-07-22T00:00:00Z">
        <w:dateFormat w:val="d MMMM yyyy"/>
        <w:lid w:val="en-GB"/>
        <w:storeMappedDataAs w:val="dateTime"/>
        <w:calendar w:val="gregorian"/>
      </w:date>
    </w:sdtPr>
    <w:sdtEndPr/>
    <w:sdtContent>
      <w:p w14:paraId="251BA7FA" w14:textId="70D05602" w:rsidR="00245D8A" w:rsidRPr="00245D8A" w:rsidRDefault="00EB71E9" w:rsidP="00245D8A">
        <w:pPr>
          <w:pStyle w:val="PublishDate"/>
          <w:framePr w:w="2835" w:h="340" w:hRule="exact" w:hSpace="180" w:wrap="around" w:vAnchor="page" w:hAnchor="page" w:x="7801" w:y="601" w:anchorLock="1"/>
        </w:pPr>
        <w:r>
          <w:t>2</w:t>
        </w:r>
        <w:r w:rsidR="00997809">
          <w:t>2</w:t>
        </w:r>
        <w:r w:rsidR="00245D8A">
          <w:t xml:space="preserve"> July 2025</w:t>
        </w:r>
      </w:p>
    </w:sdtContent>
  </w:sdt>
  <w:p w14:paraId="20B92DF0" w14:textId="772C1542" w:rsidR="00245D8A" w:rsidRDefault="00245D8A" w:rsidP="00245D8A">
    <w:pPr>
      <w:pStyle w:val="ProductDescription"/>
      <w:framePr w:w="11339" w:h="1474" w:hRule="exact" w:hSpace="180" w:wrap="around" w:vAnchor="page" w:hAnchor="page" w:x="401" w:y="1141" w:anchorLock="1"/>
      <w:spacing w:after="200"/>
    </w:pPr>
    <w:r>
      <w:t xml:space="preserve">Research </w:t>
    </w:r>
    <w:r w:rsidRPr="00245D8A">
      <w:t>Briefing</w:t>
    </w:r>
    <w:r>
      <w:t xml:space="preserve"> | UK</w:t>
    </w:r>
  </w:p>
  <w:p w14:paraId="17D310A6" w14:textId="0DD37F3A" w:rsidR="00245D8A" w:rsidRDefault="00242CC6" w:rsidP="00242CC6">
    <w:pPr>
      <w:pStyle w:val="Headline"/>
      <w:framePr w:w="11339" w:h="1474" w:hRule="exact" w:hSpace="180" w:wrap="around" w:vAnchor="page" w:hAnchor="page" w:x="401" w:y="1141" w:anchorLock="1"/>
      <w:spacing w:line="200" w:lineRule="auto"/>
    </w:pPr>
    <w:r w:rsidRPr="00242CC6">
      <w:t>Why interest rate cuts remain a blunt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1C7F83"/>
    <w:multiLevelType w:val="hybridMultilevel"/>
    <w:tmpl w:val="331036E8"/>
    <w:lvl w:ilvl="0" w:tplc="D4CAED54">
      <w:start w:val="1"/>
      <w:numFmt w:val="decimal"/>
      <w:lvlText w:val="%1)"/>
      <w:lvlJc w:val="left"/>
      <w:pPr>
        <w:ind w:left="1020" w:hanging="360"/>
      </w:pPr>
    </w:lvl>
    <w:lvl w:ilvl="1" w:tplc="4ECC44C4">
      <w:start w:val="1"/>
      <w:numFmt w:val="decimal"/>
      <w:lvlText w:val="%2)"/>
      <w:lvlJc w:val="left"/>
      <w:pPr>
        <w:ind w:left="1020" w:hanging="360"/>
      </w:pPr>
    </w:lvl>
    <w:lvl w:ilvl="2" w:tplc="9982BB10">
      <w:start w:val="1"/>
      <w:numFmt w:val="decimal"/>
      <w:lvlText w:val="%3)"/>
      <w:lvlJc w:val="left"/>
      <w:pPr>
        <w:ind w:left="1020" w:hanging="360"/>
      </w:pPr>
    </w:lvl>
    <w:lvl w:ilvl="3" w:tplc="DAFED774">
      <w:start w:val="1"/>
      <w:numFmt w:val="decimal"/>
      <w:lvlText w:val="%4)"/>
      <w:lvlJc w:val="left"/>
      <w:pPr>
        <w:ind w:left="1020" w:hanging="360"/>
      </w:pPr>
    </w:lvl>
    <w:lvl w:ilvl="4" w:tplc="F80C9D0C">
      <w:start w:val="1"/>
      <w:numFmt w:val="decimal"/>
      <w:lvlText w:val="%5)"/>
      <w:lvlJc w:val="left"/>
      <w:pPr>
        <w:ind w:left="1020" w:hanging="360"/>
      </w:pPr>
    </w:lvl>
    <w:lvl w:ilvl="5" w:tplc="71DA51E0">
      <w:start w:val="1"/>
      <w:numFmt w:val="decimal"/>
      <w:lvlText w:val="%6)"/>
      <w:lvlJc w:val="left"/>
      <w:pPr>
        <w:ind w:left="1020" w:hanging="360"/>
      </w:pPr>
    </w:lvl>
    <w:lvl w:ilvl="6" w:tplc="7F844872">
      <w:start w:val="1"/>
      <w:numFmt w:val="decimal"/>
      <w:lvlText w:val="%7)"/>
      <w:lvlJc w:val="left"/>
      <w:pPr>
        <w:ind w:left="1020" w:hanging="360"/>
      </w:pPr>
    </w:lvl>
    <w:lvl w:ilvl="7" w:tplc="B03EEF74">
      <w:start w:val="1"/>
      <w:numFmt w:val="decimal"/>
      <w:lvlText w:val="%8)"/>
      <w:lvlJc w:val="left"/>
      <w:pPr>
        <w:ind w:left="1020" w:hanging="360"/>
      </w:pPr>
    </w:lvl>
    <w:lvl w:ilvl="8" w:tplc="E5D6F91C">
      <w:start w:val="1"/>
      <w:numFmt w:val="decimal"/>
      <w:lvlText w:val="%9)"/>
      <w:lvlJc w:val="left"/>
      <w:pPr>
        <w:ind w:left="1020" w:hanging="360"/>
      </w:pPr>
    </w:lvl>
  </w:abstractNum>
  <w:abstractNum w:abstractNumId="3"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65F4D4D"/>
    <w:multiLevelType w:val="hybridMultilevel"/>
    <w:tmpl w:val="8A229B18"/>
    <w:lvl w:ilvl="0" w:tplc="7A4AEF8C">
      <w:start w:val="1"/>
      <w:numFmt w:val="decimal"/>
      <w:lvlText w:val="%1)"/>
      <w:lvlJc w:val="left"/>
      <w:pPr>
        <w:ind w:left="1020" w:hanging="360"/>
      </w:pPr>
    </w:lvl>
    <w:lvl w:ilvl="1" w:tplc="7A7A2F04">
      <w:start w:val="1"/>
      <w:numFmt w:val="decimal"/>
      <w:lvlText w:val="%2)"/>
      <w:lvlJc w:val="left"/>
      <w:pPr>
        <w:ind w:left="1020" w:hanging="360"/>
      </w:pPr>
    </w:lvl>
    <w:lvl w:ilvl="2" w:tplc="09C08458">
      <w:start w:val="1"/>
      <w:numFmt w:val="decimal"/>
      <w:lvlText w:val="%3)"/>
      <w:lvlJc w:val="left"/>
      <w:pPr>
        <w:ind w:left="1020" w:hanging="360"/>
      </w:pPr>
    </w:lvl>
    <w:lvl w:ilvl="3" w:tplc="9F309894">
      <w:start w:val="1"/>
      <w:numFmt w:val="decimal"/>
      <w:lvlText w:val="%4)"/>
      <w:lvlJc w:val="left"/>
      <w:pPr>
        <w:ind w:left="1020" w:hanging="360"/>
      </w:pPr>
    </w:lvl>
    <w:lvl w:ilvl="4" w:tplc="F2B21AAC">
      <w:start w:val="1"/>
      <w:numFmt w:val="decimal"/>
      <w:lvlText w:val="%5)"/>
      <w:lvlJc w:val="left"/>
      <w:pPr>
        <w:ind w:left="1020" w:hanging="360"/>
      </w:pPr>
    </w:lvl>
    <w:lvl w:ilvl="5" w:tplc="A9E8CB0A">
      <w:start w:val="1"/>
      <w:numFmt w:val="decimal"/>
      <w:lvlText w:val="%6)"/>
      <w:lvlJc w:val="left"/>
      <w:pPr>
        <w:ind w:left="1020" w:hanging="360"/>
      </w:pPr>
    </w:lvl>
    <w:lvl w:ilvl="6" w:tplc="BE44E8F0">
      <w:start w:val="1"/>
      <w:numFmt w:val="decimal"/>
      <w:lvlText w:val="%7)"/>
      <w:lvlJc w:val="left"/>
      <w:pPr>
        <w:ind w:left="1020" w:hanging="360"/>
      </w:pPr>
    </w:lvl>
    <w:lvl w:ilvl="7" w:tplc="FBB887B8">
      <w:start w:val="1"/>
      <w:numFmt w:val="decimal"/>
      <w:lvlText w:val="%8)"/>
      <w:lvlJc w:val="left"/>
      <w:pPr>
        <w:ind w:left="1020" w:hanging="360"/>
      </w:pPr>
    </w:lvl>
    <w:lvl w:ilvl="8" w:tplc="1B18D8F2">
      <w:start w:val="1"/>
      <w:numFmt w:val="decimal"/>
      <w:lvlText w:val="%9)"/>
      <w:lvlJc w:val="left"/>
      <w:pPr>
        <w:ind w:left="1020" w:hanging="360"/>
      </w:pPr>
    </w:lvl>
  </w:abstractNum>
  <w:abstractNum w:abstractNumId="5"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9052B19"/>
    <w:multiLevelType w:val="hybridMultilevel"/>
    <w:tmpl w:val="50E2765C"/>
    <w:lvl w:ilvl="0" w:tplc="45E26DF6">
      <w:start w:val="1"/>
      <w:numFmt w:val="decimal"/>
      <w:lvlText w:val="%1)"/>
      <w:lvlJc w:val="left"/>
      <w:pPr>
        <w:ind w:left="1020" w:hanging="360"/>
      </w:pPr>
    </w:lvl>
    <w:lvl w:ilvl="1" w:tplc="F99C8CE4">
      <w:start w:val="1"/>
      <w:numFmt w:val="decimal"/>
      <w:lvlText w:val="%2)"/>
      <w:lvlJc w:val="left"/>
      <w:pPr>
        <w:ind w:left="1020" w:hanging="360"/>
      </w:pPr>
    </w:lvl>
    <w:lvl w:ilvl="2" w:tplc="7E8EAC30">
      <w:start w:val="1"/>
      <w:numFmt w:val="decimal"/>
      <w:lvlText w:val="%3)"/>
      <w:lvlJc w:val="left"/>
      <w:pPr>
        <w:ind w:left="1020" w:hanging="360"/>
      </w:pPr>
    </w:lvl>
    <w:lvl w:ilvl="3" w:tplc="3BDE16D2">
      <w:start w:val="1"/>
      <w:numFmt w:val="decimal"/>
      <w:lvlText w:val="%4)"/>
      <w:lvlJc w:val="left"/>
      <w:pPr>
        <w:ind w:left="1020" w:hanging="360"/>
      </w:pPr>
    </w:lvl>
    <w:lvl w:ilvl="4" w:tplc="D26E519C">
      <w:start w:val="1"/>
      <w:numFmt w:val="decimal"/>
      <w:lvlText w:val="%5)"/>
      <w:lvlJc w:val="left"/>
      <w:pPr>
        <w:ind w:left="1020" w:hanging="360"/>
      </w:pPr>
    </w:lvl>
    <w:lvl w:ilvl="5" w:tplc="2F4A7B9E">
      <w:start w:val="1"/>
      <w:numFmt w:val="decimal"/>
      <w:lvlText w:val="%6)"/>
      <w:lvlJc w:val="left"/>
      <w:pPr>
        <w:ind w:left="1020" w:hanging="360"/>
      </w:pPr>
    </w:lvl>
    <w:lvl w:ilvl="6" w:tplc="C7FCC63C">
      <w:start w:val="1"/>
      <w:numFmt w:val="decimal"/>
      <w:lvlText w:val="%7)"/>
      <w:lvlJc w:val="left"/>
      <w:pPr>
        <w:ind w:left="1020" w:hanging="360"/>
      </w:pPr>
    </w:lvl>
    <w:lvl w:ilvl="7" w:tplc="5E0692E6">
      <w:start w:val="1"/>
      <w:numFmt w:val="decimal"/>
      <w:lvlText w:val="%8)"/>
      <w:lvlJc w:val="left"/>
      <w:pPr>
        <w:ind w:left="1020" w:hanging="360"/>
      </w:pPr>
    </w:lvl>
    <w:lvl w:ilvl="8" w:tplc="2DBE5794">
      <w:start w:val="1"/>
      <w:numFmt w:val="decimal"/>
      <w:lvlText w:val="%9)"/>
      <w:lvlJc w:val="left"/>
      <w:pPr>
        <w:ind w:left="1020" w:hanging="360"/>
      </w:pPr>
    </w:lvl>
  </w:abstractNum>
  <w:abstractNum w:abstractNumId="7" w15:restartNumberingAfterBreak="0">
    <w:nsid w:val="56B34D38"/>
    <w:multiLevelType w:val="hybridMultilevel"/>
    <w:tmpl w:val="47F85F8C"/>
    <w:lvl w:ilvl="0" w:tplc="DE6A02C0">
      <w:start w:val="1"/>
      <w:numFmt w:val="decimal"/>
      <w:lvlText w:val="%1)"/>
      <w:lvlJc w:val="left"/>
      <w:pPr>
        <w:ind w:left="1020" w:hanging="360"/>
      </w:pPr>
    </w:lvl>
    <w:lvl w:ilvl="1" w:tplc="CAACA2BA">
      <w:start w:val="1"/>
      <w:numFmt w:val="decimal"/>
      <w:lvlText w:val="%2)"/>
      <w:lvlJc w:val="left"/>
      <w:pPr>
        <w:ind w:left="1020" w:hanging="360"/>
      </w:pPr>
    </w:lvl>
    <w:lvl w:ilvl="2" w:tplc="53961CEE">
      <w:start w:val="1"/>
      <w:numFmt w:val="decimal"/>
      <w:lvlText w:val="%3)"/>
      <w:lvlJc w:val="left"/>
      <w:pPr>
        <w:ind w:left="1020" w:hanging="360"/>
      </w:pPr>
    </w:lvl>
    <w:lvl w:ilvl="3" w:tplc="53729D76">
      <w:start w:val="1"/>
      <w:numFmt w:val="decimal"/>
      <w:lvlText w:val="%4)"/>
      <w:lvlJc w:val="left"/>
      <w:pPr>
        <w:ind w:left="1020" w:hanging="360"/>
      </w:pPr>
    </w:lvl>
    <w:lvl w:ilvl="4" w:tplc="3FC49CDC">
      <w:start w:val="1"/>
      <w:numFmt w:val="decimal"/>
      <w:lvlText w:val="%5)"/>
      <w:lvlJc w:val="left"/>
      <w:pPr>
        <w:ind w:left="1020" w:hanging="360"/>
      </w:pPr>
    </w:lvl>
    <w:lvl w:ilvl="5" w:tplc="1324B3B8">
      <w:start w:val="1"/>
      <w:numFmt w:val="decimal"/>
      <w:lvlText w:val="%6)"/>
      <w:lvlJc w:val="left"/>
      <w:pPr>
        <w:ind w:left="1020" w:hanging="360"/>
      </w:pPr>
    </w:lvl>
    <w:lvl w:ilvl="6" w:tplc="4C58641E">
      <w:start w:val="1"/>
      <w:numFmt w:val="decimal"/>
      <w:lvlText w:val="%7)"/>
      <w:lvlJc w:val="left"/>
      <w:pPr>
        <w:ind w:left="1020" w:hanging="360"/>
      </w:pPr>
    </w:lvl>
    <w:lvl w:ilvl="7" w:tplc="56648DA2">
      <w:start w:val="1"/>
      <w:numFmt w:val="decimal"/>
      <w:lvlText w:val="%8)"/>
      <w:lvlJc w:val="left"/>
      <w:pPr>
        <w:ind w:left="1020" w:hanging="360"/>
      </w:pPr>
    </w:lvl>
    <w:lvl w:ilvl="8" w:tplc="E59C2938">
      <w:start w:val="1"/>
      <w:numFmt w:val="decimal"/>
      <w:lvlText w:val="%9)"/>
      <w:lvlJc w:val="left"/>
      <w:pPr>
        <w:ind w:left="1020" w:hanging="360"/>
      </w:pPr>
    </w:lvl>
  </w:abstractNum>
  <w:abstractNum w:abstractNumId="8"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5"/>
  </w:num>
  <w:num w:numId="2" w16cid:durableId="2074311132">
    <w:abstractNumId w:val="1"/>
  </w:num>
  <w:num w:numId="3" w16cid:durableId="1590693657">
    <w:abstractNumId w:val="8"/>
  </w:num>
  <w:num w:numId="4" w16cid:durableId="1590037850">
    <w:abstractNumId w:val="0"/>
  </w:num>
  <w:num w:numId="5" w16cid:durableId="554319981">
    <w:abstractNumId w:val="3"/>
  </w:num>
  <w:num w:numId="6" w16cid:durableId="454713748">
    <w:abstractNumId w:val="2"/>
  </w:num>
  <w:num w:numId="7" w16cid:durableId="1696072979">
    <w:abstractNumId w:val="7"/>
  </w:num>
  <w:num w:numId="8" w16cid:durableId="779379498">
    <w:abstractNumId w:val="4"/>
  </w:num>
  <w:num w:numId="9" w16cid:durableId="7346219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8A"/>
    <w:rsid w:val="0000011D"/>
    <w:rsid w:val="00001206"/>
    <w:rsid w:val="00005A4E"/>
    <w:rsid w:val="00007EAC"/>
    <w:rsid w:val="0001643D"/>
    <w:rsid w:val="000211C3"/>
    <w:rsid w:val="000270D8"/>
    <w:rsid w:val="00031892"/>
    <w:rsid w:val="0004085E"/>
    <w:rsid w:val="00042BDC"/>
    <w:rsid w:val="00045BE1"/>
    <w:rsid w:val="00050DE4"/>
    <w:rsid w:val="00053329"/>
    <w:rsid w:val="00053435"/>
    <w:rsid w:val="00053C1D"/>
    <w:rsid w:val="00054459"/>
    <w:rsid w:val="00056B81"/>
    <w:rsid w:val="00060027"/>
    <w:rsid w:val="000614B9"/>
    <w:rsid w:val="00066B78"/>
    <w:rsid w:val="00067A73"/>
    <w:rsid w:val="00070076"/>
    <w:rsid w:val="000731B1"/>
    <w:rsid w:val="00076343"/>
    <w:rsid w:val="000771A7"/>
    <w:rsid w:val="00080065"/>
    <w:rsid w:val="00084939"/>
    <w:rsid w:val="000902C8"/>
    <w:rsid w:val="000919AB"/>
    <w:rsid w:val="00092ECF"/>
    <w:rsid w:val="000C0625"/>
    <w:rsid w:val="000C1D3A"/>
    <w:rsid w:val="000C1D90"/>
    <w:rsid w:val="000C442B"/>
    <w:rsid w:val="000D07EB"/>
    <w:rsid w:val="000D32D5"/>
    <w:rsid w:val="000D6287"/>
    <w:rsid w:val="000E5B10"/>
    <w:rsid w:val="000E62E8"/>
    <w:rsid w:val="000E76CA"/>
    <w:rsid w:val="000F1A2D"/>
    <w:rsid w:val="000F27F2"/>
    <w:rsid w:val="000F6DFD"/>
    <w:rsid w:val="00101C9D"/>
    <w:rsid w:val="0010328B"/>
    <w:rsid w:val="00107C62"/>
    <w:rsid w:val="00120685"/>
    <w:rsid w:val="001234F1"/>
    <w:rsid w:val="00123A09"/>
    <w:rsid w:val="00126F62"/>
    <w:rsid w:val="00137638"/>
    <w:rsid w:val="00137AA0"/>
    <w:rsid w:val="00142673"/>
    <w:rsid w:val="0014594F"/>
    <w:rsid w:val="00150916"/>
    <w:rsid w:val="00151160"/>
    <w:rsid w:val="00155A17"/>
    <w:rsid w:val="001644B3"/>
    <w:rsid w:val="001667E0"/>
    <w:rsid w:val="00166F6D"/>
    <w:rsid w:val="00167C6B"/>
    <w:rsid w:val="00170DEE"/>
    <w:rsid w:val="00174816"/>
    <w:rsid w:val="0017526C"/>
    <w:rsid w:val="00180069"/>
    <w:rsid w:val="00185A89"/>
    <w:rsid w:val="00186127"/>
    <w:rsid w:val="0019243F"/>
    <w:rsid w:val="00196E52"/>
    <w:rsid w:val="001A0602"/>
    <w:rsid w:val="001A061F"/>
    <w:rsid w:val="001A1027"/>
    <w:rsid w:val="001A24E4"/>
    <w:rsid w:val="001A780C"/>
    <w:rsid w:val="001B21B7"/>
    <w:rsid w:val="001B2C6C"/>
    <w:rsid w:val="001B652D"/>
    <w:rsid w:val="001B6663"/>
    <w:rsid w:val="001C0561"/>
    <w:rsid w:val="001C24C5"/>
    <w:rsid w:val="001D01BD"/>
    <w:rsid w:val="001D0B7C"/>
    <w:rsid w:val="001D1F24"/>
    <w:rsid w:val="001D3C2D"/>
    <w:rsid w:val="001D6A8A"/>
    <w:rsid w:val="001E02DE"/>
    <w:rsid w:val="001E1514"/>
    <w:rsid w:val="001E2FC8"/>
    <w:rsid w:val="001E41C3"/>
    <w:rsid w:val="001F02B9"/>
    <w:rsid w:val="001F0640"/>
    <w:rsid w:val="0020391E"/>
    <w:rsid w:val="002040A9"/>
    <w:rsid w:val="00204144"/>
    <w:rsid w:val="00205167"/>
    <w:rsid w:val="00205280"/>
    <w:rsid w:val="00205673"/>
    <w:rsid w:val="002102E6"/>
    <w:rsid w:val="0021116E"/>
    <w:rsid w:val="0021454C"/>
    <w:rsid w:val="00216DA1"/>
    <w:rsid w:val="00220F6F"/>
    <w:rsid w:val="0022212B"/>
    <w:rsid w:val="00226695"/>
    <w:rsid w:val="002270D2"/>
    <w:rsid w:val="00230450"/>
    <w:rsid w:val="00234B19"/>
    <w:rsid w:val="00235C14"/>
    <w:rsid w:val="002419FA"/>
    <w:rsid w:val="00242CC6"/>
    <w:rsid w:val="00243E97"/>
    <w:rsid w:val="0024564C"/>
    <w:rsid w:val="00245D8A"/>
    <w:rsid w:val="00246CD9"/>
    <w:rsid w:val="002502CF"/>
    <w:rsid w:val="00255355"/>
    <w:rsid w:val="002553D7"/>
    <w:rsid w:val="002653BF"/>
    <w:rsid w:val="00265616"/>
    <w:rsid w:val="00266C91"/>
    <w:rsid w:val="00267CFB"/>
    <w:rsid w:val="0027024F"/>
    <w:rsid w:val="002755F5"/>
    <w:rsid w:val="0027620F"/>
    <w:rsid w:val="00283EFF"/>
    <w:rsid w:val="002879C5"/>
    <w:rsid w:val="00287C4D"/>
    <w:rsid w:val="002910EE"/>
    <w:rsid w:val="0029185F"/>
    <w:rsid w:val="00293FFE"/>
    <w:rsid w:val="00296D5F"/>
    <w:rsid w:val="002A6758"/>
    <w:rsid w:val="002A6EE0"/>
    <w:rsid w:val="002A7BA7"/>
    <w:rsid w:val="002B2B86"/>
    <w:rsid w:val="002C4894"/>
    <w:rsid w:val="002C552F"/>
    <w:rsid w:val="002D07A1"/>
    <w:rsid w:val="002D2E81"/>
    <w:rsid w:val="002D3062"/>
    <w:rsid w:val="002D38A9"/>
    <w:rsid w:val="002D7548"/>
    <w:rsid w:val="002E18E6"/>
    <w:rsid w:val="002E6BE5"/>
    <w:rsid w:val="002F28B2"/>
    <w:rsid w:val="002F4AD3"/>
    <w:rsid w:val="003010CC"/>
    <w:rsid w:val="003027F4"/>
    <w:rsid w:val="0030593C"/>
    <w:rsid w:val="00310075"/>
    <w:rsid w:val="00313D24"/>
    <w:rsid w:val="00316E09"/>
    <w:rsid w:val="00317235"/>
    <w:rsid w:val="0032040C"/>
    <w:rsid w:val="003208DF"/>
    <w:rsid w:val="0032366A"/>
    <w:rsid w:val="00325B23"/>
    <w:rsid w:val="00331E02"/>
    <w:rsid w:val="00335F6B"/>
    <w:rsid w:val="003412AB"/>
    <w:rsid w:val="0034530B"/>
    <w:rsid w:val="00346CDC"/>
    <w:rsid w:val="00347662"/>
    <w:rsid w:val="00350A7F"/>
    <w:rsid w:val="0035418A"/>
    <w:rsid w:val="003566FA"/>
    <w:rsid w:val="00357DFC"/>
    <w:rsid w:val="00365CA0"/>
    <w:rsid w:val="00366A85"/>
    <w:rsid w:val="00367DAD"/>
    <w:rsid w:val="003725C3"/>
    <w:rsid w:val="003745EC"/>
    <w:rsid w:val="0038172A"/>
    <w:rsid w:val="00384DD6"/>
    <w:rsid w:val="00386D91"/>
    <w:rsid w:val="00394BA6"/>
    <w:rsid w:val="003A199B"/>
    <w:rsid w:val="003B0569"/>
    <w:rsid w:val="003B2CA4"/>
    <w:rsid w:val="003B5056"/>
    <w:rsid w:val="003B5FA9"/>
    <w:rsid w:val="003C18FF"/>
    <w:rsid w:val="003C44FB"/>
    <w:rsid w:val="003D00C9"/>
    <w:rsid w:val="003D6666"/>
    <w:rsid w:val="003D7302"/>
    <w:rsid w:val="003D7974"/>
    <w:rsid w:val="003D7A75"/>
    <w:rsid w:val="003E0293"/>
    <w:rsid w:val="003E0957"/>
    <w:rsid w:val="003E1A1F"/>
    <w:rsid w:val="003E6788"/>
    <w:rsid w:val="003E70EC"/>
    <w:rsid w:val="003F4ABA"/>
    <w:rsid w:val="00400BD4"/>
    <w:rsid w:val="00405D52"/>
    <w:rsid w:val="0041286F"/>
    <w:rsid w:val="00417FA7"/>
    <w:rsid w:val="00420C3F"/>
    <w:rsid w:val="00421A5E"/>
    <w:rsid w:val="004346A0"/>
    <w:rsid w:val="0043535B"/>
    <w:rsid w:val="0043715E"/>
    <w:rsid w:val="00441D1D"/>
    <w:rsid w:val="00442039"/>
    <w:rsid w:val="004424E8"/>
    <w:rsid w:val="00444636"/>
    <w:rsid w:val="00445EC7"/>
    <w:rsid w:val="0044674C"/>
    <w:rsid w:val="0044740C"/>
    <w:rsid w:val="004551D8"/>
    <w:rsid w:val="00460E88"/>
    <w:rsid w:val="004630D4"/>
    <w:rsid w:val="004715AF"/>
    <w:rsid w:val="004759F6"/>
    <w:rsid w:val="0047650A"/>
    <w:rsid w:val="00487259"/>
    <w:rsid w:val="00487542"/>
    <w:rsid w:val="00487AB1"/>
    <w:rsid w:val="00487C70"/>
    <w:rsid w:val="004909AD"/>
    <w:rsid w:val="004A0231"/>
    <w:rsid w:val="004A20C1"/>
    <w:rsid w:val="004A35B2"/>
    <w:rsid w:val="004A4061"/>
    <w:rsid w:val="004B1A7C"/>
    <w:rsid w:val="004B2ADA"/>
    <w:rsid w:val="004B3051"/>
    <w:rsid w:val="004C1213"/>
    <w:rsid w:val="004C5B7E"/>
    <w:rsid w:val="004D500B"/>
    <w:rsid w:val="004D78C1"/>
    <w:rsid w:val="004E0D6D"/>
    <w:rsid w:val="004E1CE7"/>
    <w:rsid w:val="004E2E86"/>
    <w:rsid w:val="004E36D2"/>
    <w:rsid w:val="004E48F6"/>
    <w:rsid w:val="004E6648"/>
    <w:rsid w:val="004F16A2"/>
    <w:rsid w:val="004F2B7C"/>
    <w:rsid w:val="004F7DE7"/>
    <w:rsid w:val="00515255"/>
    <w:rsid w:val="00515C0F"/>
    <w:rsid w:val="0052405E"/>
    <w:rsid w:val="005251EC"/>
    <w:rsid w:val="00534292"/>
    <w:rsid w:val="00534727"/>
    <w:rsid w:val="00534D10"/>
    <w:rsid w:val="0055175C"/>
    <w:rsid w:val="0056054D"/>
    <w:rsid w:val="00561C92"/>
    <w:rsid w:val="0056717C"/>
    <w:rsid w:val="0058354D"/>
    <w:rsid w:val="0058411B"/>
    <w:rsid w:val="00584BC2"/>
    <w:rsid w:val="00595EA5"/>
    <w:rsid w:val="0059668E"/>
    <w:rsid w:val="0059703E"/>
    <w:rsid w:val="005A1C5C"/>
    <w:rsid w:val="005A20FD"/>
    <w:rsid w:val="005A5527"/>
    <w:rsid w:val="005B24CF"/>
    <w:rsid w:val="005B5B93"/>
    <w:rsid w:val="005B6F39"/>
    <w:rsid w:val="005C51E4"/>
    <w:rsid w:val="005D1AFA"/>
    <w:rsid w:val="005D3A6D"/>
    <w:rsid w:val="005E1CBB"/>
    <w:rsid w:val="005E4D81"/>
    <w:rsid w:val="005E6B6C"/>
    <w:rsid w:val="005F046B"/>
    <w:rsid w:val="005F4E84"/>
    <w:rsid w:val="005F57E2"/>
    <w:rsid w:val="005F62CD"/>
    <w:rsid w:val="005F6309"/>
    <w:rsid w:val="0060175F"/>
    <w:rsid w:val="00602A68"/>
    <w:rsid w:val="00607063"/>
    <w:rsid w:val="00610ACD"/>
    <w:rsid w:val="00613F4B"/>
    <w:rsid w:val="00634F29"/>
    <w:rsid w:val="0063538A"/>
    <w:rsid w:val="0064031D"/>
    <w:rsid w:val="00641FC0"/>
    <w:rsid w:val="00642835"/>
    <w:rsid w:val="00645A32"/>
    <w:rsid w:val="00646271"/>
    <w:rsid w:val="00646876"/>
    <w:rsid w:val="006608E3"/>
    <w:rsid w:val="00666F58"/>
    <w:rsid w:val="00671AF4"/>
    <w:rsid w:val="00673B00"/>
    <w:rsid w:val="00675420"/>
    <w:rsid w:val="00676B9B"/>
    <w:rsid w:val="006868D6"/>
    <w:rsid w:val="006906F2"/>
    <w:rsid w:val="00692EAB"/>
    <w:rsid w:val="00693021"/>
    <w:rsid w:val="00697DDF"/>
    <w:rsid w:val="00697E28"/>
    <w:rsid w:val="006A056C"/>
    <w:rsid w:val="006B1539"/>
    <w:rsid w:val="006B204D"/>
    <w:rsid w:val="006B2DED"/>
    <w:rsid w:val="006B58C8"/>
    <w:rsid w:val="006C0D2B"/>
    <w:rsid w:val="006C2716"/>
    <w:rsid w:val="006C79C1"/>
    <w:rsid w:val="006D2C1A"/>
    <w:rsid w:val="006D54A2"/>
    <w:rsid w:val="006D78AF"/>
    <w:rsid w:val="006E7696"/>
    <w:rsid w:val="006F46FD"/>
    <w:rsid w:val="00706867"/>
    <w:rsid w:val="0070693A"/>
    <w:rsid w:val="00707F12"/>
    <w:rsid w:val="007124D4"/>
    <w:rsid w:val="00715706"/>
    <w:rsid w:val="00716C89"/>
    <w:rsid w:val="00717229"/>
    <w:rsid w:val="0072327C"/>
    <w:rsid w:val="00723394"/>
    <w:rsid w:val="007244DE"/>
    <w:rsid w:val="0072781E"/>
    <w:rsid w:val="00731252"/>
    <w:rsid w:val="00731AEB"/>
    <w:rsid w:val="00734887"/>
    <w:rsid w:val="0074637C"/>
    <w:rsid w:val="00747725"/>
    <w:rsid w:val="00763913"/>
    <w:rsid w:val="00767A45"/>
    <w:rsid w:val="00770347"/>
    <w:rsid w:val="007735BF"/>
    <w:rsid w:val="00774FB7"/>
    <w:rsid w:val="007766C0"/>
    <w:rsid w:val="00780024"/>
    <w:rsid w:val="00782C06"/>
    <w:rsid w:val="00782C3F"/>
    <w:rsid w:val="00785F3D"/>
    <w:rsid w:val="00786805"/>
    <w:rsid w:val="00792406"/>
    <w:rsid w:val="00792FCD"/>
    <w:rsid w:val="0079341E"/>
    <w:rsid w:val="007959D0"/>
    <w:rsid w:val="007A1030"/>
    <w:rsid w:val="007A7DCF"/>
    <w:rsid w:val="007B3A3B"/>
    <w:rsid w:val="007B5089"/>
    <w:rsid w:val="007B62B5"/>
    <w:rsid w:val="007C42CE"/>
    <w:rsid w:val="007C5F04"/>
    <w:rsid w:val="007D15F0"/>
    <w:rsid w:val="007D1B25"/>
    <w:rsid w:val="007D5113"/>
    <w:rsid w:val="007E0185"/>
    <w:rsid w:val="007E281C"/>
    <w:rsid w:val="007E5A07"/>
    <w:rsid w:val="007E60CB"/>
    <w:rsid w:val="007F0F79"/>
    <w:rsid w:val="007F2264"/>
    <w:rsid w:val="007F2268"/>
    <w:rsid w:val="007F403F"/>
    <w:rsid w:val="007F44F3"/>
    <w:rsid w:val="007F47CE"/>
    <w:rsid w:val="007F56DC"/>
    <w:rsid w:val="00801738"/>
    <w:rsid w:val="0080262D"/>
    <w:rsid w:val="00802E8A"/>
    <w:rsid w:val="008056E8"/>
    <w:rsid w:val="0081337F"/>
    <w:rsid w:val="0081622C"/>
    <w:rsid w:val="00822C79"/>
    <w:rsid w:val="00825F08"/>
    <w:rsid w:val="00827510"/>
    <w:rsid w:val="00830AC3"/>
    <w:rsid w:val="008317A7"/>
    <w:rsid w:val="00835387"/>
    <w:rsid w:val="00850548"/>
    <w:rsid w:val="0085338F"/>
    <w:rsid w:val="0086231B"/>
    <w:rsid w:val="00865868"/>
    <w:rsid w:val="008660A0"/>
    <w:rsid w:val="008676EB"/>
    <w:rsid w:val="008730F8"/>
    <w:rsid w:val="008808AE"/>
    <w:rsid w:val="00890742"/>
    <w:rsid w:val="00891FCD"/>
    <w:rsid w:val="008A253F"/>
    <w:rsid w:val="008A6D81"/>
    <w:rsid w:val="008A788D"/>
    <w:rsid w:val="008A797C"/>
    <w:rsid w:val="008B4C5F"/>
    <w:rsid w:val="008B5B6F"/>
    <w:rsid w:val="008B5BF7"/>
    <w:rsid w:val="008B66FD"/>
    <w:rsid w:val="008C59E4"/>
    <w:rsid w:val="008C79F0"/>
    <w:rsid w:val="008D17B1"/>
    <w:rsid w:val="008D38A8"/>
    <w:rsid w:val="008E065A"/>
    <w:rsid w:val="008E268C"/>
    <w:rsid w:val="008E45A1"/>
    <w:rsid w:val="008E7670"/>
    <w:rsid w:val="008F12EB"/>
    <w:rsid w:val="008F16D0"/>
    <w:rsid w:val="008F31E6"/>
    <w:rsid w:val="00903027"/>
    <w:rsid w:val="0090399B"/>
    <w:rsid w:val="00903A7A"/>
    <w:rsid w:val="009044AA"/>
    <w:rsid w:val="00906E3F"/>
    <w:rsid w:val="00910032"/>
    <w:rsid w:val="009169B6"/>
    <w:rsid w:val="00920222"/>
    <w:rsid w:val="00922090"/>
    <w:rsid w:val="00923E80"/>
    <w:rsid w:val="009272E4"/>
    <w:rsid w:val="009428C6"/>
    <w:rsid w:val="00944497"/>
    <w:rsid w:val="009445FE"/>
    <w:rsid w:val="009452CC"/>
    <w:rsid w:val="009466AF"/>
    <w:rsid w:val="009467E9"/>
    <w:rsid w:val="009469A7"/>
    <w:rsid w:val="00955A65"/>
    <w:rsid w:val="00955DCB"/>
    <w:rsid w:val="009652A9"/>
    <w:rsid w:val="00966BF8"/>
    <w:rsid w:val="009670C4"/>
    <w:rsid w:val="00973067"/>
    <w:rsid w:val="00974607"/>
    <w:rsid w:val="00976B33"/>
    <w:rsid w:val="009772A7"/>
    <w:rsid w:val="00980CEF"/>
    <w:rsid w:val="00984B0A"/>
    <w:rsid w:val="00992D71"/>
    <w:rsid w:val="00997809"/>
    <w:rsid w:val="009A02D9"/>
    <w:rsid w:val="009A18B7"/>
    <w:rsid w:val="009A4FFA"/>
    <w:rsid w:val="009A522B"/>
    <w:rsid w:val="009A7370"/>
    <w:rsid w:val="009B3BB6"/>
    <w:rsid w:val="009B563F"/>
    <w:rsid w:val="009C0035"/>
    <w:rsid w:val="009C258C"/>
    <w:rsid w:val="009C357C"/>
    <w:rsid w:val="009C67B3"/>
    <w:rsid w:val="009C70A2"/>
    <w:rsid w:val="009D03CC"/>
    <w:rsid w:val="009D0C60"/>
    <w:rsid w:val="009D3B92"/>
    <w:rsid w:val="009D43B3"/>
    <w:rsid w:val="009D49A4"/>
    <w:rsid w:val="009E35FB"/>
    <w:rsid w:val="009E42F6"/>
    <w:rsid w:val="009E48CF"/>
    <w:rsid w:val="009F4FAF"/>
    <w:rsid w:val="00A04336"/>
    <w:rsid w:val="00A043FE"/>
    <w:rsid w:val="00A0450F"/>
    <w:rsid w:val="00A11A22"/>
    <w:rsid w:val="00A16023"/>
    <w:rsid w:val="00A21826"/>
    <w:rsid w:val="00A227C5"/>
    <w:rsid w:val="00A247CA"/>
    <w:rsid w:val="00A265DD"/>
    <w:rsid w:val="00A268F8"/>
    <w:rsid w:val="00A3241E"/>
    <w:rsid w:val="00A36E06"/>
    <w:rsid w:val="00A37F6E"/>
    <w:rsid w:val="00A40A7A"/>
    <w:rsid w:val="00A47A70"/>
    <w:rsid w:val="00A501F1"/>
    <w:rsid w:val="00A53685"/>
    <w:rsid w:val="00A54EB2"/>
    <w:rsid w:val="00A56627"/>
    <w:rsid w:val="00A6190E"/>
    <w:rsid w:val="00A6427B"/>
    <w:rsid w:val="00A64578"/>
    <w:rsid w:val="00A657BD"/>
    <w:rsid w:val="00A66124"/>
    <w:rsid w:val="00A708E1"/>
    <w:rsid w:val="00A70D82"/>
    <w:rsid w:val="00A71838"/>
    <w:rsid w:val="00A80B9A"/>
    <w:rsid w:val="00A81D53"/>
    <w:rsid w:val="00A82D76"/>
    <w:rsid w:val="00A97BB6"/>
    <w:rsid w:val="00AA5652"/>
    <w:rsid w:val="00AA5859"/>
    <w:rsid w:val="00AA77FF"/>
    <w:rsid w:val="00AB06ED"/>
    <w:rsid w:val="00AB1ECA"/>
    <w:rsid w:val="00AB4547"/>
    <w:rsid w:val="00AB682E"/>
    <w:rsid w:val="00AB68CE"/>
    <w:rsid w:val="00AC1D5C"/>
    <w:rsid w:val="00AC3AE0"/>
    <w:rsid w:val="00AD27C6"/>
    <w:rsid w:val="00AD36F5"/>
    <w:rsid w:val="00AD7211"/>
    <w:rsid w:val="00AE524A"/>
    <w:rsid w:val="00AF1893"/>
    <w:rsid w:val="00AF2474"/>
    <w:rsid w:val="00AF4AA4"/>
    <w:rsid w:val="00AF7AF2"/>
    <w:rsid w:val="00B06486"/>
    <w:rsid w:val="00B077ED"/>
    <w:rsid w:val="00B07977"/>
    <w:rsid w:val="00B07ED2"/>
    <w:rsid w:val="00B118B8"/>
    <w:rsid w:val="00B11DB1"/>
    <w:rsid w:val="00B13A01"/>
    <w:rsid w:val="00B210E9"/>
    <w:rsid w:val="00B227D4"/>
    <w:rsid w:val="00B30C8C"/>
    <w:rsid w:val="00B315E9"/>
    <w:rsid w:val="00B34A06"/>
    <w:rsid w:val="00B34FA8"/>
    <w:rsid w:val="00B4013F"/>
    <w:rsid w:val="00B40317"/>
    <w:rsid w:val="00B40FE7"/>
    <w:rsid w:val="00B41F82"/>
    <w:rsid w:val="00B42158"/>
    <w:rsid w:val="00B429B2"/>
    <w:rsid w:val="00B458FF"/>
    <w:rsid w:val="00B50D36"/>
    <w:rsid w:val="00B52244"/>
    <w:rsid w:val="00B53705"/>
    <w:rsid w:val="00B53B9F"/>
    <w:rsid w:val="00B60AB8"/>
    <w:rsid w:val="00B63B58"/>
    <w:rsid w:val="00B64AB6"/>
    <w:rsid w:val="00B73C2F"/>
    <w:rsid w:val="00B76571"/>
    <w:rsid w:val="00B77B62"/>
    <w:rsid w:val="00B81E51"/>
    <w:rsid w:val="00B84C52"/>
    <w:rsid w:val="00B93DAE"/>
    <w:rsid w:val="00B944A0"/>
    <w:rsid w:val="00B9689A"/>
    <w:rsid w:val="00B96D4F"/>
    <w:rsid w:val="00B97ADB"/>
    <w:rsid w:val="00BA07FA"/>
    <w:rsid w:val="00BA0A23"/>
    <w:rsid w:val="00BA4670"/>
    <w:rsid w:val="00BB08B0"/>
    <w:rsid w:val="00BB344F"/>
    <w:rsid w:val="00BC1EF9"/>
    <w:rsid w:val="00BC2415"/>
    <w:rsid w:val="00BC2810"/>
    <w:rsid w:val="00BC5A47"/>
    <w:rsid w:val="00BC61DE"/>
    <w:rsid w:val="00BC6F2B"/>
    <w:rsid w:val="00BD5D2C"/>
    <w:rsid w:val="00BD6568"/>
    <w:rsid w:val="00BD7D65"/>
    <w:rsid w:val="00BE2005"/>
    <w:rsid w:val="00BE3876"/>
    <w:rsid w:val="00BE3CB3"/>
    <w:rsid w:val="00BE5222"/>
    <w:rsid w:val="00BF1F9A"/>
    <w:rsid w:val="00BF2E47"/>
    <w:rsid w:val="00BF608F"/>
    <w:rsid w:val="00BF6913"/>
    <w:rsid w:val="00BF7708"/>
    <w:rsid w:val="00C04B9F"/>
    <w:rsid w:val="00C06D9B"/>
    <w:rsid w:val="00C074B3"/>
    <w:rsid w:val="00C12336"/>
    <w:rsid w:val="00C12936"/>
    <w:rsid w:val="00C217EE"/>
    <w:rsid w:val="00C327A5"/>
    <w:rsid w:val="00C3372C"/>
    <w:rsid w:val="00C34521"/>
    <w:rsid w:val="00C3626A"/>
    <w:rsid w:val="00C37B39"/>
    <w:rsid w:val="00C40121"/>
    <w:rsid w:val="00C411DD"/>
    <w:rsid w:val="00C432E4"/>
    <w:rsid w:val="00C4475E"/>
    <w:rsid w:val="00C447C2"/>
    <w:rsid w:val="00C46365"/>
    <w:rsid w:val="00C5165C"/>
    <w:rsid w:val="00C518DF"/>
    <w:rsid w:val="00C5240A"/>
    <w:rsid w:val="00C53868"/>
    <w:rsid w:val="00C53986"/>
    <w:rsid w:val="00C55FF3"/>
    <w:rsid w:val="00C60FF0"/>
    <w:rsid w:val="00C62B46"/>
    <w:rsid w:val="00C66BC5"/>
    <w:rsid w:val="00C7034D"/>
    <w:rsid w:val="00C74030"/>
    <w:rsid w:val="00C75971"/>
    <w:rsid w:val="00C849B5"/>
    <w:rsid w:val="00C9017E"/>
    <w:rsid w:val="00C90D19"/>
    <w:rsid w:val="00C9237F"/>
    <w:rsid w:val="00C96CF0"/>
    <w:rsid w:val="00CA09A7"/>
    <w:rsid w:val="00CA2288"/>
    <w:rsid w:val="00CA5CD6"/>
    <w:rsid w:val="00CA6006"/>
    <w:rsid w:val="00CA6EFE"/>
    <w:rsid w:val="00CB0211"/>
    <w:rsid w:val="00CB1ED4"/>
    <w:rsid w:val="00CB35AB"/>
    <w:rsid w:val="00CB5ADE"/>
    <w:rsid w:val="00CC2B6B"/>
    <w:rsid w:val="00CC7AF1"/>
    <w:rsid w:val="00CD30D4"/>
    <w:rsid w:val="00CD33AF"/>
    <w:rsid w:val="00CD46BE"/>
    <w:rsid w:val="00CE206C"/>
    <w:rsid w:val="00CE342B"/>
    <w:rsid w:val="00CE44B3"/>
    <w:rsid w:val="00CE6711"/>
    <w:rsid w:val="00CF0FCF"/>
    <w:rsid w:val="00CF3B74"/>
    <w:rsid w:val="00CF52E2"/>
    <w:rsid w:val="00CF570E"/>
    <w:rsid w:val="00D04911"/>
    <w:rsid w:val="00D173EE"/>
    <w:rsid w:val="00D1785B"/>
    <w:rsid w:val="00D26569"/>
    <w:rsid w:val="00D26659"/>
    <w:rsid w:val="00D2695F"/>
    <w:rsid w:val="00D32E61"/>
    <w:rsid w:val="00D330C9"/>
    <w:rsid w:val="00D34534"/>
    <w:rsid w:val="00D3699A"/>
    <w:rsid w:val="00D37CA7"/>
    <w:rsid w:val="00D40FC3"/>
    <w:rsid w:val="00D43C6B"/>
    <w:rsid w:val="00D506B1"/>
    <w:rsid w:val="00D50979"/>
    <w:rsid w:val="00D50C25"/>
    <w:rsid w:val="00D520BA"/>
    <w:rsid w:val="00D558D2"/>
    <w:rsid w:val="00D55F30"/>
    <w:rsid w:val="00D5701F"/>
    <w:rsid w:val="00D57D95"/>
    <w:rsid w:val="00D60968"/>
    <w:rsid w:val="00D61735"/>
    <w:rsid w:val="00D6417D"/>
    <w:rsid w:val="00D70BEE"/>
    <w:rsid w:val="00D71B78"/>
    <w:rsid w:val="00D75794"/>
    <w:rsid w:val="00D770C8"/>
    <w:rsid w:val="00D828C9"/>
    <w:rsid w:val="00D8762E"/>
    <w:rsid w:val="00D900BF"/>
    <w:rsid w:val="00D93949"/>
    <w:rsid w:val="00D93D77"/>
    <w:rsid w:val="00DA0B37"/>
    <w:rsid w:val="00DA42D3"/>
    <w:rsid w:val="00DB229F"/>
    <w:rsid w:val="00DB2C96"/>
    <w:rsid w:val="00DB39EA"/>
    <w:rsid w:val="00DC1BC7"/>
    <w:rsid w:val="00DC369B"/>
    <w:rsid w:val="00DC42CE"/>
    <w:rsid w:val="00DC68BB"/>
    <w:rsid w:val="00DC7CA8"/>
    <w:rsid w:val="00DD14D4"/>
    <w:rsid w:val="00DD3ADC"/>
    <w:rsid w:val="00DD6195"/>
    <w:rsid w:val="00DD633D"/>
    <w:rsid w:val="00DD7DC4"/>
    <w:rsid w:val="00DE06FB"/>
    <w:rsid w:val="00DE1A97"/>
    <w:rsid w:val="00DE5EB7"/>
    <w:rsid w:val="00DE63E8"/>
    <w:rsid w:val="00DF11F9"/>
    <w:rsid w:val="00DF3562"/>
    <w:rsid w:val="00DF666F"/>
    <w:rsid w:val="00E00873"/>
    <w:rsid w:val="00E01BAF"/>
    <w:rsid w:val="00E02169"/>
    <w:rsid w:val="00E03F9C"/>
    <w:rsid w:val="00E05565"/>
    <w:rsid w:val="00E064EB"/>
    <w:rsid w:val="00E06E02"/>
    <w:rsid w:val="00E1271E"/>
    <w:rsid w:val="00E14146"/>
    <w:rsid w:val="00E14B56"/>
    <w:rsid w:val="00E1552D"/>
    <w:rsid w:val="00E15FC9"/>
    <w:rsid w:val="00E3175F"/>
    <w:rsid w:val="00E31A82"/>
    <w:rsid w:val="00E34B1D"/>
    <w:rsid w:val="00E43DAC"/>
    <w:rsid w:val="00E44B45"/>
    <w:rsid w:val="00E47823"/>
    <w:rsid w:val="00E505A5"/>
    <w:rsid w:val="00E51F2E"/>
    <w:rsid w:val="00E56F86"/>
    <w:rsid w:val="00E5755C"/>
    <w:rsid w:val="00E57B58"/>
    <w:rsid w:val="00E60F51"/>
    <w:rsid w:val="00E62449"/>
    <w:rsid w:val="00E64EBC"/>
    <w:rsid w:val="00E652EE"/>
    <w:rsid w:val="00E821B0"/>
    <w:rsid w:val="00E82FB4"/>
    <w:rsid w:val="00E84933"/>
    <w:rsid w:val="00EB43DB"/>
    <w:rsid w:val="00EB4A62"/>
    <w:rsid w:val="00EB4C62"/>
    <w:rsid w:val="00EB71E9"/>
    <w:rsid w:val="00EC160D"/>
    <w:rsid w:val="00EC2615"/>
    <w:rsid w:val="00EC3184"/>
    <w:rsid w:val="00EC34A2"/>
    <w:rsid w:val="00EC63C8"/>
    <w:rsid w:val="00EC7249"/>
    <w:rsid w:val="00ED0D5C"/>
    <w:rsid w:val="00ED5F48"/>
    <w:rsid w:val="00ED77C5"/>
    <w:rsid w:val="00EE4A94"/>
    <w:rsid w:val="00EF08E5"/>
    <w:rsid w:val="00EF1B58"/>
    <w:rsid w:val="00EF2E81"/>
    <w:rsid w:val="00EF7F25"/>
    <w:rsid w:val="00F005A6"/>
    <w:rsid w:val="00F00C5B"/>
    <w:rsid w:val="00F0324D"/>
    <w:rsid w:val="00F064ED"/>
    <w:rsid w:val="00F07797"/>
    <w:rsid w:val="00F10CC7"/>
    <w:rsid w:val="00F12B8C"/>
    <w:rsid w:val="00F1437A"/>
    <w:rsid w:val="00F23B60"/>
    <w:rsid w:val="00F268F9"/>
    <w:rsid w:val="00F26CAF"/>
    <w:rsid w:val="00F31E5C"/>
    <w:rsid w:val="00F32665"/>
    <w:rsid w:val="00F4065C"/>
    <w:rsid w:val="00F40BA9"/>
    <w:rsid w:val="00F41303"/>
    <w:rsid w:val="00F434E7"/>
    <w:rsid w:val="00F60224"/>
    <w:rsid w:val="00F60E22"/>
    <w:rsid w:val="00F61C5A"/>
    <w:rsid w:val="00F62099"/>
    <w:rsid w:val="00F65A8C"/>
    <w:rsid w:val="00F72D6B"/>
    <w:rsid w:val="00F73D95"/>
    <w:rsid w:val="00F74BE1"/>
    <w:rsid w:val="00F76433"/>
    <w:rsid w:val="00F8653E"/>
    <w:rsid w:val="00F871A4"/>
    <w:rsid w:val="00F90BA6"/>
    <w:rsid w:val="00FA0EC3"/>
    <w:rsid w:val="00FA297C"/>
    <w:rsid w:val="00FA2C0A"/>
    <w:rsid w:val="00FA4776"/>
    <w:rsid w:val="00FA4B5C"/>
    <w:rsid w:val="00FA7035"/>
    <w:rsid w:val="00FA7FC6"/>
    <w:rsid w:val="00FB37DA"/>
    <w:rsid w:val="00FB5D33"/>
    <w:rsid w:val="00FB7216"/>
    <w:rsid w:val="00FB7B3F"/>
    <w:rsid w:val="00FC0E1A"/>
    <w:rsid w:val="00FC1039"/>
    <w:rsid w:val="00FC47A6"/>
    <w:rsid w:val="00FC5340"/>
    <w:rsid w:val="00FD1249"/>
    <w:rsid w:val="00FD1970"/>
    <w:rsid w:val="00FD5BE2"/>
    <w:rsid w:val="00FE026F"/>
    <w:rsid w:val="00FE2209"/>
    <w:rsid w:val="00FE42A5"/>
    <w:rsid w:val="00FE7ECD"/>
    <w:rsid w:val="00FF0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890A0"/>
  <w15:chartTrackingRefBased/>
  <w15:docId w15:val="{40BA21CB-6492-442C-8D17-4AAB98155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D8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245D8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245D8A"/>
    <w:pPr>
      <w:outlineLvl w:val="1"/>
    </w:pPr>
    <w:rPr>
      <w:sz w:val="28"/>
    </w:rPr>
  </w:style>
  <w:style w:type="paragraph" w:styleId="Heading3">
    <w:name w:val="heading 3"/>
    <w:basedOn w:val="Normal"/>
    <w:next w:val="Normal"/>
    <w:link w:val="Heading3Char"/>
    <w:uiPriority w:val="9"/>
    <w:unhideWhenUsed/>
    <w:qFormat/>
    <w:rsid w:val="00245D8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245D8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245D8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245D8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245D8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245D8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245D8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8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245D8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245D8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245D8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245D8A"/>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245D8A"/>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245D8A"/>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245D8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45D8A"/>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245D8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245D8A"/>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245D8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245D8A"/>
    <w:pPr>
      <w:tabs>
        <w:tab w:val="center" w:pos="4320"/>
        <w:tab w:val="right" w:pos="8640"/>
      </w:tabs>
    </w:pPr>
  </w:style>
  <w:style w:type="character" w:customStyle="1" w:styleId="HeaderChar">
    <w:name w:val="Header Char"/>
    <w:basedOn w:val="DefaultParagraphFont"/>
    <w:link w:val="Header"/>
    <w:uiPriority w:val="99"/>
    <w:rsid w:val="00245D8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245D8A"/>
    <w:pPr>
      <w:tabs>
        <w:tab w:val="center" w:pos="4320"/>
        <w:tab w:val="right" w:pos="8640"/>
      </w:tabs>
    </w:pPr>
  </w:style>
  <w:style w:type="character" w:customStyle="1" w:styleId="FooterChar">
    <w:name w:val="Footer Char"/>
    <w:basedOn w:val="DefaultParagraphFont"/>
    <w:link w:val="Footer"/>
    <w:uiPriority w:val="99"/>
    <w:rsid w:val="00245D8A"/>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245D8A"/>
    <w:rPr>
      <w:noProof w:val="0"/>
    </w:rPr>
  </w:style>
  <w:style w:type="character" w:styleId="Hyperlink">
    <w:name w:val="Hyperlink"/>
    <w:basedOn w:val="DefaultParagraphFont"/>
    <w:uiPriority w:val="99"/>
    <w:unhideWhenUsed/>
    <w:rsid w:val="00245D8A"/>
    <w:rPr>
      <w:noProof w:val="0"/>
      <w:color w:val="467886" w:themeColor="hyperlink"/>
      <w:u w:val="single"/>
    </w:rPr>
  </w:style>
  <w:style w:type="paragraph" w:styleId="Revision">
    <w:name w:val="Revision"/>
    <w:hidden/>
    <w:uiPriority w:val="99"/>
    <w:semiHidden/>
    <w:rsid w:val="00245D8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245D8A"/>
    <w:pPr>
      <w:spacing w:after="120"/>
    </w:pPr>
    <w:rPr>
      <w:b/>
      <w:bCs/>
      <w:color w:val="FFFFFF"/>
      <w:sz w:val="32"/>
      <w:szCs w:val="32"/>
    </w:rPr>
  </w:style>
  <w:style w:type="paragraph" w:customStyle="1" w:styleId="Headline">
    <w:name w:val="Headline"/>
    <w:basedOn w:val="Normal"/>
    <w:next w:val="Normal"/>
    <w:link w:val="HeadlineChar"/>
    <w:qFormat/>
    <w:rsid w:val="00245D8A"/>
    <w:rPr>
      <w:rFonts w:ascii="Segoe UI Semilight" w:hAnsi="Segoe UI Semilight" w:cs="Segoe UI Semilight"/>
      <w:b/>
      <w:bCs/>
      <w:color w:val="FFFFFF"/>
      <w:sz w:val="40"/>
      <w:szCs w:val="40"/>
    </w:rPr>
  </w:style>
  <w:style w:type="paragraph" w:customStyle="1" w:styleId="ExhibitTitle">
    <w:name w:val="Exhibit Title"/>
    <w:basedOn w:val="Normal"/>
    <w:qFormat/>
    <w:rsid w:val="00245D8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245D8A"/>
    <w:pPr>
      <w:shd w:val="clear" w:color="auto" w:fill="D6E2FA"/>
      <w:spacing w:after="0"/>
    </w:pPr>
    <w:rPr>
      <w:color w:val="595959" w:themeColor="text1" w:themeTint="A6"/>
      <w:sz w:val="18"/>
    </w:rPr>
  </w:style>
  <w:style w:type="paragraph" w:customStyle="1" w:styleId="ExhibitSource">
    <w:name w:val="Exhibit Source"/>
    <w:next w:val="Normal"/>
    <w:qFormat/>
    <w:rsid w:val="00245D8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245D8A"/>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245D8A"/>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245D8A"/>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245D8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245D8A"/>
    <w:rPr>
      <w:rFonts w:ascii="Segoe UI" w:hAnsi="Segoe UI" w:cs="Segoe UI"/>
      <w:noProof w:val="0"/>
      <w:color w:val="000000" w:themeColor="text1"/>
    </w:rPr>
  </w:style>
  <w:style w:type="paragraph" w:customStyle="1" w:styleId="Summary">
    <w:name w:val="Summary"/>
    <w:basedOn w:val="Normal"/>
    <w:link w:val="SummaryChar"/>
    <w:qFormat/>
    <w:rsid w:val="00245D8A"/>
    <w:pPr>
      <w:numPr>
        <w:numId w:val="1"/>
      </w:numPr>
      <w:ind w:left="1797" w:hanging="357"/>
    </w:pPr>
    <w:rPr>
      <w:kern w:val="2"/>
      <w:sz w:val="22"/>
      <w14:ligatures w14:val="standardContextual"/>
    </w:rPr>
  </w:style>
  <w:style w:type="paragraph" w:customStyle="1" w:styleId="TableData">
    <w:name w:val="Table Data"/>
    <w:link w:val="TableDataChar"/>
    <w:qFormat/>
    <w:rsid w:val="00245D8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245D8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245D8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245D8A"/>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245D8A"/>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245D8A"/>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245D8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245D8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245D8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245D8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245D8A"/>
    <w:rPr>
      <w:color w:val="003469"/>
    </w:rPr>
  </w:style>
  <w:style w:type="character" w:customStyle="1" w:styleId="RepeatingFooterChar">
    <w:name w:val="Repeating Footer Char"/>
    <w:basedOn w:val="FooterChar"/>
    <w:link w:val="RepeatingFooter"/>
    <w:rsid w:val="00245D8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245D8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245D8A"/>
    <w:rPr>
      <w:b/>
      <w:bCs/>
      <w:noProof w:val="0"/>
    </w:rPr>
  </w:style>
  <w:style w:type="character" w:customStyle="1" w:styleId="Italics">
    <w:name w:val="Italics"/>
    <w:uiPriority w:val="1"/>
    <w:qFormat/>
    <w:rsid w:val="00245D8A"/>
    <w:rPr>
      <w:i/>
      <w:iCs/>
      <w:noProof w:val="0"/>
    </w:rPr>
  </w:style>
  <w:style w:type="table" w:customStyle="1" w:styleId="TableGridHeader">
    <w:name w:val="Table Grid Header"/>
    <w:basedOn w:val="TableNormal"/>
    <w:uiPriority w:val="99"/>
    <w:rsid w:val="00245D8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hyperlink" Target="https://www.bankofengland.co.uk/-/media/boe/files/working-paper/2018/business-investment-cost-of-capital-and-uncertainty-in-the-uk-evidence-from-firm-level-analysis.pdf" TargetMode="External"/><Relationship Id="rId3" Type="http://schemas.openxmlformats.org/officeDocument/2006/relationships/settings" Target="settings.xml"/><Relationship Id="rId21" Type="http://schemas.openxmlformats.org/officeDocument/2006/relationships/image" Target="media/image10.sv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www.bankofengland.co.uk/financial-stability-report/2025/july-2025" TargetMode="External"/><Relationship Id="rId25" Type="http://schemas.openxmlformats.org/officeDocument/2006/relationships/hyperlink" Target="https://my.oxfordeconomics.com/reports/548E9cC7d0AF438695eAa9" TargetMode="External"/><Relationship Id="rId2" Type="http://schemas.openxmlformats.org/officeDocument/2006/relationships/styles" Target="styles.xml"/><Relationship Id="rId16" Type="http://schemas.openxmlformats.org/officeDocument/2006/relationships/image" Target="media/image6.sv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my.oxfordeconomics.com/reports/8512Dd98595F43E480dB85"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sv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sv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hyperlink" Target="https://www.bankofengland.co.uk/markets/market-intelligence/survey-results/2025/market-participants-survey-results-june-2025" TargetMode="Externa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2C4883-579D-4F0A-AB11-7EDCBF6D9563}"/>
      </w:docPartPr>
      <w:docPartBody>
        <w:p w:rsidR="00B90E78" w:rsidRDefault="00BF5DCB">
          <w:r w:rsidRPr="00B55DC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DCB"/>
    <w:rsid w:val="00060027"/>
    <w:rsid w:val="000919AB"/>
    <w:rsid w:val="00166F6D"/>
    <w:rsid w:val="00316E09"/>
    <w:rsid w:val="00325B23"/>
    <w:rsid w:val="00350A7F"/>
    <w:rsid w:val="004B3051"/>
    <w:rsid w:val="0072327C"/>
    <w:rsid w:val="008F5F4F"/>
    <w:rsid w:val="00923E80"/>
    <w:rsid w:val="009467E9"/>
    <w:rsid w:val="009A66C6"/>
    <w:rsid w:val="00A36E06"/>
    <w:rsid w:val="00A66124"/>
    <w:rsid w:val="00B90E78"/>
    <w:rsid w:val="00BD7796"/>
    <w:rsid w:val="00BF5DCB"/>
    <w:rsid w:val="00CB5ADE"/>
    <w:rsid w:val="00D330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1662</Words>
  <Characters>8914</Characters>
  <Application>Microsoft Office Word</Application>
  <DocSecurity>0</DocSecurity>
  <Lines>120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17</cp:revision>
  <dcterms:created xsi:type="dcterms:W3CDTF">2025-07-22T11:33:00Z</dcterms:created>
  <dcterms:modified xsi:type="dcterms:W3CDTF">2025-07-22T12:19:00Z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2025-07-22T12:06:29.000Z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Themes:corporate debt,interest rates,housing,monetary policy</vt:lpwstr>
  </property>
  <property fmtid="{D5CDD505-2E9C-101B-9397-08002B2CF9AE}" pid="16" name="OEP_KEY_THEMES">
    <vt:lpwstr>corporate debt,interest rates,housing</vt:lpwstr>
  </property>
  <property fmtid="{D5CDD505-2E9C-101B-9397-08002B2CF9AE}" pid="17" name="GrammarlyDocumentId">
    <vt:lpwstr>db4ba3f1-6e79-4947-b128-722faca6141b</vt:lpwstr>
  </property>
  <property fmtid="{D5CDD505-2E9C-101B-9397-08002B2CF9AE}" pid="18" name="OEP_DATA_FILEPATH">
    <vt:lpwstr>Z:\UK Team\UK Research Briefing\20250722 RB UK Interest rates.xlsx</vt:lpwstr>
  </property>
  <property fmtid="{D5CDD505-2E9C-101B-9397-08002B2CF9AE}" pid="19" name="OEP_PRODUCT_CODE">
    <vt:lpwstr>652A5da6c83C44668d6800</vt:lpwstr>
  </property>
  <property fmtid="{D5CDD505-2E9C-101B-9397-08002B2CF9AE}" pid="20" name="OEP_PUBLISH_DATE">
    <vt:lpwstr/>
  </property>
</Properties>
</file>