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64BCA" w14:textId="5DE07115" w:rsidR="002B538A" w:rsidRDefault="00E807F4" w:rsidP="000D031F">
      <w:pPr>
        <w:pStyle w:val="Bullet"/>
      </w:pPr>
      <w:r>
        <w:t xml:space="preserve">We expect the Bank of England's Monetary Policy </w:t>
      </w:r>
      <w:r w:rsidR="00DD4F12">
        <w:t>Committee to cut Bank Rate by 25bps at next week's meeting</w:t>
      </w:r>
      <w:r w:rsidR="000D031F">
        <w:t>.</w:t>
      </w:r>
      <w:r w:rsidR="00F53EED">
        <w:t xml:space="preserve"> </w:t>
      </w:r>
      <w:r w:rsidR="002B538A">
        <w:t>The committee remains divided on how quickly policy should be loosened</w:t>
      </w:r>
      <w:r w:rsidR="00992BEB">
        <w:t xml:space="preserve">, and the vote split is likely to reflect this. We </w:t>
      </w:r>
      <w:r w:rsidR="00C008A8">
        <w:t xml:space="preserve">suspect Swati Dhingra and Alan Taylor </w:t>
      </w:r>
      <w:r w:rsidR="00997955">
        <w:t>will</w:t>
      </w:r>
      <w:r w:rsidR="00656575">
        <w:t xml:space="preserve"> vote for a larger cut, </w:t>
      </w:r>
      <w:r w:rsidR="00997955">
        <w:t>whereas</w:t>
      </w:r>
      <w:r w:rsidR="00656575">
        <w:t xml:space="preserve"> Huw Pill and Catherine Mann </w:t>
      </w:r>
      <w:r w:rsidR="0008311A">
        <w:t xml:space="preserve">will likely </w:t>
      </w:r>
      <w:r w:rsidR="00656575">
        <w:t>vote to keep Bank Rate unchanged.</w:t>
      </w:r>
    </w:p>
    <w:p w14:paraId="7B7DAF82" w14:textId="065F1B02" w:rsidR="000D031F" w:rsidRDefault="00C820C6" w:rsidP="000D031F">
      <w:pPr>
        <w:pStyle w:val="Bullet"/>
      </w:pPr>
      <w:r>
        <w:t xml:space="preserve">Recent data </w:t>
      </w:r>
      <w:r w:rsidR="00926AEE">
        <w:t xml:space="preserve">suggest </w:t>
      </w:r>
      <w:r w:rsidR="001C21DA">
        <w:t xml:space="preserve">labour market conditions are loosening only gradually in response to </w:t>
      </w:r>
      <w:r w:rsidR="00B023FD">
        <w:t xml:space="preserve">sluggish growth and </w:t>
      </w:r>
      <w:r w:rsidR="001C21DA">
        <w:t>April's increase</w:t>
      </w:r>
      <w:r w:rsidR="00B023FD">
        <w:t>s</w:t>
      </w:r>
      <w:r w:rsidR="001C21DA">
        <w:t xml:space="preserve"> in </w:t>
      </w:r>
      <w:r w:rsidR="00D44722">
        <w:t>employers' national insurance contributions and the national minimum wage.</w:t>
      </w:r>
      <w:r w:rsidR="00D918EC">
        <w:t xml:space="preserve"> </w:t>
      </w:r>
      <w:r w:rsidR="00B023FD">
        <w:t>T</w:t>
      </w:r>
      <w:r w:rsidR="00D918EC">
        <w:t>his</w:t>
      </w:r>
      <w:r w:rsidR="00B023FD">
        <w:t xml:space="preserve"> should</w:t>
      </w:r>
      <w:r w:rsidR="00D918EC">
        <w:t xml:space="preserve"> reduce </w:t>
      </w:r>
      <w:r w:rsidR="00CD4937">
        <w:t xml:space="preserve">some of </w:t>
      </w:r>
      <w:r w:rsidR="00D918EC">
        <w:t>the urgency</w:t>
      </w:r>
      <w:r w:rsidR="00C13242">
        <w:t xml:space="preserve"> of the situation</w:t>
      </w:r>
      <w:r w:rsidR="00D918EC">
        <w:t xml:space="preserve"> </w:t>
      </w:r>
      <w:r w:rsidR="00C56CC0">
        <w:t xml:space="preserve">for </w:t>
      </w:r>
      <w:r w:rsidR="00CD4937">
        <w:t xml:space="preserve">the </w:t>
      </w:r>
      <w:r w:rsidR="00B023FD">
        <w:t>MPC's</w:t>
      </w:r>
      <w:r w:rsidR="00CD4937">
        <w:t xml:space="preserve"> key swing voters</w:t>
      </w:r>
      <w:r w:rsidR="00E513A9">
        <w:t>, some of whom</w:t>
      </w:r>
      <w:r w:rsidR="00CD4937">
        <w:t xml:space="preserve"> </w:t>
      </w:r>
      <w:r w:rsidR="005210D5">
        <w:t>previously appeared</w:t>
      </w:r>
      <w:r w:rsidR="00CA426D">
        <w:t xml:space="preserve"> close to </w:t>
      </w:r>
      <w:r w:rsidR="005210D5">
        <w:t xml:space="preserve">supporting </w:t>
      </w:r>
      <w:r w:rsidR="00541CA4">
        <w:t>a faster pace of cuts</w:t>
      </w:r>
      <w:r w:rsidR="007440D7">
        <w:t>.</w:t>
      </w:r>
    </w:p>
    <w:p w14:paraId="29590D64" w14:textId="134BC4AC" w:rsidR="000D031F" w:rsidRDefault="00DC0A5D" w:rsidP="000D031F">
      <w:pPr>
        <w:pStyle w:val="Bullet"/>
      </w:pPr>
      <w:r>
        <w:t>The MPC will likely revise up its near-term inflation forecast</w:t>
      </w:r>
      <w:r w:rsidR="00663DDD">
        <w:t>,</w:t>
      </w:r>
      <w:r w:rsidR="00C57D9B">
        <w:t xml:space="preserve"> due to </w:t>
      </w:r>
      <w:r w:rsidR="00695AB9">
        <w:t xml:space="preserve">upside surprises in the </w:t>
      </w:r>
      <w:r w:rsidR="00280D9B">
        <w:t>services</w:t>
      </w:r>
      <w:r w:rsidR="00695AB9">
        <w:t xml:space="preserve"> category and </w:t>
      </w:r>
      <w:r w:rsidR="00C57D9B">
        <w:t xml:space="preserve">higher energy and oil </w:t>
      </w:r>
      <w:r w:rsidR="00B023FD">
        <w:t xml:space="preserve">futures </w:t>
      </w:r>
      <w:r w:rsidR="00C57D9B">
        <w:t>prices</w:t>
      </w:r>
      <w:r w:rsidR="0011620F">
        <w:t>.</w:t>
      </w:r>
      <w:r w:rsidR="00B84AE3">
        <w:t xml:space="preserve"> But </w:t>
      </w:r>
      <w:r w:rsidR="00E911DA">
        <w:t xml:space="preserve">we expect the MPC will forecast </w:t>
      </w:r>
      <w:r w:rsidR="00B95DB4">
        <w:t xml:space="preserve">inflation </w:t>
      </w:r>
      <w:r w:rsidR="00D22D80">
        <w:t xml:space="preserve">very close to </w:t>
      </w:r>
      <w:r w:rsidR="00655A82">
        <w:t xml:space="preserve">its target two </w:t>
      </w:r>
      <w:r w:rsidR="00D22D80">
        <w:t xml:space="preserve">and three </w:t>
      </w:r>
      <w:r w:rsidR="00655A82">
        <w:t xml:space="preserve">years out. This would </w:t>
      </w:r>
      <w:r w:rsidR="0005324C">
        <w:t xml:space="preserve">send a message that </w:t>
      </w:r>
      <w:r w:rsidR="00A22CA5">
        <w:t xml:space="preserve">the MPC expects to continue to loosen policy </w:t>
      </w:r>
      <w:r w:rsidR="00B023FD">
        <w:t>steadily</w:t>
      </w:r>
      <w:r w:rsidR="00A22CA5">
        <w:t xml:space="preserve"> </w:t>
      </w:r>
      <w:r w:rsidR="006F761E">
        <w:t xml:space="preserve">over the rest </w:t>
      </w:r>
      <w:r w:rsidR="00820119">
        <w:t>of this year and into next.</w:t>
      </w:r>
      <w:r w:rsidR="00B95DB4">
        <w:t xml:space="preserve"> </w:t>
      </w:r>
      <w:r w:rsidR="00D17D91">
        <w:t xml:space="preserve"> </w:t>
      </w:r>
      <w:r w:rsidR="00524B7B">
        <w:t xml:space="preserve"> </w:t>
      </w:r>
    </w:p>
    <w:p w14:paraId="6F8D557A" w14:textId="62230186" w:rsidR="001467A7" w:rsidRDefault="0039111C" w:rsidP="006B6BDD">
      <w:r>
        <w:t>The Bank of England's Monetary Policy Committee</w:t>
      </w:r>
      <w:r w:rsidR="00CF10EB">
        <w:t xml:space="preserve"> has </w:t>
      </w:r>
      <w:r w:rsidR="00063EA0">
        <w:t xml:space="preserve">voted to lower Bank Rate at alternate meetings since its rate-cutting cycle began last summer. </w:t>
      </w:r>
      <w:r w:rsidR="00E94DE7">
        <w:t xml:space="preserve">After a pause at the June meeting, </w:t>
      </w:r>
      <w:r w:rsidR="003512F9">
        <w:t xml:space="preserve">we </w:t>
      </w:r>
      <w:r w:rsidR="006A42B5">
        <w:t xml:space="preserve">think </w:t>
      </w:r>
      <w:r w:rsidR="00022C57">
        <w:t xml:space="preserve">a </w:t>
      </w:r>
      <w:r w:rsidR="003512F9">
        <w:t xml:space="preserve">25bp </w:t>
      </w:r>
      <w:r w:rsidR="00610025">
        <w:t xml:space="preserve">cut </w:t>
      </w:r>
      <w:r w:rsidR="003C3A3A">
        <w:t>in August</w:t>
      </w:r>
      <w:r w:rsidR="00610025">
        <w:t xml:space="preserve"> is </w:t>
      </w:r>
      <w:r w:rsidR="007B1640">
        <w:t>almost</w:t>
      </w:r>
      <w:r w:rsidR="00610025">
        <w:t xml:space="preserve"> guaranteed</w:t>
      </w:r>
      <w:r w:rsidR="00302212">
        <w:t xml:space="preserve">. </w:t>
      </w:r>
      <w:r w:rsidR="000E2C67">
        <w:t xml:space="preserve">Financial markets agree, pricing </w:t>
      </w:r>
      <w:r w:rsidR="00810B2F">
        <w:t xml:space="preserve">in </w:t>
      </w:r>
      <w:r w:rsidR="000E2C67">
        <w:t xml:space="preserve">a </w:t>
      </w:r>
      <w:r w:rsidR="00FB2E24">
        <w:t>93</w:t>
      </w:r>
      <w:r w:rsidR="000E2C67">
        <w:t xml:space="preserve">% chance </w:t>
      </w:r>
      <w:r w:rsidR="009F1602">
        <w:t xml:space="preserve">of a 25bp </w:t>
      </w:r>
      <w:r w:rsidR="00FB2E24">
        <w:t>cut</w:t>
      </w:r>
      <w:r w:rsidR="009F1602">
        <w:t xml:space="preserve"> </w:t>
      </w:r>
      <w:r w:rsidR="00477F94">
        <w:t>next week.</w:t>
      </w:r>
      <w:r w:rsidR="001467A7">
        <w:t xml:space="preserve"> </w:t>
      </w:r>
      <w:r w:rsidR="00AA0263">
        <w:t xml:space="preserve">From our perspective, </w:t>
      </w:r>
      <w:r w:rsidR="00F00ECC">
        <w:t xml:space="preserve">the more important </w:t>
      </w:r>
      <w:r w:rsidR="00F30506">
        <w:t xml:space="preserve">issue is the MPC's signalling about where we go from </w:t>
      </w:r>
      <w:r w:rsidR="005734E9">
        <w:t>there</w:t>
      </w:r>
      <w:r w:rsidR="00F30506">
        <w:t xml:space="preserve">. </w:t>
      </w:r>
    </w:p>
    <w:p w14:paraId="60CAB492" w14:textId="5CC18097" w:rsidR="006B6BDD" w:rsidRDefault="00CD5944" w:rsidP="006B6BDD">
      <w:r>
        <w:t>T</w:t>
      </w:r>
      <w:r w:rsidR="002A1C78">
        <w:t xml:space="preserve">he decision to keep Bank Rate unchanged at the </w:t>
      </w:r>
      <w:hyperlink r:id="rId7" w:history="1">
        <w:r w:rsidR="002A1C78" w:rsidRPr="00CD0F1C">
          <w:rPr>
            <w:rStyle w:val="Hyperlink"/>
          </w:rPr>
          <w:t>June meeting</w:t>
        </w:r>
      </w:hyperlink>
      <w:r w:rsidR="005825D3">
        <w:t xml:space="preserve"> was widely </w:t>
      </w:r>
      <w:r w:rsidR="000D1302" w:rsidRPr="000D1302">
        <w:t>anticipated</w:t>
      </w:r>
      <w:r w:rsidR="005825D3">
        <w:t xml:space="preserve">, </w:t>
      </w:r>
      <w:r>
        <w:t xml:space="preserve">but </w:t>
      </w:r>
      <w:r w:rsidR="005825D3">
        <w:t xml:space="preserve">the </w:t>
      </w:r>
      <w:r w:rsidR="00410DCD">
        <w:t xml:space="preserve">6-3 </w:t>
      </w:r>
      <w:r w:rsidR="00B51C8F">
        <w:t xml:space="preserve">vote split and </w:t>
      </w:r>
      <w:r w:rsidR="002A1C78">
        <w:t xml:space="preserve">tone of the minutes </w:t>
      </w:r>
      <w:r w:rsidR="00B51C8F">
        <w:t>w</w:t>
      </w:r>
      <w:r w:rsidR="000D1302">
        <w:t>ere</w:t>
      </w:r>
      <w:r w:rsidR="00B51C8F">
        <w:t xml:space="preserve"> more dovish than </w:t>
      </w:r>
      <w:r w:rsidR="000D1302" w:rsidRPr="000D1302">
        <w:t>expected</w:t>
      </w:r>
      <w:r w:rsidR="00410DCD">
        <w:t xml:space="preserve">, with </w:t>
      </w:r>
      <w:r w:rsidR="00E04055">
        <w:t xml:space="preserve">most MPC members </w:t>
      </w:r>
      <w:r w:rsidR="00A767DC">
        <w:t xml:space="preserve">appearing to have greater conviction </w:t>
      </w:r>
      <w:r w:rsidR="00A80C5F">
        <w:t xml:space="preserve">that </w:t>
      </w:r>
      <w:r w:rsidR="001240C5">
        <w:t xml:space="preserve">slack was opening up in the </w:t>
      </w:r>
      <w:r w:rsidR="00096DE8">
        <w:t>jobs</w:t>
      </w:r>
      <w:r w:rsidR="001240C5">
        <w:t xml:space="preserve"> market.</w:t>
      </w:r>
      <w:r w:rsidR="004206DF">
        <w:t xml:space="preserve"> The main cause of this dovish tilt </w:t>
      </w:r>
      <w:r w:rsidR="00B13A46">
        <w:t xml:space="preserve">was </w:t>
      </w:r>
      <w:r w:rsidR="004F1167">
        <w:t xml:space="preserve">concern </w:t>
      </w:r>
      <w:r w:rsidR="002C4B6B">
        <w:t xml:space="preserve">around the pace at which labour market conditions were loosening </w:t>
      </w:r>
      <w:r w:rsidR="002C4B6B" w:rsidRPr="002C4B6B">
        <w:t>in response to</w:t>
      </w:r>
      <w:r w:rsidR="00EA307D">
        <w:t xml:space="preserve"> </w:t>
      </w:r>
      <w:r w:rsidR="00FF7264">
        <w:t>soft</w:t>
      </w:r>
      <w:r w:rsidR="00EA307D">
        <w:t xml:space="preserve"> growth and</w:t>
      </w:r>
      <w:r w:rsidR="002C4B6B" w:rsidRPr="002C4B6B">
        <w:t xml:space="preserve"> April's increase</w:t>
      </w:r>
      <w:r w:rsidR="00EA307D">
        <w:t>s</w:t>
      </w:r>
      <w:r w:rsidR="002C4B6B" w:rsidRPr="002C4B6B">
        <w:t xml:space="preserve"> in employers' national insurance contributions</w:t>
      </w:r>
      <w:r w:rsidR="00EA307D">
        <w:t xml:space="preserve"> and the minimum wage</w:t>
      </w:r>
      <w:r w:rsidR="002C4B6B" w:rsidRPr="002C4B6B">
        <w:t>.</w:t>
      </w:r>
      <w:r w:rsidR="00113CAD">
        <w:t xml:space="preserve"> </w:t>
      </w:r>
      <w:r w:rsidR="00113CAD" w:rsidRPr="00113CAD">
        <w:t>A 109</w:t>
      </w:r>
      <w:r w:rsidR="001B0505">
        <w:t>,000</w:t>
      </w:r>
      <w:r w:rsidR="00113CAD" w:rsidRPr="00113CAD">
        <w:t xml:space="preserve"> </w:t>
      </w:r>
      <w:r w:rsidR="00DB0C98">
        <w:t>m/m</w:t>
      </w:r>
      <w:r w:rsidR="00113CAD" w:rsidRPr="00113CAD">
        <w:t xml:space="preserve"> fall in HMRC's </w:t>
      </w:r>
      <w:r w:rsidR="00FF7264">
        <w:t>measure of payrolled employees</w:t>
      </w:r>
      <w:r w:rsidR="00113CAD" w:rsidRPr="00113CAD">
        <w:t xml:space="preserve"> in May was the main trigger for these worries.</w:t>
      </w:r>
      <w:r w:rsidR="00C0386C">
        <w:t xml:space="preserve"> However, that drop was </w:t>
      </w:r>
      <w:r w:rsidR="00DF1EC9">
        <w:t>later</w:t>
      </w:r>
      <w:r w:rsidR="00327E9A">
        <w:t xml:space="preserve"> </w:t>
      </w:r>
      <w:r w:rsidR="00C0386C">
        <w:t>revised down to just 25k</w:t>
      </w:r>
      <w:r w:rsidR="00192C54">
        <w:t>.</w:t>
      </w:r>
      <w:r w:rsidR="00327E9A">
        <w:t xml:space="preserve"> </w:t>
      </w:r>
      <w:r w:rsidR="00192C54">
        <w:t>A</w:t>
      </w:r>
      <w:r w:rsidR="00160E18">
        <w:t>nd</w:t>
      </w:r>
      <w:r w:rsidR="001B0505">
        <w:t xml:space="preserve"> the first </w:t>
      </w:r>
      <w:r w:rsidR="001B0505" w:rsidRPr="001B0505">
        <w:t>estimate for June reported a 41</w:t>
      </w:r>
      <w:r w:rsidR="001B0505">
        <w:t>,000</w:t>
      </w:r>
      <w:r w:rsidR="001B0505" w:rsidRPr="001B0505">
        <w:t xml:space="preserve"> fall,</w:t>
      </w:r>
      <w:r w:rsidR="00AD6235">
        <w:t xml:space="preserve"> which was</w:t>
      </w:r>
      <w:r w:rsidR="001B0505" w:rsidRPr="001B0505">
        <w:t xml:space="preserve"> at the lower end of the range of provisional outturns for job losses seen in recent months.</w:t>
      </w:r>
      <w:r w:rsidR="001B0505">
        <w:t xml:space="preserve"> </w:t>
      </w:r>
      <w:r w:rsidR="00327E9A">
        <w:t>(</w:t>
      </w:r>
      <w:r w:rsidR="00DF229F" w:rsidRPr="00E21E40">
        <w:rPr>
          <w:b/>
          <w:color w:val="003469"/>
        </w:rPr>
        <w:fldChar w:fldCharType="begin"/>
      </w:r>
      <w:r w:rsidR="00E21E40" w:rsidRPr="00E21E40">
        <w:rPr>
          <w:b/>
          <w:color w:val="003469"/>
        </w:rPr>
        <w:instrText xml:space="preserve">REF _Ref204347070 \h \* Charformat </w:instrText>
      </w:r>
      <w:r w:rsidR="00E21E40" w:rsidRPr="00E21E40">
        <w:rPr>
          <w:b/>
          <w:color w:val="003469"/>
        </w:rPr>
      </w:r>
      <w:r w:rsidR="00DF229F" w:rsidRPr="00E21E40">
        <w:rPr>
          <w:b/>
          <w:color w:val="003469"/>
        </w:rPr>
        <w:fldChar w:fldCharType="separate"/>
      </w:r>
      <w:r w:rsidR="00E21E40" w:rsidRPr="00E21E40">
        <w:rPr>
          <w:b/>
          <w:color w:val="003469"/>
        </w:rPr>
        <w:t>Chart 1</w:t>
      </w:r>
      <w:r w:rsidR="00DF229F" w:rsidRPr="00E21E40">
        <w:rPr>
          <w:b/>
          <w:color w:val="003469"/>
        </w:rPr>
        <w:fldChar w:fldCharType="end"/>
      </w:r>
      <w:r w:rsidR="00327E9A">
        <w:t>).</w:t>
      </w:r>
    </w:p>
    <w:p w14:paraId="4CE84F94" w14:textId="1765AD7E" w:rsidR="000D031F" w:rsidRDefault="000D031F" w:rsidP="006B6BDD">
      <w:pPr>
        <w:pStyle w:val="ExhibitTitle"/>
        <w:jc w:val="center"/>
      </w:pPr>
      <w:bookmarkStart w:id="0" w:name="_Ref204347070"/>
      <w:r>
        <w:t xml:space="preserve">Chart </w:t>
      </w:r>
      <w:r>
        <w:fldChar w:fldCharType="begin"/>
      </w:r>
      <w:r w:rsidR="00DF229F">
        <w:instrText>SEQ CHART</w:instrText>
      </w:r>
      <w:r>
        <w:fldChar w:fldCharType="separate"/>
      </w:r>
      <w:r w:rsidR="0095639E">
        <w:rPr>
          <w:noProof/>
        </w:rPr>
        <w:t>1</w:t>
      </w:r>
      <w:r>
        <w:fldChar w:fldCharType="end"/>
      </w:r>
      <w:bookmarkEnd w:id="0"/>
      <w:r>
        <w:t xml:space="preserve">: </w:t>
      </w:r>
      <w:r w:rsidR="00787B14">
        <w:t>May's large fall in payrolled employees was revised much lower in the latest release</w:t>
      </w:r>
    </w:p>
    <w:p w14:paraId="1043AA1F" w14:textId="1658F19B" w:rsidR="006B6BDD" w:rsidRDefault="006B6BDD" w:rsidP="006B6BDD">
      <w:pPr>
        <w:spacing w:after="0"/>
        <w:jc w:val="center"/>
        <w:rPr>
          <w:noProof/>
        </w:rPr>
      </w:pPr>
      <w:r>
        <w:rPr>
          <w:noProof/>
        </w:rPr>
        <w:drawing>
          <wp:inline distT="0" distB="0" distL="0" distR="0" wp14:anchorId="6D398D37" wp14:editId="2C62EC20">
            <wp:extent cx="4006964" cy="3162836"/>
            <wp:effectExtent l="0" t="0" r="0" b="0"/>
            <wp:docPr id="183850565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05657" name=""/>
                    <pic:cNvPicPr/>
                  </pic:nvPicPr>
                  <pic:blipFill>
                    <a:blip r:embed="rId8">
                      <a:extLst>
                        <a:ext uri="{96DAC541-7B7A-43D3-8B79-37D633B846F1}">
                          <asvg:svgBlip xmlns:asvg="http://schemas.microsoft.com/office/drawing/2016/SVG/main" r:embed="rId9"/>
                        </a:ext>
                      </a:extLst>
                    </a:blip>
                    <a:srcRect b="1258"/>
                    <a:stretch>
                      <a:fillRect/>
                    </a:stretch>
                  </pic:blipFill>
                  <pic:spPr>
                    <a:xfrm>
                      <a:off x="0" y="0"/>
                      <a:ext cx="4006964" cy="3162836"/>
                    </a:xfrm>
                    <a:prstGeom prst="rect">
                      <a:avLst/>
                    </a:prstGeom>
                  </pic:spPr>
                </pic:pic>
              </a:graphicData>
            </a:graphic>
          </wp:inline>
        </w:drawing>
      </w:r>
    </w:p>
    <w:p w14:paraId="18193D92" w14:textId="3742D136" w:rsidR="000D031F" w:rsidRDefault="006B6BDD" w:rsidP="006B6BDD">
      <w:pPr>
        <w:pStyle w:val="ExhibitSource"/>
        <w:jc w:val="center"/>
      </w:pPr>
      <w:r>
        <w:t>Source: Oxford Economics calculations using data from</w:t>
      </w:r>
      <w:r w:rsidR="001703D1">
        <w:t xml:space="preserve"> the</w:t>
      </w:r>
      <w:r>
        <w:t xml:space="preserve"> O</w:t>
      </w:r>
      <w:r w:rsidR="00997955">
        <w:t xml:space="preserve">ffice for </w:t>
      </w:r>
      <w:r>
        <w:t>N</w:t>
      </w:r>
      <w:r w:rsidR="00997955">
        <w:t xml:space="preserve">ational </w:t>
      </w:r>
      <w:r>
        <w:t>S</w:t>
      </w:r>
      <w:r w:rsidR="00997955">
        <w:t>tatistics</w:t>
      </w:r>
    </w:p>
    <w:p w14:paraId="75398F2B" w14:textId="5EA26C15" w:rsidR="000D031F" w:rsidRDefault="000D031F" w:rsidP="000D031F">
      <w:pPr>
        <w:pStyle w:val="ExhibitSource"/>
        <w:jc w:val="center"/>
        <w:sectPr w:rsidR="000D031F" w:rsidSect="006B6BDD">
          <w:headerReference w:type="even" r:id="rId10"/>
          <w:headerReference w:type="default" r:id="rId11"/>
          <w:footerReference w:type="even" r:id="rId12"/>
          <w:footerReference w:type="default" r:id="rId13"/>
          <w:headerReference w:type="first" r:id="rId14"/>
          <w:footerReference w:type="first" r:id="rId15"/>
          <w:pgSz w:w="11906" w:h="16838"/>
          <w:pgMar w:top="2665" w:right="1276" w:bottom="838" w:left="1134" w:header="708" w:footer="300" w:gutter="0"/>
          <w:cols w:space="708"/>
          <w:titlePg/>
          <w:docGrid w:linePitch="360"/>
        </w:sectPr>
      </w:pPr>
    </w:p>
    <w:p w14:paraId="69D8AE81" w14:textId="38E8539A" w:rsidR="00D82556" w:rsidRDefault="00D82556" w:rsidP="00767DBD">
      <w:r>
        <w:lastRenderedPageBreak/>
        <w:t xml:space="preserve">In </w:t>
      </w:r>
      <w:hyperlink r:id="rId16" w:history="1">
        <w:r w:rsidRPr="00D82556">
          <w:rPr>
            <w:rStyle w:val="Hyperlink"/>
          </w:rPr>
          <w:t>June's minutes</w:t>
        </w:r>
      </w:hyperlink>
      <w:r>
        <w:t>, the MPC flagged that recent experience suggested the revisions to early vintages of the HMRC data could be large, and that May's outturn was particularly uncertain. But given the messaging from the committee's key swing voters has been that a more aggressive approach to loosening policy would only be warranted if they saw slack opening up in the economy much more quickly, we suspect the very large upward revision to May's outturn somewhat reduces the urgency of the situation for these committee members.</w:t>
      </w:r>
    </w:p>
    <w:p w14:paraId="320101BF" w14:textId="6B52E8FE" w:rsidR="00D82556" w:rsidRDefault="00441464" w:rsidP="00767DBD">
      <w:r>
        <w:t>Nevertheless, w</w:t>
      </w:r>
      <w:r w:rsidR="00094DEB">
        <w:t xml:space="preserve">e expect </w:t>
      </w:r>
      <w:r>
        <w:t>the MPC</w:t>
      </w:r>
      <w:r w:rsidR="00491ABF">
        <w:t xml:space="preserve"> </w:t>
      </w:r>
      <w:r w:rsidR="00514B17">
        <w:t>to</w:t>
      </w:r>
      <w:r w:rsidR="00491ABF">
        <w:t xml:space="preserve"> conclude that there's still plenty of evidence that labour market conditions are loosening</w:t>
      </w:r>
      <w:r w:rsidR="00BF612B">
        <w:t xml:space="preserve">. </w:t>
      </w:r>
      <w:r w:rsidR="00C97B8D">
        <w:t>Indeed, t</w:t>
      </w:r>
      <w:r w:rsidR="00A86D2C">
        <w:t xml:space="preserve">he Office for National Statistics reported </w:t>
      </w:r>
      <w:r w:rsidR="003A7EF5">
        <w:t xml:space="preserve">that vacancies fell further below their pre-pandemic </w:t>
      </w:r>
      <w:r w:rsidR="0035529E">
        <w:t>level in the three months to June</w:t>
      </w:r>
      <w:r w:rsidR="003920E9">
        <w:t>. Meanwhile,</w:t>
      </w:r>
      <w:r w:rsidR="008D5074">
        <w:t xml:space="preserve"> </w:t>
      </w:r>
      <w:r w:rsidR="00451FBF">
        <w:t xml:space="preserve">measures of employment growth from the </w:t>
      </w:r>
      <w:hyperlink r:id="rId17" w:history="1">
        <w:r w:rsidR="00451FBF" w:rsidRPr="0030274C">
          <w:rPr>
            <w:rStyle w:val="Hyperlink"/>
          </w:rPr>
          <w:t>BoE's Decision Maker Panel</w:t>
        </w:r>
      </w:hyperlink>
      <w:r w:rsidR="00451FBF">
        <w:t xml:space="preserve"> and the S&amp;P Global PMI survey have continued to weaken.</w:t>
      </w:r>
    </w:p>
    <w:p w14:paraId="7EEB2913" w14:textId="2D52CD31" w:rsidR="003F7E76" w:rsidRDefault="00232AAE" w:rsidP="00F9400A">
      <w:pPr>
        <w:pStyle w:val="Heading3"/>
      </w:pPr>
      <w:r>
        <w:t>Other</w:t>
      </w:r>
      <w:r w:rsidR="003F7E76">
        <w:t xml:space="preserve"> data ha</w:t>
      </w:r>
      <w:r w:rsidR="00997955">
        <w:t>ve provided</w:t>
      </w:r>
      <w:r w:rsidR="003F7E76">
        <w:t xml:space="preserve"> mixed message</w:t>
      </w:r>
      <w:r w:rsidR="00F97C6A">
        <w:t>s</w:t>
      </w:r>
      <w:r w:rsidR="003F7E76">
        <w:t xml:space="preserve"> on the inflation outlook</w:t>
      </w:r>
    </w:p>
    <w:p w14:paraId="534442CF" w14:textId="4189A8F5" w:rsidR="000D031F" w:rsidRDefault="00AB662B" w:rsidP="000D031F">
      <w:r>
        <w:t>There</w:t>
      </w:r>
      <w:r w:rsidR="00997955">
        <w:t>'s</w:t>
      </w:r>
      <w:r>
        <w:t xml:space="preserve"> been little news in data published since the June meeting. </w:t>
      </w:r>
      <w:r w:rsidR="006D258A">
        <w:t xml:space="preserve">And </w:t>
      </w:r>
      <w:r w:rsidR="009C15E1">
        <w:t>beyond the interesting developments</w:t>
      </w:r>
      <w:r w:rsidR="006D258A">
        <w:t xml:space="preserve"> in the jobs data</w:t>
      </w:r>
      <w:r w:rsidR="00714E63">
        <w:t>, what modest news we've had</w:t>
      </w:r>
      <w:r w:rsidR="00537DD9">
        <w:t xml:space="preserve"> elsewhere</w:t>
      </w:r>
      <w:r w:rsidR="00714E63">
        <w:t xml:space="preserve"> has been somewhat ambiguous </w:t>
      </w:r>
      <w:r w:rsidR="0058087D">
        <w:t xml:space="preserve">for the MPC. </w:t>
      </w:r>
      <w:r>
        <w:t>P</w:t>
      </w:r>
      <w:r w:rsidR="00C26EE0">
        <w:t xml:space="preserve">ay growth </w:t>
      </w:r>
      <w:r w:rsidR="00F32519">
        <w:t xml:space="preserve">has </w:t>
      </w:r>
      <w:r w:rsidR="00E54020">
        <w:t>continue</w:t>
      </w:r>
      <w:r w:rsidR="00F32519">
        <w:t>d</w:t>
      </w:r>
      <w:r w:rsidR="00E54020">
        <w:t xml:space="preserve"> to cool. </w:t>
      </w:r>
      <w:hyperlink r:id="rId18" w:history="1">
        <w:r w:rsidR="008C3A76" w:rsidRPr="00AE216E">
          <w:rPr>
            <w:rStyle w:val="Hyperlink"/>
          </w:rPr>
          <w:t>Private sector regular pay growth</w:t>
        </w:r>
      </w:hyperlink>
      <w:r w:rsidR="008C3A76">
        <w:t xml:space="preserve"> </w:t>
      </w:r>
      <w:r w:rsidR="008C3A76" w:rsidRPr="008C3A76">
        <w:t>–</w:t>
      </w:r>
      <w:r w:rsidR="008C3A76">
        <w:t xml:space="preserve"> the BoE's preferred measure</w:t>
      </w:r>
      <w:r w:rsidR="008C3A76" w:rsidRPr="008C3A76">
        <w:t xml:space="preserve"> –</w:t>
      </w:r>
      <w:r w:rsidR="008C3A76">
        <w:t xml:space="preserve"> </w:t>
      </w:r>
      <w:r w:rsidR="004475A6">
        <w:t xml:space="preserve">slipped below 5% in the three months to May </w:t>
      </w:r>
      <w:r w:rsidR="007D31D5">
        <w:t>and remains on track to undershoot the BoE's most recent staff forecast (</w:t>
      </w:r>
      <w:r w:rsidR="00FD7AC4" w:rsidRPr="00E21E40">
        <w:rPr>
          <w:b/>
          <w:color w:val="003469"/>
        </w:rPr>
        <w:fldChar w:fldCharType="begin"/>
      </w:r>
      <w:r w:rsidR="00E21E40" w:rsidRPr="00E21E40">
        <w:rPr>
          <w:b/>
          <w:color w:val="003469"/>
        </w:rPr>
        <w:instrText xml:space="preserve">REF _Ref204617614 \h \* Charformat </w:instrText>
      </w:r>
      <w:r w:rsidR="00E21E40" w:rsidRPr="00E21E40">
        <w:rPr>
          <w:b/>
          <w:color w:val="003469"/>
        </w:rPr>
      </w:r>
      <w:r w:rsidR="00FD7AC4" w:rsidRPr="00E21E40">
        <w:rPr>
          <w:b/>
          <w:color w:val="003469"/>
        </w:rPr>
        <w:fldChar w:fldCharType="separate"/>
      </w:r>
      <w:r w:rsidR="00E21E40" w:rsidRPr="00E21E40">
        <w:rPr>
          <w:b/>
          <w:color w:val="003469"/>
        </w:rPr>
        <w:t>Chart 2</w:t>
      </w:r>
      <w:r w:rsidR="00FD7AC4" w:rsidRPr="00E21E40">
        <w:rPr>
          <w:b/>
          <w:color w:val="003469"/>
        </w:rPr>
        <w:fldChar w:fldCharType="end"/>
      </w:r>
      <w:r w:rsidR="007D31D5">
        <w:t>).</w:t>
      </w:r>
    </w:p>
    <w:p w14:paraId="0F600999" w14:textId="3DCCF6A2" w:rsidR="000D031F" w:rsidRDefault="000D031F" w:rsidP="00F9400A">
      <w:pPr>
        <w:pStyle w:val="ExhibitTitle"/>
      </w:pPr>
      <w:bookmarkStart w:id="1" w:name="_Ref204617614"/>
      <w:r>
        <w:t xml:space="preserve">Chart </w:t>
      </w:r>
      <w:r>
        <w:fldChar w:fldCharType="begin"/>
      </w:r>
      <w:r w:rsidR="00930E8C">
        <w:instrText>SEQ CHART</w:instrText>
      </w:r>
      <w:r>
        <w:fldChar w:fldCharType="separate"/>
      </w:r>
      <w:r w:rsidR="0095639E">
        <w:rPr>
          <w:noProof/>
        </w:rPr>
        <w:t>2</w:t>
      </w:r>
      <w:r>
        <w:fldChar w:fldCharType="end"/>
      </w:r>
      <w:bookmarkEnd w:id="1"/>
      <w:r>
        <w:t xml:space="preserve">: </w:t>
      </w:r>
      <w:r w:rsidR="00027F43">
        <w:t xml:space="preserve">The MPC's </w:t>
      </w:r>
      <w:r w:rsidR="0099379F">
        <w:t>favoured measures of inflation persistence have sent mixed signals</w:t>
      </w:r>
    </w:p>
    <w:p w14:paraId="375B5E05" w14:textId="01EC5654" w:rsidR="00930E8C" w:rsidRDefault="00930E8C" w:rsidP="00F9400A">
      <w:pPr>
        <w:spacing w:after="0"/>
        <w:rPr>
          <w:noProof/>
        </w:rPr>
      </w:pPr>
      <w:r>
        <w:rPr>
          <w:noProof/>
        </w:rPr>
        <w:drawing>
          <wp:inline distT="0" distB="0" distL="0" distR="0" wp14:anchorId="62B87628" wp14:editId="02E77B2F">
            <wp:extent cx="3250933" cy="2537762"/>
            <wp:effectExtent l="0" t="0" r="6985" b="0"/>
            <wp:docPr id="9915571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57149" name=""/>
                    <pic:cNvPicPr/>
                  </pic:nvPicPr>
                  <pic:blipFill>
                    <a:blip r:embed="rId19">
                      <a:extLst>
                        <a:ext uri="{96DAC541-7B7A-43D3-8B79-37D633B846F1}">
                          <asvg:svgBlip xmlns:asvg="http://schemas.microsoft.com/office/drawing/2016/SVG/main" r:embed="rId20"/>
                        </a:ext>
                      </a:extLst>
                    </a:blip>
                    <a:srcRect b="2283"/>
                    <a:stretch>
                      <a:fillRect/>
                    </a:stretch>
                  </pic:blipFill>
                  <pic:spPr>
                    <a:xfrm>
                      <a:off x="0" y="0"/>
                      <a:ext cx="3250933" cy="2537762"/>
                    </a:xfrm>
                    <a:prstGeom prst="rect">
                      <a:avLst/>
                    </a:prstGeom>
                  </pic:spPr>
                </pic:pic>
              </a:graphicData>
            </a:graphic>
          </wp:inline>
        </w:drawing>
      </w:r>
    </w:p>
    <w:p w14:paraId="7AC36C3C" w14:textId="74669941" w:rsidR="000D031F" w:rsidRDefault="00930E8C" w:rsidP="00F9400A">
      <w:pPr>
        <w:pStyle w:val="ExhibitSource"/>
      </w:pPr>
      <w:r>
        <w:t>Source: Haver Analytics, Bank of England Monetary Policy Report</w:t>
      </w:r>
    </w:p>
    <w:p w14:paraId="4F9C936F" w14:textId="644FCF31" w:rsidR="004760E1" w:rsidRDefault="0044784B" w:rsidP="000D031F">
      <w:r>
        <w:t xml:space="preserve">The key question </w:t>
      </w:r>
      <w:r w:rsidR="00C63FBF">
        <w:t xml:space="preserve">for the MPC is whether this downward trajectory </w:t>
      </w:r>
      <w:r w:rsidR="002B2771">
        <w:t xml:space="preserve">for pay growth will continue. On </w:t>
      </w:r>
      <w:r w:rsidR="009A1E6A">
        <w:t>that</w:t>
      </w:r>
      <w:r w:rsidR="002B2771">
        <w:t xml:space="preserve"> front, t</w:t>
      </w:r>
      <w:r w:rsidR="002244CE" w:rsidRPr="002244CE">
        <w:t xml:space="preserve">he three-month-on-three-month annualised rate – a better guide to recent momentum in pay growth – dropped to 3.7% </w:t>
      </w:r>
      <w:r w:rsidR="00FB092A">
        <w:t xml:space="preserve">in the three months to </w:t>
      </w:r>
      <w:r w:rsidR="00997955">
        <w:t>M</w:t>
      </w:r>
      <w:r w:rsidR="00FB092A">
        <w:t>ay</w:t>
      </w:r>
      <w:r w:rsidR="002244CE" w:rsidRPr="002244CE">
        <w:t>. This suggests that pay settlements are getting closer to the pace the MPC considers to be consistent with achieving the inflation target over the medium</w:t>
      </w:r>
      <w:r w:rsidR="00AB60B2">
        <w:t xml:space="preserve"> </w:t>
      </w:r>
      <w:r w:rsidR="002244CE" w:rsidRPr="002244CE">
        <w:t>term.</w:t>
      </w:r>
      <w:r w:rsidR="00FB092A">
        <w:t xml:space="preserve"> </w:t>
      </w:r>
      <w:r w:rsidR="00211E84">
        <w:t>The latest outturns</w:t>
      </w:r>
      <w:r w:rsidR="004760E1">
        <w:t xml:space="preserve"> from the </w:t>
      </w:r>
      <w:r w:rsidR="00997955">
        <w:t xml:space="preserve">BoE's Decision Maker Panel </w:t>
      </w:r>
      <w:r w:rsidR="004760E1" w:rsidRPr="00AC42DD">
        <w:t>survey</w:t>
      </w:r>
      <w:r w:rsidR="00193645">
        <w:t xml:space="preserve">'s </w:t>
      </w:r>
      <w:r w:rsidR="0071672C">
        <w:t xml:space="preserve">measure of wage expectations </w:t>
      </w:r>
      <w:r w:rsidR="001D0958">
        <w:t xml:space="preserve">and recent </w:t>
      </w:r>
      <w:hyperlink r:id="rId21" w:history="1">
        <w:r w:rsidR="001D0958" w:rsidRPr="00832206">
          <w:rPr>
            <w:rStyle w:val="Hyperlink"/>
          </w:rPr>
          <w:t>comments from MPC members</w:t>
        </w:r>
      </w:hyperlink>
      <w:r w:rsidR="001D0958">
        <w:t xml:space="preserve"> on the BoE Agents' </w:t>
      </w:r>
      <w:r w:rsidR="0045367D">
        <w:t>annual pay survey have been consistent</w:t>
      </w:r>
      <w:r w:rsidR="00832206">
        <w:t xml:space="preserve"> with this message.</w:t>
      </w:r>
    </w:p>
    <w:p w14:paraId="6669757B" w14:textId="4D097D77" w:rsidR="009D5AFC" w:rsidRDefault="00652C1D" w:rsidP="000D031F">
      <w:r>
        <w:t xml:space="preserve">But </w:t>
      </w:r>
      <w:r w:rsidR="00DD3616">
        <w:t xml:space="preserve">other data is likely to reinforce </w:t>
      </w:r>
      <w:r w:rsidR="00B63009">
        <w:t>the concerns of some MPC members that</w:t>
      </w:r>
      <w:r w:rsidR="002603B8">
        <w:t xml:space="preserve"> recent</w:t>
      </w:r>
      <w:r w:rsidR="00B63009">
        <w:t xml:space="preserve"> </w:t>
      </w:r>
      <w:r w:rsidR="00FB22D9">
        <w:t xml:space="preserve">evidence of disinflationary pressure </w:t>
      </w:r>
      <w:r w:rsidR="00EC2DE6">
        <w:t>is</w:t>
      </w:r>
      <w:r w:rsidR="0072616F">
        <w:t xml:space="preserve"> </w:t>
      </w:r>
      <w:r w:rsidR="007E4944">
        <w:t xml:space="preserve">much </w:t>
      </w:r>
      <w:r w:rsidR="0072616F">
        <w:t xml:space="preserve">clearer </w:t>
      </w:r>
      <w:r w:rsidR="00FB22D9">
        <w:t xml:space="preserve">in the labour market </w:t>
      </w:r>
      <w:r w:rsidR="00445230">
        <w:t>than in domestic prices.</w:t>
      </w:r>
      <w:r w:rsidR="007E4944">
        <w:t xml:space="preserve"> </w:t>
      </w:r>
      <w:hyperlink r:id="rId22" w:history="1">
        <w:r w:rsidR="001507C1" w:rsidRPr="009742D0">
          <w:rPr>
            <w:rStyle w:val="Hyperlink"/>
          </w:rPr>
          <w:t>CPI inflation</w:t>
        </w:r>
      </w:hyperlink>
      <w:r w:rsidR="001507C1">
        <w:t xml:space="preserve"> </w:t>
      </w:r>
      <w:r w:rsidR="00A5195E">
        <w:t>rose 0.2ppts</w:t>
      </w:r>
      <w:r w:rsidR="007D5B4F">
        <w:t xml:space="preserve"> to </w:t>
      </w:r>
      <w:r w:rsidR="00A5195E">
        <w:t>3.6% in June</w:t>
      </w:r>
      <w:r w:rsidR="007D5B4F">
        <w:t>, which was</w:t>
      </w:r>
      <w:r w:rsidR="002A7F85">
        <w:t xml:space="preserve"> slightly</w:t>
      </w:r>
      <w:r w:rsidR="007D5B4F">
        <w:t xml:space="preserve"> above </w:t>
      </w:r>
      <w:r w:rsidR="007D37C9">
        <w:t xml:space="preserve">what </w:t>
      </w:r>
      <w:r w:rsidR="00E867C6">
        <w:t>the BoE</w:t>
      </w:r>
      <w:r w:rsidR="007D37C9">
        <w:t xml:space="preserve"> had expected. </w:t>
      </w:r>
      <w:r w:rsidR="00997955">
        <w:t>Although</w:t>
      </w:r>
      <w:r w:rsidR="007D37C9">
        <w:t xml:space="preserve"> some of the upside surprise was due to </w:t>
      </w:r>
      <w:r w:rsidR="00D43BD6">
        <w:t xml:space="preserve">movements in </w:t>
      </w:r>
      <w:r w:rsidR="007D37C9">
        <w:t xml:space="preserve">volatile </w:t>
      </w:r>
      <w:r w:rsidR="00D43BD6">
        <w:t xml:space="preserve">categories, </w:t>
      </w:r>
      <w:r w:rsidR="00904E51">
        <w:t>there was another strong reading for food price</w:t>
      </w:r>
      <w:r w:rsidR="005F3324">
        <w:t>s,</w:t>
      </w:r>
      <w:r w:rsidR="00904E51">
        <w:t xml:space="preserve"> which </w:t>
      </w:r>
      <w:r w:rsidR="002D41F4">
        <w:t xml:space="preserve">the MPC had flagged in </w:t>
      </w:r>
      <w:hyperlink r:id="rId23" w:history="1">
        <w:r w:rsidR="002D41F4" w:rsidRPr="008866BB">
          <w:rPr>
            <w:rStyle w:val="Hyperlink"/>
          </w:rPr>
          <w:t>June's minutes</w:t>
        </w:r>
      </w:hyperlink>
      <w:r w:rsidR="002D41F4">
        <w:t xml:space="preserve"> as </w:t>
      </w:r>
      <w:r w:rsidR="008866BB">
        <w:t xml:space="preserve">having </w:t>
      </w:r>
      <w:r w:rsidR="00301D8B">
        <w:t>the potential</w:t>
      </w:r>
      <w:r w:rsidR="00AF1D01">
        <w:t xml:space="preserve"> </w:t>
      </w:r>
      <w:r w:rsidR="00301D8B">
        <w:t>to</w:t>
      </w:r>
      <w:r w:rsidR="00AF1D01">
        <w:t xml:space="preserve"> lift inflation expectations </w:t>
      </w:r>
      <w:r w:rsidR="004119FD">
        <w:t>and generate greater persistence in price-setting.</w:t>
      </w:r>
      <w:r w:rsidR="00D11136">
        <w:t xml:space="preserve"> </w:t>
      </w:r>
      <w:r w:rsidR="006D0A4D">
        <w:t xml:space="preserve">Services </w:t>
      </w:r>
      <w:r w:rsidR="00757FDD">
        <w:t xml:space="preserve">inflation also came in </w:t>
      </w:r>
      <w:r w:rsidR="00116E88">
        <w:t>a little</w:t>
      </w:r>
      <w:r w:rsidR="00757FDD">
        <w:t xml:space="preserve"> higher than an</w:t>
      </w:r>
      <w:r w:rsidR="00DE3147">
        <w:t>ticipated</w:t>
      </w:r>
      <w:r w:rsidR="006E217D">
        <w:t>,</w:t>
      </w:r>
      <w:r w:rsidR="00DE3147">
        <w:t xml:space="preserve"> </w:t>
      </w:r>
      <w:r w:rsidR="00116E88">
        <w:t>and the</w:t>
      </w:r>
      <w:r w:rsidR="00144EBF">
        <w:t xml:space="preserve"> </w:t>
      </w:r>
      <w:r w:rsidR="0070263A">
        <w:t xml:space="preserve">steady </w:t>
      </w:r>
      <w:r w:rsidR="00144EBF">
        <w:t>downward trend in the</w:t>
      </w:r>
      <w:r w:rsidR="00116E88">
        <w:t xml:space="preserve"> BoE's preferred measure</w:t>
      </w:r>
      <w:r w:rsidR="00CD544E">
        <w:t xml:space="preserve"> of </w:t>
      </w:r>
      <w:r w:rsidR="00FB6EF6">
        <w:t>underlying</w:t>
      </w:r>
      <w:r w:rsidR="00CD544E">
        <w:t xml:space="preserve"> services inflation</w:t>
      </w:r>
      <w:r w:rsidR="00116E88">
        <w:t xml:space="preserve"> </w:t>
      </w:r>
      <w:r w:rsidR="00116E88" w:rsidRPr="002244CE">
        <w:t>–</w:t>
      </w:r>
      <w:r w:rsidR="00116E88" w:rsidRPr="00116E88">
        <w:t xml:space="preserve"> </w:t>
      </w:r>
      <w:r w:rsidR="00116E88">
        <w:t xml:space="preserve">which excludes some of the more volatile components </w:t>
      </w:r>
      <w:r w:rsidR="00116E88" w:rsidRPr="002244CE">
        <w:t>–</w:t>
      </w:r>
      <w:r w:rsidR="00116E88">
        <w:t xml:space="preserve"> </w:t>
      </w:r>
      <w:r w:rsidR="0070263A">
        <w:t xml:space="preserve">halted </w:t>
      </w:r>
      <w:r w:rsidR="00144EBF">
        <w:t>in June</w:t>
      </w:r>
      <w:r w:rsidR="0070263A">
        <w:t xml:space="preserve"> (</w:t>
      </w:r>
      <w:r w:rsidR="00FD7AC4" w:rsidRPr="00E21E40">
        <w:rPr>
          <w:b/>
          <w:color w:val="003469"/>
        </w:rPr>
        <w:fldChar w:fldCharType="begin"/>
      </w:r>
      <w:r w:rsidR="00E21E40" w:rsidRPr="00E21E40">
        <w:rPr>
          <w:b/>
          <w:color w:val="003469"/>
        </w:rPr>
        <w:instrText xml:space="preserve">REF _Ref204617614 \h \* Charformat </w:instrText>
      </w:r>
      <w:r w:rsidR="00E21E40" w:rsidRPr="00E21E40">
        <w:rPr>
          <w:b/>
          <w:color w:val="003469"/>
        </w:rPr>
      </w:r>
      <w:r w:rsidR="00FD7AC4" w:rsidRPr="00E21E40">
        <w:rPr>
          <w:b/>
          <w:color w:val="003469"/>
        </w:rPr>
        <w:fldChar w:fldCharType="separate"/>
      </w:r>
      <w:r w:rsidR="00E21E40" w:rsidRPr="00E21E40">
        <w:rPr>
          <w:b/>
          <w:color w:val="003469"/>
        </w:rPr>
        <w:t>Chart 2</w:t>
      </w:r>
      <w:r w:rsidR="00FD7AC4" w:rsidRPr="00E21E40">
        <w:rPr>
          <w:b/>
          <w:color w:val="003469"/>
        </w:rPr>
        <w:fldChar w:fldCharType="end"/>
      </w:r>
      <w:r w:rsidR="0070263A">
        <w:t>)</w:t>
      </w:r>
      <w:r w:rsidR="006A2BE6">
        <w:t>.</w:t>
      </w:r>
    </w:p>
    <w:p w14:paraId="4EF11C31" w14:textId="032094B6" w:rsidR="006828CF" w:rsidRDefault="00FE1BD9" w:rsidP="00F9400A">
      <w:pPr>
        <w:pStyle w:val="Heading3"/>
      </w:pPr>
      <w:r>
        <w:lastRenderedPageBreak/>
        <w:t xml:space="preserve">The </w:t>
      </w:r>
      <w:r w:rsidR="006828CF">
        <w:t xml:space="preserve">MPC </w:t>
      </w:r>
      <w:r w:rsidR="00FB20F3">
        <w:t>remains</w:t>
      </w:r>
      <w:r>
        <w:t xml:space="preserve"> divided</w:t>
      </w:r>
      <w:r w:rsidR="00FB20F3">
        <w:t>,</w:t>
      </w:r>
      <w:r>
        <w:t xml:space="preserve"> </w:t>
      </w:r>
      <w:r w:rsidR="00D141F7">
        <w:t>but</w:t>
      </w:r>
      <w:r w:rsidR="00F804BF">
        <w:t xml:space="preserve"> the majority</w:t>
      </w:r>
      <w:r>
        <w:t xml:space="preserve"> </w:t>
      </w:r>
      <w:r w:rsidR="003E7D16">
        <w:t xml:space="preserve">will </w:t>
      </w:r>
      <w:r w:rsidR="00922191">
        <w:t xml:space="preserve">likely signal that </w:t>
      </w:r>
      <w:r w:rsidR="00EE6402">
        <w:t xml:space="preserve">the </w:t>
      </w:r>
      <w:r w:rsidR="004A2064">
        <w:t>cut-hold tempo</w:t>
      </w:r>
      <w:r w:rsidR="00922191">
        <w:t xml:space="preserve"> </w:t>
      </w:r>
      <w:r w:rsidR="00EE6402">
        <w:t xml:space="preserve">of loosening </w:t>
      </w:r>
      <w:r w:rsidR="00FB20F3">
        <w:t>is still</w:t>
      </w:r>
      <w:r w:rsidR="00922191">
        <w:t xml:space="preserve"> appropriate</w:t>
      </w:r>
    </w:p>
    <w:p w14:paraId="1B682DD4" w14:textId="5FEA109C" w:rsidR="00753BC2" w:rsidRDefault="00B15BCF" w:rsidP="006828CF">
      <w:r>
        <w:t>Signs that the labour market is loosening only gradually, alongside mixed messages in other recent economic releases, paint a marginally more hawkish picture than was seen at the time of the June meeting.</w:t>
      </w:r>
      <w:r w:rsidR="00753BC2">
        <w:t xml:space="preserve"> </w:t>
      </w:r>
      <w:r w:rsidR="006D3748">
        <w:t xml:space="preserve">Given </w:t>
      </w:r>
      <w:r w:rsidR="00D16FE7">
        <w:t xml:space="preserve">that </w:t>
      </w:r>
      <w:r w:rsidR="006D3748">
        <w:t>public comments by MPC members since that meeting have been few and far between</w:t>
      </w:r>
      <w:r w:rsidR="00A92AC7">
        <w:t>,</w:t>
      </w:r>
      <w:r w:rsidR="008E74FD">
        <w:t xml:space="preserve"> and </w:t>
      </w:r>
      <w:r w:rsidR="00C96FB6">
        <w:t xml:space="preserve">that </w:t>
      </w:r>
      <w:r w:rsidR="008E74FD">
        <w:t>the MPC's recent messaging has been very inconsistent</w:t>
      </w:r>
      <w:r w:rsidR="006D3748">
        <w:t xml:space="preserve">, </w:t>
      </w:r>
      <w:r w:rsidR="00CD74AC">
        <w:t xml:space="preserve">it's difficult to know </w:t>
      </w:r>
      <w:r w:rsidR="00F306A2">
        <w:t>how</w:t>
      </w:r>
      <w:r w:rsidR="00D16FE7">
        <w:t xml:space="preserve"> recent data have impacted</w:t>
      </w:r>
      <w:r w:rsidR="00F306A2">
        <w:t xml:space="preserve"> the views of committee members.</w:t>
      </w:r>
    </w:p>
    <w:p w14:paraId="4FEC56E2" w14:textId="2FBE7891" w:rsidR="00B15BCF" w:rsidRDefault="005560FC" w:rsidP="006828CF">
      <w:r>
        <w:t>We suspect that</w:t>
      </w:r>
      <w:r w:rsidR="00BC1863">
        <w:t xml:space="preserve"> BoE Chief Economist Huw Pill and external member Catherine Mann </w:t>
      </w:r>
      <w:r>
        <w:t xml:space="preserve">will </w:t>
      </w:r>
      <w:r w:rsidR="00F23E3B">
        <w:t xml:space="preserve">vote to keep Bank Rate at 4.25% </w:t>
      </w:r>
      <w:r w:rsidR="001544F5">
        <w:t xml:space="preserve">at next week's meeting. </w:t>
      </w:r>
      <w:r w:rsidR="000741AB">
        <w:t xml:space="preserve">Pill characterised his vote for no change in May as a skip rather than a signal that he wanted to stop loosening entirely. </w:t>
      </w:r>
      <w:r w:rsidR="00CD5B7F">
        <w:t>G</w:t>
      </w:r>
      <w:r w:rsidR="001544F5">
        <w:t xml:space="preserve">iven policy was ultimately loosened at that meeting, we wouldn't be surprised </w:t>
      </w:r>
      <w:r w:rsidR="00852590">
        <w:t xml:space="preserve">if </w:t>
      </w:r>
      <w:r w:rsidR="000741AB">
        <w:t>either</w:t>
      </w:r>
      <w:r w:rsidR="00852590">
        <w:t xml:space="preserve"> member voted for another hold at the August meeting.</w:t>
      </w:r>
    </w:p>
    <w:p w14:paraId="7201E28F" w14:textId="24D0B097" w:rsidR="00852590" w:rsidRDefault="00852590" w:rsidP="006828CF">
      <w:r>
        <w:t xml:space="preserve">At the other end of the spectrum, </w:t>
      </w:r>
      <w:r w:rsidR="0089507A">
        <w:t>the three d</w:t>
      </w:r>
      <w:r w:rsidR="00DD2ED5">
        <w:t xml:space="preserve">issenters at the June meeting, </w:t>
      </w:r>
      <w:r w:rsidR="00ED475E">
        <w:t>Deputy Governor Dave Ramsden and external members Swati Dhingra and Alan Taylor</w:t>
      </w:r>
      <w:r w:rsidR="00DD2ED5">
        <w:t xml:space="preserve">, voted for a 25bp cut. </w:t>
      </w:r>
      <w:r w:rsidR="009071CA">
        <w:t>Dhingra and Taylor have</w:t>
      </w:r>
      <w:r w:rsidR="00D16FE7">
        <w:t xml:space="preserve"> both</w:t>
      </w:r>
      <w:r w:rsidR="009071CA">
        <w:t xml:space="preserve"> long </w:t>
      </w:r>
      <w:r w:rsidR="005E7C02">
        <w:t xml:space="preserve">been more dovish than the rest of the committee, </w:t>
      </w:r>
      <w:r w:rsidR="009071CA">
        <w:t>argu</w:t>
      </w:r>
      <w:r w:rsidR="005E7C02">
        <w:t>ing</w:t>
      </w:r>
      <w:r w:rsidR="009071CA">
        <w:t xml:space="preserve"> that </w:t>
      </w:r>
      <w:r w:rsidR="005A0D8F">
        <w:t xml:space="preserve">the weakness in demand </w:t>
      </w:r>
      <w:r w:rsidR="00463370">
        <w:t>risk</w:t>
      </w:r>
      <w:r w:rsidR="0076364B">
        <w:t>s</w:t>
      </w:r>
      <w:r w:rsidR="00463370">
        <w:t xml:space="preserve"> inflation undershooting the BoE's 2% target in the medium term</w:t>
      </w:r>
      <w:r w:rsidR="00C123AA">
        <w:t xml:space="preserve">. </w:t>
      </w:r>
      <w:r w:rsidR="00335940">
        <w:t xml:space="preserve">With Taylor having recently doubled down on this message in </w:t>
      </w:r>
      <w:r w:rsidR="00E00421">
        <w:t>a</w:t>
      </w:r>
      <w:r w:rsidR="00335940">
        <w:t xml:space="preserve"> </w:t>
      </w:r>
      <w:hyperlink r:id="rId24" w:history="1">
        <w:r w:rsidR="00335940" w:rsidRPr="00EC32D5">
          <w:rPr>
            <w:rStyle w:val="Hyperlink"/>
          </w:rPr>
          <w:t>speech</w:t>
        </w:r>
      </w:hyperlink>
      <w:r w:rsidR="00335940">
        <w:t xml:space="preserve"> at the London School of Economics</w:t>
      </w:r>
      <w:r w:rsidR="006C786A">
        <w:t xml:space="preserve"> and emphasised that Bank Rate is still well above neutral</w:t>
      </w:r>
      <w:r w:rsidR="00335940">
        <w:t>, w</w:t>
      </w:r>
      <w:r w:rsidR="00C123AA">
        <w:t xml:space="preserve">e think there's a good chance that </w:t>
      </w:r>
      <w:r w:rsidR="002E5C87">
        <w:t>Dhingra and Taylor</w:t>
      </w:r>
      <w:r w:rsidR="000A09C2">
        <w:t xml:space="preserve"> will</w:t>
      </w:r>
      <w:r w:rsidR="002E5C87">
        <w:t xml:space="preserve"> </w:t>
      </w:r>
      <w:r w:rsidR="00CA41A1">
        <w:t>vote for a 50bp</w:t>
      </w:r>
      <w:r w:rsidR="00E3344C">
        <w:t xml:space="preserve"> reduction next week.</w:t>
      </w:r>
    </w:p>
    <w:p w14:paraId="2BACE3CD" w14:textId="7007E928" w:rsidR="00361B2B" w:rsidRDefault="000662E9" w:rsidP="006828CF">
      <w:r>
        <w:t xml:space="preserve">We expect the remaining five committee members </w:t>
      </w:r>
      <w:r w:rsidR="00373944">
        <w:t>to</w:t>
      </w:r>
      <w:r w:rsidR="001F1689">
        <w:t xml:space="preserve"> </w:t>
      </w:r>
      <w:r w:rsidR="00921A86">
        <w:t>vote for</w:t>
      </w:r>
      <w:r w:rsidR="001F1689">
        <w:t xml:space="preserve"> </w:t>
      </w:r>
      <w:r w:rsidR="00775D54">
        <w:t>a 25bp cut at the August</w:t>
      </w:r>
      <w:r w:rsidR="00CF294D">
        <w:t xml:space="preserve"> meeting</w:t>
      </w:r>
      <w:r w:rsidR="0076013B">
        <w:t xml:space="preserve">, in line with </w:t>
      </w:r>
      <w:r w:rsidR="00DA2B90">
        <w:t>the cut-hold tempo that has been established over the past year</w:t>
      </w:r>
      <w:r w:rsidR="00214D07">
        <w:t xml:space="preserve">. </w:t>
      </w:r>
      <w:r w:rsidR="00B40C35">
        <w:t xml:space="preserve">Given </w:t>
      </w:r>
      <w:r w:rsidR="00C80905">
        <w:t xml:space="preserve">it </w:t>
      </w:r>
      <w:r w:rsidR="00ED5E4C">
        <w:t xml:space="preserve">is probably still too early to judge how </w:t>
      </w:r>
      <w:r w:rsidR="00641629">
        <w:t>large the</w:t>
      </w:r>
      <w:r w:rsidR="009E71EB">
        <w:t xml:space="preserve"> total</w:t>
      </w:r>
      <w:r w:rsidR="0089164C">
        <w:t xml:space="preserve"> impact </w:t>
      </w:r>
      <w:r w:rsidR="00641629">
        <w:t xml:space="preserve">of April's increases in </w:t>
      </w:r>
      <w:r w:rsidR="00B06B70" w:rsidRPr="00B06B70">
        <w:t xml:space="preserve">employers' </w:t>
      </w:r>
      <w:r w:rsidR="00B06B70">
        <w:t>NICs</w:t>
      </w:r>
      <w:r w:rsidR="00B06B70" w:rsidRPr="00B06B70">
        <w:t xml:space="preserve"> and the national living wage</w:t>
      </w:r>
      <w:r w:rsidR="00B06B70">
        <w:t xml:space="preserve"> will be</w:t>
      </w:r>
      <w:r w:rsidR="0016316D">
        <w:t xml:space="preserve">, and </w:t>
      </w:r>
      <w:r w:rsidR="009E71EB">
        <w:t xml:space="preserve">global uncertainty remains elevated, </w:t>
      </w:r>
      <w:r w:rsidR="00C338BA">
        <w:t xml:space="preserve">the tone of the BoE's communications </w:t>
      </w:r>
      <w:r w:rsidR="00262C83">
        <w:t xml:space="preserve">is likely to be relatively cautious. </w:t>
      </w:r>
      <w:r w:rsidR="005A03A3">
        <w:t xml:space="preserve">Beyond </w:t>
      </w:r>
      <w:r w:rsidR="00BC27AA">
        <w:t>highlighting the committee's deep divisions,</w:t>
      </w:r>
      <w:r w:rsidR="00262C83">
        <w:t xml:space="preserve"> we think</w:t>
      </w:r>
      <w:r w:rsidR="00BC27AA">
        <w:t xml:space="preserve"> the minutes are likely to emphasise that the </w:t>
      </w:r>
      <w:r w:rsidR="00F83360">
        <w:t>risks</w:t>
      </w:r>
      <w:r w:rsidR="00A270BB">
        <w:t xml:space="preserve"> </w:t>
      </w:r>
      <w:r w:rsidR="003965FD">
        <w:t xml:space="preserve">for inflation in the medium-term </w:t>
      </w:r>
      <w:r w:rsidR="00AC0002">
        <w:t xml:space="preserve">remain </w:t>
      </w:r>
      <w:r w:rsidR="00F83360">
        <w:t>two</w:t>
      </w:r>
      <w:r w:rsidR="00D03DD0">
        <w:t>-</w:t>
      </w:r>
      <w:r w:rsidR="00F83360">
        <w:t>sided</w:t>
      </w:r>
      <w:r w:rsidR="007D0D09">
        <w:t xml:space="preserve"> and </w:t>
      </w:r>
      <w:r w:rsidR="00FD76DD">
        <w:t>that</w:t>
      </w:r>
      <w:r w:rsidR="00B740F4">
        <w:t xml:space="preserve"> </w:t>
      </w:r>
      <w:r w:rsidR="00F27C5C">
        <w:t>the MPC's</w:t>
      </w:r>
      <w:r w:rsidR="007D0D09">
        <w:t xml:space="preserve"> "gradual and careful</w:t>
      </w:r>
      <w:r w:rsidR="00B740F4">
        <w:t xml:space="preserve"> </w:t>
      </w:r>
      <w:r w:rsidR="00F27C5C">
        <w:t xml:space="preserve">approach </w:t>
      </w:r>
      <w:r w:rsidR="002B236D" w:rsidRPr="002B236D">
        <w:t>to the further withdrawal of monetary policy restraint remain</w:t>
      </w:r>
      <w:r w:rsidR="000625C1">
        <w:t>s</w:t>
      </w:r>
      <w:r w:rsidR="002B236D" w:rsidRPr="002B236D">
        <w:t xml:space="preserve"> appropriate</w:t>
      </w:r>
      <w:r w:rsidR="002B236D">
        <w:t>"</w:t>
      </w:r>
      <w:r w:rsidR="002B236D" w:rsidRPr="002B236D">
        <w:t>.</w:t>
      </w:r>
    </w:p>
    <w:p w14:paraId="72246E83" w14:textId="45611AFD" w:rsidR="00C71210" w:rsidRDefault="00480DDE" w:rsidP="00F9400A">
      <w:pPr>
        <w:pStyle w:val="Heading3"/>
      </w:pPr>
      <w:r>
        <w:t>The MPC</w:t>
      </w:r>
      <w:r w:rsidR="00F2022E">
        <w:t xml:space="preserve"> will likely use its forecast to reinforce its gradualist message</w:t>
      </w:r>
    </w:p>
    <w:p w14:paraId="45592170" w14:textId="63501599" w:rsidR="00936510" w:rsidRDefault="007476EB" w:rsidP="006828CF">
      <w:r>
        <w:t>The MPC will present its updated forecasts at the August meeting</w:t>
      </w:r>
      <w:r w:rsidR="0030094F">
        <w:t>.</w:t>
      </w:r>
      <w:r w:rsidR="00B378BC">
        <w:t xml:space="preserve"> </w:t>
      </w:r>
      <w:r w:rsidR="0030094F">
        <w:t>T</w:t>
      </w:r>
      <w:r w:rsidR="00B378BC">
        <w:t xml:space="preserve">he movement in market </w:t>
      </w:r>
      <w:r w:rsidR="003C20F7">
        <w:t xml:space="preserve">pricing since the previous set of projections </w:t>
      </w:r>
      <w:r w:rsidR="004F50A8">
        <w:t>was</w:t>
      </w:r>
      <w:r w:rsidR="003C20F7">
        <w:t xml:space="preserve"> produced in May</w:t>
      </w:r>
      <w:r w:rsidR="0051667B">
        <w:t xml:space="preserve"> has been </w:t>
      </w:r>
      <w:r w:rsidR="00894341">
        <w:t xml:space="preserve">relatively </w:t>
      </w:r>
      <w:r w:rsidR="005B073F">
        <w:t>limited</w:t>
      </w:r>
      <w:r w:rsidR="0051667B">
        <w:t xml:space="preserve">. </w:t>
      </w:r>
      <w:r w:rsidR="00E31DD2">
        <w:t>Current m</w:t>
      </w:r>
      <w:r w:rsidR="00552280">
        <w:t xml:space="preserve">arket expectations </w:t>
      </w:r>
      <w:r w:rsidR="00673F33">
        <w:t xml:space="preserve">for Bank Rate are </w:t>
      </w:r>
      <w:r w:rsidR="001C07CD">
        <w:t>only</w:t>
      </w:r>
      <w:r w:rsidR="00673F33">
        <w:t xml:space="preserve"> 13bps higher than before the May </w:t>
      </w:r>
      <w:r w:rsidR="004F50A8">
        <w:t>Monetary Policy Report</w:t>
      </w:r>
      <w:r w:rsidR="00673F33">
        <w:t xml:space="preserve"> for the end of 2025</w:t>
      </w:r>
      <w:r w:rsidR="00CF2673">
        <w:t>. The difference further out is even smaller</w:t>
      </w:r>
      <w:r w:rsidR="005D4FF5">
        <w:t xml:space="preserve"> </w:t>
      </w:r>
      <w:r w:rsidR="006A5B8B">
        <w:t>(</w:t>
      </w:r>
      <w:r w:rsidR="00A365D7" w:rsidRPr="00E21E40">
        <w:rPr>
          <w:b/>
          <w:color w:val="003469"/>
        </w:rPr>
        <w:fldChar w:fldCharType="begin"/>
      </w:r>
      <w:r w:rsidR="00E21E40" w:rsidRPr="00E21E40">
        <w:rPr>
          <w:b/>
          <w:color w:val="003469"/>
        </w:rPr>
        <w:instrText xml:space="preserve">REF _Ref204704941 \h \* Charformat </w:instrText>
      </w:r>
      <w:r w:rsidR="00E21E40" w:rsidRPr="00E21E40">
        <w:rPr>
          <w:b/>
          <w:color w:val="003469"/>
        </w:rPr>
      </w:r>
      <w:r w:rsidR="00A365D7" w:rsidRPr="00E21E40">
        <w:rPr>
          <w:b/>
          <w:color w:val="003469"/>
        </w:rPr>
        <w:fldChar w:fldCharType="separate"/>
      </w:r>
      <w:r w:rsidR="00E21E40" w:rsidRPr="00E21E40">
        <w:rPr>
          <w:b/>
          <w:color w:val="003469"/>
        </w:rPr>
        <w:t>Chart 3</w:t>
      </w:r>
      <w:r w:rsidR="00A365D7" w:rsidRPr="00E21E40">
        <w:rPr>
          <w:b/>
          <w:color w:val="003469"/>
        </w:rPr>
        <w:fldChar w:fldCharType="end"/>
      </w:r>
      <w:r w:rsidR="006A5B8B">
        <w:t>).</w:t>
      </w:r>
    </w:p>
    <w:p w14:paraId="6FCD8551" w14:textId="633CABC9" w:rsidR="008707EF" w:rsidRDefault="008707EF" w:rsidP="00F9400A">
      <w:pPr>
        <w:pStyle w:val="ExhibitTitle"/>
      </w:pPr>
      <w:bookmarkStart w:id="2" w:name="_Ref204704941"/>
      <w:r>
        <w:t xml:space="preserve">Chart </w:t>
      </w:r>
      <w:r>
        <w:fldChar w:fldCharType="begin"/>
      </w:r>
      <w:r w:rsidR="0095639E">
        <w:instrText>SEQ CHART</w:instrText>
      </w:r>
      <w:r>
        <w:fldChar w:fldCharType="separate"/>
      </w:r>
      <w:r w:rsidR="0095639E">
        <w:rPr>
          <w:noProof/>
        </w:rPr>
        <w:t>3</w:t>
      </w:r>
      <w:r>
        <w:fldChar w:fldCharType="end"/>
      </w:r>
      <w:bookmarkEnd w:id="2"/>
      <w:r>
        <w:t xml:space="preserve">: </w:t>
      </w:r>
      <w:r w:rsidR="00AA3366">
        <w:t xml:space="preserve">Markets </w:t>
      </w:r>
      <w:r w:rsidR="006C0634">
        <w:t xml:space="preserve">have become slightly more hawkish </w:t>
      </w:r>
      <w:r w:rsidR="00440E85">
        <w:t>on</w:t>
      </w:r>
      <w:r w:rsidR="006C0634">
        <w:t xml:space="preserve"> the near</w:t>
      </w:r>
      <w:r w:rsidR="00440E85">
        <w:t xml:space="preserve"> </w:t>
      </w:r>
      <w:r w:rsidR="006C0634">
        <w:t>term since the MPC's last forecast</w:t>
      </w:r>
    </w:p>
    <w:p w14:paraId="12F996EE" w14:textId="3BF7F25D" w:rsidR="0095639E" w:rsidRDefault="0095639E" w:rsidP="00F9400A">
      <w:pPr>
        <w:spacing w:after="0"/>
        <w:rPr>
          <w:noProof/>
        </w:rPr>
      </w:pPr>
      <w:r>
        <w:rPr>
          <w:noProof/>
        </w:rPr>
        <w:drawing>
          <wp:inline distT="0" distB="0" distL="0" distR="0" wp14:anchorId="3219AD25" wp14:editId="53EDB66E">
            <wp:extent cx="3250933" cy="2552005"/>
            <wp:effectExtent l="0" t="0" r="6985" b="1270"/>
            <wp:docPr id="5968113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11375" name=""/>
                    <pic:cNvPicPr/>
                  </pic:nvPicPr>
                  <pic:blipFill>
                    <a:blip r:embed="rId25">
                      <a:extLst>
                        <a:ext uri="{96DAC541-7B7A-43D3-8B79-37D633B846F1}">
                          <asvg:svgBlip xmlns:asvg="http://schemas.microsoft.com/office/drawing/2016/SVG/main" r:embed="rId26"/>
                        </a:ext>
                      </a:extLst>
                    </a:blip>
                    <a:srcRect b="1799"/>
                    <a:stretch>
                      <a:fillRect/>
                    </a:stretch>
                  </pic:blipFill>
                  <pic:spPr>
                    <a:xfrm>
                      <a:off x="0" y="0"/>
                      <a:ext cx="3250933" cy="2552005"/>
                    </a:xfrm>
                    <a:prstGeom prst="rect">
                      <a:avLst/>
                    </a:prstGeom>
                  </pic:spPr>
                </pic:pic>
              </a:graphicData>
            </a:graphic>
          </wp:inline>
        </w:drawing>
      </w:r>
    </w:p>
    <w:p w14:paraId="2759B99B" w14:textId="46858022" w:rsidR="008707EF" w:rsidRDefault="0095639E" w:rsidP="00F9400A">
      <w:pPr>
        <w:pStyle w:val="ExhibitSource"/>
      </w:pPr>
      <w:r>
        <w:t>Source: Haver Analytics</w:t>
      </w:r>
    </w:p>
    <w:p w14:paraId="00E4B3BE" w14:textId="56523E39" w:rsidR="009F16F5" w:rsidRDefault="00EA0636" w:rsidP="00EA0636">
      <w:r>
        <w:t>In May, the MPC published a forecast where inflation was</w:t>
      </w:r>
      <w:r w:rsidR="001927D5">
        <w:t xml:space="preserve"> </w:t>
      </w:r>
      <w:r>
        <w:t>fractionally below 2% at the two-year horizon</w:t>
      </w:r>
      <w:r w:rsidR="0096685B">
        <w:t xml:space="preserve">. This signalled that </w:t>
      </w:r>
      <w:r>
        <w:t>policy</w:t>
      </w:r>
      <w:r w:rsidR="00A718AE">
        <w:t>makers</w:t>
      </w:r>
      <w:r w:rsidR="00F70A8E">
        <w:t xml:space="preserve"> </w:t>
      </w:r>
      <w:r w:rsidR="00AB43DD">
        <w:t>regarded</w:t>
      </w:r>
      <w:r w:rsidR="00F70A8E">
        <w:t xml:space="preserve"> </w:t>
      </w:r>
      <w:r w:rsidR="00D37FFB">
        <w:t xml:space="preserve">market </w:t>
      </w:r>
      <w:r w:rsidR="00AB43DD">
        <w:t xml:space="preserve">expectations for a quarterly pace of rate cuts as broadly </w:t>
      </w:r>
      <w:r w:rsidR="00AB43DD">
        <w:lastRenderedPageBreak/>
        <w:t>sensible.</w:t>
      </w:r>
      <w:r w:rsidR="009D408F">
        <w:t xml:space="preserve"> </w:t>
      </w:r>
      <w:r w:rsidR="003F3784">
        <w:t>With market pricing little changed from May, w</w:t>
      </w:r>
      <w:r w:rsidR="009F16F5">
        <w:t xml:space="preserve">e think </w:t>
      </w:r>
      <w:r w:rsidR="001B03AB">
        <w:t xml:space="preserve">the MPC is likely to reinforce its message that </w:t>
      </w:r>
      <w:r w:rsidR="00C32B11">
        <w:t xml:space="preserve">a </w:t>
      </w:r>
      <w:r w:rsidR="001B03AB">
        <w:t xml:space="preserve">quarterly </w:t>
      </w:r>
      <w:r w:rsidR="00C32B11">
        <w:t xml:space="preserve">pace of </w:t>
      </w:r>
      <w:r w:rsidR="001B03AB">
        <w:t xml:space="preserve">rate cuts remains appropriate </w:t>
      </w:r>
      <w:r w:rsidR="00597C15">
        <w:t>by keeping its medium</w:t>
      </w:r>
      <w:r w:rsidR="001768CA">
        <w:t xml:space="preserve">-term inflation forecast </w:t>
      </w:r>
      <w:r w:rsidR="00BD5F66">
        <w:t>around the 2% mark</w:t>
      </w:r>
      <w:r w:rsidR="009D408F">
        <w:t xml:space="preserve"> once more</w:t>
      </w:r>
      <w:r w:rsidR="00BD5F66">
        <w:t>.</w:t>
      </w:r>
    </w:p>
    <w:p w14:paraId="05A61144" w14:textId="42AFA212" w:rsidR="006828CF" w:rsidRDefault="00DE7545" w:rsidP="000D031F">
      <w:r>
        <w:t xml:space="preserve">There will be many moving parts </w:t>
      </w:r>
      <w:r w:rsidR="002A73EB">
        <w:t>to the MPC's forecast, but we expect the changes to be small</w:t>
      </w:r>
      <w:r w:rsidR="009F4CD8">
        <w:t>. With market pricing slightly higher in the near</w:t>
      </w:r>
      <w:r w:rsidR="00344374">
        <w:t xml:space="preserve"> </w:t>
      </w:r>
      <w:r w:rsidR="009F4CD8">
        <w:t>term</w:t>
      </w:r>
      <w:r w:rsidR="00234195">
        <w:t>, this will exert some</w:t>
      </w:r>
      <w:r w:rsidR="00765533">
        <w:t xml:space="preserve"> </w:t>
      </w:r>
      <w:r w:rsidR="00234195">
        <w:t>downward pressure</w:t>
      </w:r>
      <w:r w:rsidR="009E0A8C">
        <w:t xml:space="preserve"> on CPI inflation</w:t>
      </w:r>
      <w:r w:rsidR="00603B6B">
        <w:t xml:space="preserve">. </w:t>
      </w:r>
      <w:r w:rsidR="009E0A8C">
        <w:t>But</w:t>
      </w:r>
      <w:r w:rsidR="00916FE8">
        <w:t xml:space="preserve"> the impact of this </w:t>
      </w:r>
      <w:r w:rsidR="008463A5">
        <w:t>is likely to</w:t>
      </w:r>
      <w:r w:rsidR="00916FE8">
        <w:t xml:space="preserve"> be more than offset by </w:t>
      </w:r>
      <w:r w:rsidR="00CC20A0">
        <w:t>two key</w:t>
      </w:r>
      <w:r w:rsidR="00916FE8">
        <w:t xml:space="preserve"> factors. First, </w:t>
      </w:r>
      <w:r w:rsidR="00517C51">
        <w:t>April's</w:t>
      </w:r>
      <w:r w:rsidR="00EB1863">
        <w:t xml:space="preserve"> </w:t>
      </w:r>
      <w:r w:rsidR="00C34323">
        <w:t>once-a-year price hikes for indexed contracts and regulated prices</w:t>
      </w:r>
      <w:r w:rsidR="00780447">
        <w:t xml:space="preserve"> </w:t>
      </w:r>
      <w:hyperlink r:id="rId27" w:history="1">
        <w:r w:rsidR="00780447" w:rsidRPr="008463A5">
          <w:rPr>
            <w:rStyle w:val="Hyperlink"/>
          </w:rPr>
          <w:t xml:space="preserve">were </w:t>
        </w:r>
        <w:r w:rsidR="008463A5" w:rsidRPr="008463A5">
          <w:rPr>
            <w:rStyle w:val="Hyperlink"/>
          </w:rPr>
          <w:t xml:space="preserve">relatively </w:t>
        </w:r>
        <w:r w:rsidR="00780447" w:rsidRPr="008463A5">
          <w:rPr>
            <w:rStyle w:val="Hyperlink"/>
          </w:rPr>
          <w:t>large</w:t>
        </w:r>
      </w:hyperlink>
      <w:r w:rsidR="00780447">
        <w:t>.</w:t>
      </w:r>
      <w:r w:rsidR="00AB7FD2">
        <w:t xml:space="preserve"> </w:t>
      </w:r>
      <w:r w:rsidR="007A6538">
        <w:t xml:space="preserve">This </w:t>
      </w:r>
      <w:r w:rsidR="008A4B04">
        <w:t>will</w:t>
      </w:r>
      <w:r w:rsidR="008463A5">
        <w:t xml:space="preserve"> likely</w:t>
      </w:r>
      <w:r w:rsidR="008A4B04">
        <w:t xml:space="preserve"> </w:t>
      </w:r>
      <w:r w:rsidR="007A6538">
        <w:t xml:space="preserve">bake higher inflation </w:t>
      </w:r>
      <w:r w:rsidR="00780447">
        <w:t>in</w:t>
      </w:r>
      <w:r w:rsidR="007A6538">
        <w:t xml:space="preserve">to </w:t>
      </w:r>
      <w:r w:rsidR="008A4B04">
        <w:t xml:space="preserve">the BoE's forecast for </w:t>
      </w:r>
      <w:r w:rsidR="00FC17D6">
        <w:t xml:space="preserve">these </w:t>
      </w:r>
      <w:r w:rsidR="008463A5">
        <w:t>services</w:t>
      </w:r>
      <w:r w:rsidR="00A12F01">
        <w:t xml:space="preserve"> </w:t>
      </w:r>
      <w:r w:rsidR="008463A5">
        <w:t>sub-</w:t>
      </w:r>
      <w:r w:rsidR="00FC17D6">
        <w:t>categories for another year.</w:t>
      </w:r>
      <w:r w:rsidR="00F223FE">
        <w:t xml:space="preserve"> </w:t>
      </w:r>
      <w:r w:rsidR="00AB7FD2">
        <w:t>Second</w:t>
      </w:r>
      <w:r w:rsidR="00F223FE">
        <w:t xml:space="preserve">, </w:t>
      </w:r>
      <w:r w:rsidR="00601545">
        <w:t xml:space="preserve">gas, electricity, and oil </w:t>
      </w:r>
      <w:r w:rsidR="009E0A8C">
        <w:t xml:space="preserve">futures </w:t>
      </w:r>
      <w:r w:rsidR="00601545">
        <w:t xml:space="preserve">prices </w:t>
      </w:r>
      <w:r w:rsidR="00175E77">
        <w:t xml:space="preserve">have picked up </w:t>
      </w:r>
      <w:r w:rsidR="00E154A7">
        <w:t>slightly</w:t>
      </w:r>
      <w:r w:rsidR="00175E77">
        <w:t xml:space="preserve"> over the past three months</w:t>
      </w:r>
      <w:r w:rsidR="00B757F3">
        <w:t xml:space="preserve"> (</w:t>
      </w:r>
      <w:r w:rsidR="00A365D7" w:rsidRPr="00E21E40">
        <w:rPr>
          <w:b/>
          <w:color w:val="003469"/>
        </w:rPr>
        <w:fldChar w:fldCharType="begin"/>
      </w:r>
      <w:r w:rsidR="00E21E40" w:rsidRPr="00E21E40">
        <w:rPr>
          <w:b/>
          <w:color w:val="003469"/>
        </w:rPr>
        <w:instrText xml:space="preserve">REF _Ref204704942 \h \* Charformat </w:instrText>
      </w:r>
      <w:r w:rsidR="00E21E40" w:rsidRPr="00E21E40">
        <w:rPr>
          <w:b/>
          <w:color w:val="003469"/>
        </w:rPr>
      </w:r>
      <w:r w:rsidR="00A365D7" w:rsidRPr="00E21E40">
        <w:rPr>
          <w:b/>
          <w:color w:val="003469"/>
        </w:rPr>
        <w:fldChar w:fldCharType="separate"/>
      </w:r>
      <w:r w:rsidR="00E21E40" w:rsidRPr="00E21E40">
        <w:rPr>
          <w:b/>
          <w:color w:val="003469"/>
        </w:rPr>
        <w:t>Chart 4</w:t>
      </w:r>
      <w:r w:rsidR="00A365D7" w:rsidRPr="00E21E40">
        <w:rPr>
          <w:b/>
          <w:color w:val="003469"/>
        </w:rPr>
        <w:fldChar w:fldCharType="end"/>
      </w:r>
      <w:r w:rsidR="00B757F3">
        <w:t xml:space="preserve">). </w:t>
      </w:r>
      <w:r w:rsidR="00605333">
        <w:t xml:space="preserve">This should </w:t>
      </w:r>
      <w:r w:rsidR="00B37175">
        <w:t>raise</w:t>
      </w:r>
      <w:r w:rsidR="00605333">
        <w:t xml:space="preserve"> the BoE's near-term projections for </w:t>
      </w:r>
      <w:r w:rsidR="00A11119">
        <w:t>UK petrol and domestic energy prices.</w:t>
      </w:r>
      <w:r w:rsidR="002E409E">
        <w:t xml:space="preserve"> Therefore, </w:t>
      </w:r>
      <w:r w:rsidR="009B68E8">
        <w:t xml:space="preserve">we expect the MPC's inflation forecast to be </w:t>
      </w:r>
      <w:r w:rsidR="007D4A0E">
        <w:t xml:space="preserve">slightly </w:t>
      </w:r>
      <w:r w:rsidR="00327717">
        <w:t>higher in the near</w:t>
      </w:r>
      <w:r w:rsidR="00344374">
        <w:t xml:space="preserve"> </w:t>
      </w:r>
      <w:r w:rsidR="00327717">
        <w:t xml:space="preserve">term and </w:t>
      </w:r>
      <w:r w:rsidR="00980025">
        <w:t xml:space="preserve">remain </w:t>
      </w:r>
      <w:r w:rsidR="0004031E">
        <w:t xml:space="preserve">at, or </w:t>
      </w:r>
      <w:r w:rsidR="00980025">
        <w:t xml:space="preserve">be </w:t>
      </w:r>
      <w:r w:rsidR="0004031E">
        <w:t>marginally above, 2% at the two-year horizon.</w:t>
      </w:r>
    </w:p>
    <w:p w14:paraId="46F5D9DF" w14:textId="515DE2D1" w:rsidR="000D031F" w:rsidRDefault="000D031F" w:rsidP="00F9400A">
      <w:pPr>
        <w:pStyle w:val="ExhibitTitle"/>
      </w:pPr>
      <w:bookmarkStart w:id="3" w:name="_Ref204704942"/>
      <w:r>
        <w:t xml:space="preserve">Chart </w:t>
      </w:r>
      <w:r>
        <w:fldChar w:fldCharType="begin"/>
      </w:r>
      <w:r w:rsidR="0095639E">
        <w:instrText>SEQ CHART</w:instrText>
      </w:r>
      <w:r>
        <w:fldChar w:fldCharType="separate"/>
      </w:r>
      <w:r w:rsidR="0095639E">
        <w:rPr>
          <w:noProof/>
        </w:rPr>
        <w:t>4</w:t>
      </w:r>
      <w:r>
        <w:fldChar w:fldCharType="end"/>
      </w:r>
      <w:bookmarkEnd w:id="3"/>
      <w:r>
        <w:t xml:space="preserve">: </w:t>
      </w:r>
      <w:r w:rsidR="00551E70">
        <w:t>The MPC's new forecasts will assume slightly higher oil and gas prices</w:t>
      </w:r>
    </w:p>
    <w:p w14:paraId="5957B8B7" w14:textId="282B8F8B" w:rsidR="0095639E" w:rsidRDefault="0095639E" w:rsidP="00F9400A">
      <w:pPr>
        <w:spacing w:after="0"/>
        <w:rPr>
          <w:noProof/>
        </w:rPr>
      </w:pPr>
      <w:r>
        <w:rPr>
          <w:noProof/>
        </w:rPr>
        <w:drawing>
          <wp:inline distT="0" distB="0" distL="0" distR="0" wp14:anchorId="2A2E8F0E" wp14:editId="7D0BA54B">
            <wp:extent cx="3250933" cy="2541433"/>
            <wp:effectExtent l="0" t="0" r="6985" b="0"/>
            <wp:docPr id="122652905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29056" name=""/>
                    <pic:cNvPicPr/>
                  </pic:nvPicPr>
                  <pic:blipFill>
                    <a:blip r:embed="rId28">
                      <a:extLst>
                        <a:ext uri="{96DAC541-7B7A-43D3-8B79-37D633B846F1}">
                          <asvg:svgBlip xmlns:asvg="http://schemas.microsoft.com/office/drawing/2016/SVG/main" r:embed="rId29"/>
                        </a:ext>
                      </a:extLst>
                    </a:blip>
                    <a:srcRect b="2283"/>
                    <a:stretch>
                      <a:fillRect/>
                    </a:stretch>
                  </pic:blipFill>
                  <pic:spPr>
                    <a:xfrm>
                      <a:off x="0" y="0"/>
                      <a:ext cx="3250933" cy="2541433"/>
                    </a:xfrm>
                    <a:prstGeom prst="rect">
                      <a:avLst/>
                    </a:prstGeom>
                  </pic:spPr>
                </pic:pic>
              </a:graphicData>
            </a:graphic>
          </wp:inline>
        </w:drawing>
      </w:r>
    </w:p>
    <w:p w14:paraId="68929E81" w14:textId="3484236D" w:rsidR="000D031F" w:rsidRDefault="0095639E" w:rsidP="00F9400A">
      <w:pPr>
        <w:pStyle w:val="ExhibitSource"/>
      </w:pPr>
      <w:r>
        <w:t>Source: Haver Analytics</w:t>
      </w:r>
    </w:p>
    <w:p w14:paraId="429D9533" w14:textId="5A6A7EA4" w:rsidR="009620C9" w:rsidRDefault="00F53334" w:rsidP="000D031F">
      <w:r>
        <w:t>A slightly stronger-than-expected performance in Q1 mean</w:t>
      </w:r>
      <w:r w:rsidR="00E32977">
        <w:t>s</w:t>
      </w:r>
      <w:r>
        <w:t xml:space="preserve"> the MPC's GDP projection will start from a higher level. </w:t>
      </w:r>
      <w:r w:rsidR="003A4ECD">
        <w:t>But higher inflation will erode real wages and</w:t>
      </w:r>
      <w:r>
        <w:t xml:space="preserve">, hence, weigh on the </w:t>
      </w:r>
      <w:r w:rsidR="000D2024">
        <w:t xml:space="preserve">near-term </w:t>
      </w:r>
      <w:r>
        <w:t>growth outlook</w:t>
      </w:r>
      <w:r w:rsidR="00B414CD">
        <w:t xml:space="preserve">. </w:t>
      </w:r>
      <w:r w:rsidR="007E7AD6">
        <w:t>The new</w:t>
      </w:r>
      <w:r w:rsidR="00731E14">
        <w:t xml:space="preserve"> </w:t>
      </w:r>
      <w:r w:rsidR="00B414CD">
        <w:t xml:space="preserve">conditioning path for Bank Rate </w:t>
      </w:r>
      <w:r w:rsidR="00E32977">
        <w:t xml:space="preserve">will </w:t>
      </w:r>
      <w:r w:rsidR="00943DB3">
        <w:t>have a similar effect</w:t>
      </w:r>
      <w:r w:rsidR="00E32977">
        <w:t xml:space="preserve">. </w:t>
      </w:r>
      <w:r w:rsidR="0023384C">
        <w:t xml:space="preserve">Therefore, we think the MPC will trim </w:t>
      </w:r>
      <w:r w:rsidR="00344374">
        <w:t>its</w:t>
      </w:r>
      <w:r w:rsidR="0023384C">
        <w:t xml:space="preserve"> near-term growth forecast, but we anticipate little change</w:t>
      </w:r>
      <w:r w:rsidR="00344374">
        <w:t xml:space="preserve"> to</w:t>
      </w:r>
      <w:r w:rsidR="0023384C">
        <w:t xml:space="preserve"> the medium-term growth outlook.</w:t>
      </w:r>
    </w:p>
    <w:p w14:paraId="5203BEA3" w14:textId="70D3EFD1" w:rsidR="006B6BDD" w:rsidRDefault="007C5EC7" w:rsidP="000D031F">
      <w:r>
        <w:t>Overall, t</w:t>
      </w:r>
      <w:r w:rsidR="00222178">
        <w:t xml:space="preserve">his would send </w:t>
      </w:r>
      <w:r w:rsidR="00596892">
        <w:t>a clear message that the MPC expects to continue to steadily loosen policy over the rest of this year</w:t>
      </w:r>
      <w:r w:rsidR="00B54BF2">
        <w:t xml:space="preserve"> and that the bar to cutting more quickly is </w:t>
      </w:r>
      <w:r w:rsidR="003901EA">
        <w:t>now</w:t>
      </w:r>
      <w:r w:rsidR="00620EC6">
        <w:t xml:space="preserve"> a bit higher than it was after the June meeting.</w:t>
      </w:r>
      <w:r w:rsidR="00D66010">
        <w:t xml:space="preserve"> </w:t>
      </w:r>
      <w:r w:rsidR="00E55BD3">
        <w:t>Our baseline forecast assumes that the cut-hold tempo is maintained throughout H2 2025, with</w:t>
      </w:r>
      <w:r w:rsidR="00C83ADC">
        <w:t xml:space="preserve"> 25bp</w:t>
      </w:r>
      <w:r w:rsidR="00E55BD3">
        <w:t xml:space="preserve"> cuts </w:t>
      </w:r>
      <w:r w:rsidR="00DB6191">
        <w:t>in August and November</w:t>
      </w:r>
      <w:r w:rsidR="0075022A">
        <w:t>, and Bank Rate falling further in 2026</w:t>
      </w:r>
      <w:r w:rsidR="00BB6105">
        <w:t>.</w:t>
      </w:r>
    </w:p>
    <w:p w14:paraId="2F352717" w14:textId="285AA4E5" w:rsidR="00D16FE7" w:rsidRDefault="00D16FE7" w:rsidP="00F9400A">
      <w:pPr>
        <w:pStyle w:val="Heading3"/>
      </w:pPr>
      <w:r>
        <w:t xml:space="preserve">The MPC may use its report to signal that it </w:t>
      </w:r>
      <w:r w:rsidR="000807F8">
        <w:t xml:space="preserve">will vote to </w:t>
      </w:r>
      <w:r>
        <w:t xml:space="preserve">slow the pace of QT </w:t>
      </w:r>
      <w:r w:rsidR="000807F8">
        <w:t>in</w:t>
      </w:r>
      <w:r>
        <w:t xml:space="preserve"> September</w:t>
      </w:r>
    </w:p>
    <w:p w14:paraId="5C07365D" w14:textId="777EE53F" w:rsidR="00D16FE7" w:rsidRDefault="00D16FE7" w:rsidP="000D031F">
      <w:r>
        <w:t xml:space="preserve">At the September meeting, the MPC will vote on the pace of quantitative tightening over the coming year. As was the case in the </w:t>
      </w:r>
      <w:hyperlink r:id="rId30" w:history="1">
        <w:r w:rsidRPr="00AA6AC4">
          <w:rPr>
            <w:rStyle w:val="Hyperlink"/>
          </w:rPr>
          <w:t>August 2024 Monetary Policy Report</w:t>
        </w:r>
      </w:hyperlink>
      <w:r>
        <w:t xml:space="preserve">, the BoE may include a box in next week's </w:t>
      </w:r>
      <w:r>
        <w:t>Monetary Policy Report</w:t>
      </w:r>
      <w:r>
        <w:t xml:space="preserve"> laying out the evidence of the impact of QT on gilt yields and the real economy ahead of September's vote. The MPC has previously made it clear that it sees no conflict between cutting rates and continuing with QT, but </w:t>
      </w:r>
      <w:hyperlink r:id="rId31" w:history="1">
        <w:r w:rsidRPr="0046229A">
          <w:rPr>
            <w:rStyle w:val="Hyperlink"/>
          </w:rPr>
          <w:t>we expect the committee to lower next year's QT target to £75</w:t>
        </w:r>
        <w:r w:rsidR="004F50A8">
          <w:rPr>
            <w:rStyle w:val="Hyperlink"/>
          </w:rPr>
          <w:t>bn</w:t>
        </w:r>
        <w:r w:rsidRPr="0046229A">
          <w:rPr>
            <w:rStyle w:val="Hyperlink"/>
          </w:rPr>
          <w:t>-</w:t>
        </w:r>
        <w:r w:rsidR="004F50A8">
          <w:rPr>
            <w:rStyle w:val="Hyperlink"/>
          </w:rPr>
          <w:t>£</w:t>
        </w:r>
        <w:r w:rsidRPr="0046229A">
          <w:rPr>
            <w:rStyle w:val="Hyperlink"/>
          </w:rPr>
          <w:t>80bn</w:t>
        </w:r>
      </w:hyperlink>
      <w:r>
        <w:t>, from the current pace of £100bn per year, in response to the sharp rise and higher volatility in gilt yields.</w:t>
      </w:r>
    </w:p>
    <w:p w14:paraId="7DF707D5" w14:textId="1C144E12" w:rsidR="000D031F" w:rsidRDefault="000D031F" w:rsidP="000D031F"/>
    <w:sectPr w:rsidR="000D031F" w:rsidSect="006B6BDD">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ED5CC" w14:textId="77777777" w:rsidR="00EC7128" w:rsidRDefault="00EC7128" w:rsidP="000D031F">
      <w:pPr>
        <w:spacing w:before="0" w:after="0"/>
      </w:pPr>
      <w:r>
        <w:separator/>
      </w:r>
    </w:p>
  </w:endnote>
  <w:endnote w:type="continuationSeparator" w:id="0">
    <w:p w14:paraId="7CCAC2A0" w14:textId="77777777" w:rsidR="00EC7128" w:rsidRDefault="00EC7128" w:rsidP="000D031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F275A" w14:textId="77777777" w:rsidR="00C56194" w:rsidRDefault="00C561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34316" w14:textId="25B032D5" w:rsidR="000D031F" w:rsidRPr="000D031F" w:rsidRDefault="000D031F" w:rsidP="000D031F">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Edward Allenby - eallenby@oxfordeconomics.com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2D798" w14:textId="7A614EAD" w:rsidR="000D031F" w:rsidRDefault="000D031F" w:rsidP="000D031F">
    <w:pPr>
      <w:pStyle w:val="Author"/>
    </w:pPr>
    <w:r>
      <w:t>Edward Allenby</w:t>
    </w:r>
    <w:r w:rsidR="00F9400A">
      <w:t xml:space="preserve"> - </w:t>
    </w:r>
    <w:r>
      <w:t>UK Economist</w:t>
    </w:r>
    <w:r w:rsidR="00F9400A">
      <w:t xml:space="preserve"> - </w:t>
    </w:r>
    <w:r>
      <w:t>eallenby@oxfordeconomics.com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4544A" w14:textId="77777777" w:rsidR="00EC7128" w:rsidRDefault="00EC7128" w:rsidP="000D031F">
      <w:pPr>
        <w:spacing w:before="0" w:after="0"/>
      </w:pPr>
      <w:r>
        <w:separator/>
      </w:r>
    </w:p>
  </w:footnote>
  <w:footnote w:type="continuationSeparator" w:id="0">
    <w:p w14:paraId="4F7053B8" w14:textId="77777777" w:rsidR="00EC7128" w:rsidRDefault="00EC7128" w:rsidP="000D031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EFFB3" w14:textId="77777777" w:rsidR="000D031F" w:rsidRDefault="000D031F">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0C55E" w14:textId="616BEF28" w:rsidR="000D031F" w:rsidRDefault="000D031F" w:rsidP="000D031F">
    <w:pPr>
      <w:pStyle w:val="Headline"/>
      <w:spacing w:before="120"/>
      <w:ind w:right="-1000"/>
    </w:pPr>
    <w:r w:rsidRPr="000D031F">
      <w:rPr>
        <w:noProof/>
      </w:rPr>
      <w:drawing>
        <wp:anchor distT="0" distB="0" distL="114300" distR="114300" simplePos="0" relativeHeight="251658239" behindDoc="1" locked="1" layoutInCell="1" allowOverlap="1" wp14:anchorId="1E9B5D8D" wp14:editId="3E5AC39F">
          <wp:simplePos x="0" y="0"/>
          <wp:positionH relativeFrom="page">
            <wp:posOffset>0</wp:posOffset>
          </wp:positionH>
          <wp:positionV relativeFrom="page">
            <wp:posOffset>0</wp:posOffset>
          </wp:positionV>
          <wp:extent cx="7553325" cy="10658475"/>
          <wp:effectExtent l="0" t="0" r="9525" b="9525"/>
          <wp:wrapNone/>
          <wp:docPr id="23"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F83716">
      <w:t xml:space="preserve">MPC Preview </w:t>
    </w:r>
    <w:r w:rsidR="00F83716" w:rsidRPr="00F83716">
      <w:t>– </w:t>
    </w:r>
    <w:r w:rsidR="00465A4B">
      <w:t>T</w:t>
    </w:r>
    <w:r w:rsidR="00610795">
      <w:t>he case for faster cuts has faded for now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9291D" w14:textId="1CC58ACC" w:rsidR="000D031F" w:rsidRDefault="000D031F" w:rsidP="000D031F">
    <w:r w:rsidRPr="000D031F">
      <w:rPr>
        <w:noProof/>
      </w:rPr>
      <w:drawing>
        <wp:anchor distT="0" distB="0" distL="114300" distR="114300" simplePos="0" relativeHeight="251659264" behindDoc="1" locked="1" layoutInCell="1" allowOverlap="1" wp14:anchorId="616A7119" wp14:editId="4090694C">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012763850"/>
      <w:lock w:val="sdtLocked"/>
      <w:placeholder>
        <w:docPart w:val="DefaultPlaceholder_-1854013437"/>
      </w:placeholder>
      <w:date w:fullDate="2025-07-31T00:00:00Z">
        <w:dateFormat w:val="d MMMM yyyy"/>
        <w:lid w:val="en-GB"/>
        <w:storeMappedDataAs w:val="dateTime"/>
        <w:calendar w:val="gregorian"/>
      </w:date>
    </w:sdtPr>
    <w:sdtEndPr/>
    <w:sdtContent>
      <w:p w14:paraId="0AA689D4" w14:textId="347EA4EE" w:rsidR="000D031F" w:rsidRPr="000D031F" w:rsidRDefault="000D031F" w:rsidP="000D031F">
        <w:pPr>
          <w:pStyle w:val="PublishDate"/>
          <w:framePr w:w="2835" w:h="340" w:hRule="exact" w:hSpace="180" w:wrap="around" w:vAnchor="page" w:hAnchor="page" w:x="7801" w:y="601" w:anchorLock="1"/>
        </w:pPr>
        <w:r>
          <w:t>31 July 2025</w:t>
        </w:r>
      </w:p>
    </w:sdtContent>
  </w:sdt>
  <w:p w14:paraId="1B9BBE4A" w14:textId="25E05253" w:rsidR="000D031F" w:rsidRDefault="000D031F" w:rsidP="000D031F">
    <w:pPr>
      <w:pStyle w:val="ProductDescription"/>
      <w:framePr w:w="11339" w:h="1474" w:hRule="exact" w:hSpace="180" w:wrap="around" w:vAnchor="page" w:hAnchor="page" w:x="401" w:y="1141" w:anchorLock="1"/>
      <w:spacing w:after="200"/>
    </w:pPr>
    <w:r>
      <w:t>Research Briefing | UK</w:t>
    </w:r>
  </w:p>
  <w:p w14:paraId="1AE6DD7C" w14:textId="6FC850AD" w:rsidR="000D031F" w:rsidRDefault="00324155" w:rsidP="000D031F">
    <w:pPr>
      <w:pStyle w:val="Headline"/>
      <w:framePr w:w="11339" w:h="1474" w:hRule="exact" w:hSpace="180" w:wrap="around" w:vAnchor="page" w:hAnchor="page" w:x="401" w:y="1141" w:anchorLock="1"/>
      <w:spacing w:line="200" w:lineRule="auto"/>
    </w:pPr>
    <w:r>
      <w:t xml:space="preserve">MPC Preview </w:t>
    </w:r>
    <w:r w:rsidRPr="00324155">
      <w:t>– </w:t>
    </w:r>
    <w:r w:rsidR="002261E5">
      <w:t>T</w:t>
    </w:r>
    <w:r w:rsidR="00610795">
      <w:t>he case for faster cuts has faded for now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EAAA1E9E"/>
    <w:lvl w:ilvl="0" w:tplc="F766AABE">
      <w:start w:val="1"/>
      <w:numFmt w:val="bullet"/>
      <w:lvlText w:val=""/>
      <w:lvlJc w:val="left"/>
      <w:pPr>
        <w:ind w:left="360" w:hanging="360"/>
      </w:pPr>
      <w:rPr>
        <w:rFonts w:ascii="Wingdings" w:hAnsi="Wingdings" w:hint="default"/>
        <w:color w:val="D86DCB"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38D3E6D"/>
    <w:multiLevelType w:val="hybridMultilevel"/>
    <w:tmpl w:val="9370A748"/>
    <w:lvl w:ilvl="0" w:tplc="5528530E">
      <w:start w:val="1"/>
      <w:numFmt w:val="bullet"/>
      <w:pStyle w:val="Bullet"/>
      <w:lvlText w:val=""/>
      <w:lvlJc w:val="left"/>
      <w:pPr>
        <w:ind w:left="360" w:hanging="360"/>
      </w:pPr>
      <w:rPr>
        <w:rFonts w:ascii="Wingdings" w:hAnsi="Wingdings" w:hint="default"/>
        <w:color w:val="92CDDC"/>
        <w:sz w:val="20"/>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3"/>
  </w:num>
  <w:num w:numId="2" w16cid:durableId="2074311132">
    <w:abstractNumId w:val="1"/>
  </w:num>
  <w:num w:numId="3" w16cid:durableId="1590693657">
    <w:abstractNumId w:val="4"/>
  </w:num>
  <w:num w:numId="4" w16cid:durableId="1590037850">
    <w:abstractNumId w:val="0"/>
  </w:num>
  <w:num w:numId="5" w16cid:durableId="554319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31F"/>
    <w:rsid w:val="00010CFF"/>
    <w:rsid w:val="0001541D"/>
    <w:rsid w:val="000208EA"/>
    <w:rsid w:val="00022C57"/>
    <w:rsid w:val="00022D0E"/>
    <w:rsid w:val="000241E1"/>
    <w:rsid w:val="00027F43"/>
    <w:rsid w:val="00032E39"/>
    <w:rsid w:val="0004031E"/>
    <w:rsid w:val="0004664F"/>
    <w:rsid w:val="0004754B"/>
    <w:rsid w:val="000510C1"/>
    <w:rsid w:val="0005324C"/>
    <w:rsid w:val="00053281"/>
    <w:rsid w:val="00056E1E"/>
    <w:rsid w:val="00056F8C"/>
    <w:rsid w:val="00060776"/>
    <w:rsid w:val="000625C1"/>
    <w:rsid w:val="000626C2"/>
    <w:rsid w:val="00062E34"/>
    <w:rsid w:val="00063EA0"/>
    <w:rsid w:val="000662E9"/>
    <w:rsid w:val="000706BD"/>
    <w:rsid w:val="000710B1"/>
    <w:rsid w:val="000741AB"/>
    <w:rsid w:val="00075E1C"/>
    <w:rsid w:val="0007687D"/>
    <w:rsid w:val="00076F85"/>
    <w:rsid w:val="00077949"/>
    <w:rsid w:val="000807F8"/>
    <w:rsid w:val="00082EA4"/>
    <w:rsid w:val="0008311A"/>
    <w:rsid w:val="00094DEB"/>
    <w:rsid w:val="00096DE8"/>
    <w:rsid w:val="000A09C2"/>
    <w:rsid w:val="000A2077"/>
    <w:rsid w:val="000A2EA4"/>
    <w:rsid w:val="000A5F64"/>
    <w:rsid w:val="000B07A5"/>
    <w:rsid w:val="000B0B91"/>
    <w:rsid w:val="000B2B64"/>
    <w:rsid w:val="000B3AC9"/>
    <w:rsid w:val="000C0D74"/>
    <w:rsid w:val="000D031F"/>
    <w:rsid w:val="000D1302"/>
    <w:rsid w:val="000D2024"/>
    <w:rsid w:val="000D28A3"/>
    <w:rsid w:val="000D4901"/>
    <w:rsid w:val="000E2C67"/>
    <w:rsid w:val="000E4564"/>
    <w:rsid w:val="0010067A"/>
    <w:rsid w:val="00102D58"/>
    <w:rsid w:val="001125B3"/>
    <w:rsid w:val="00113CAD"/>
    <w:rsid w:val="0011620F"/>
    <w:rsid w:val="00116CB7"/>
    <w:rsid w:val="00116E88"/>
    <w:rsid w:val="00122570"/>
    <w:rsid w:val="001240C5"/>
    <w:rsid w:val="00125EC6"/>
    <w:rsid w:val="00127BEB"/>
    <w:rsid w:val="00144EBF"/>
    <w:rsid w:val="00145D0D"/>
    <w:rsid w:val="001467A7"/>
    <w:rsid w:val="001507C1"/>
    <w:rsid w:val="001517D0"/>
    <w:rsid w:val="001544F5"/>
    <w:rsid w:val="00155B7A"/>
    <w:rsid w:val="00157105"/>
    <w:rsid w:val="00160502"/>
    <w:rsid w:val="00160E18"/>
    <w:rsid w:val="001619C7"/>
    <w:rsid w:val="0016316D"/>
    <w:rsid w:val="00164C4F"/>
    <w:rsid w:val="001674F2"/>
    <w:rsid w:val="001703D1"/>
    <w:rsid w:val="001742DA"/>
    <w:rsid w:val="00175E77"/>
    <w:rsid w:val="001768CA"/>
    <w:rsid w:val="00176D90"/>
    <w:rsid w:val="00190872"/>
    <w:rsid w:val="00191814"/>
    <w:rsid w:val="001927D5"/>
    <w:rsid w:val="00192C54"/>
    <w:rsid w:val="00193645"/>
    <w:rsid w:val="00196268"/>
    <w:rsid w:val="001A21C4"/>
    <w:rsid w:val="001B03AB"/>
    <w:rsid w:val="001B0505"/>
    <w:rsid w:val="001B213B"/>
    <w:rsid w:val="001B3F0D"/>
    <w:rsid w:val="001C07CD"/>
    <w:rsid w:val="001C21DA"/>
    <w:rsid w:val="001C3FA1"/>
    <w:rsid w:val="001C3FC6"/>
    <w:rsid w:val="001D0958"/>
    <w:rsid w:val="001D1766"/>
    <w:rsid w:val="001E730A"/>
    <w:rsid w:val="001E772F"/>
    <w:rsid w:val="001F1689"/>
    <w:rsid w:val="001F3336"/>
    <w:rsid w:val="001F4764"/>
    <w:rsid w:val="00203243"/>
    <w:rsid w:val="0020548D"/>
    <w:rsid w:val="002115BC"/>
    <w:rsid w:val="00211E84"/>
    <w:rsid w:val="00213D89"/>
    <w:rsid w:val="00214D07"/>
    <w:rsid w:val="00217B82"/>
    <w:rsid w:val="00222178"/>
    <w:rsid w:val="00223591"/>
    <w:rsid w:val="002244CE"/>
    <w:rsid w:val="002261E5"/>
    <w:rsid w:val="00232AAE"/>
    <w:rsid w:val="0023384C"/>
    <w:rsid w:val="00234195"/>
    <w:rsid w:val="00235307"/>
    <w:rsid w:val="00235C14"/>
    <w:rsid w:val="00236417"/>
    <w:rsid w:val="002371FA"/>
    <w:rsid w:val="00251FA2"/>
    <w:rsid w:val="00253371"/>
    <w:rsid w:val="002603B8"/>
    <w:rsid w:val="00262C83"/>
    <w:rsid w:val="00274655"/>
    <w:rsid w:val="00274D2E"/>
    <w:rsid w:val="00275503"/>
    <w:rsid w:val="00280D9B"/>
    <w:rsid w:val="0028167F"/>
    <w:rsid w:val="00283E25"/>
    <w:rsid w:val="002873C2"/>
    <w:rsid w:val="00291663"/>
    <w:rsid w:val="0029261F"/>
    <w:rsid w:val="00297379"/>
    <w:rsid w:val="002A19D8"/>
    <w:rsid w:val="002A1C78"/>
    <w:rsid w:val="002A73EB"/>
    <w:rsid w:val="002A7F85"/>
    <w:rsid w:val="002B0E78"/>
    <w:rsid w:val="002B236D"/>
    <w:rsid w:val="002B2771"/>
    <w:rsid w:val="002B538A"/>
    <w:rsid w:val="002C0C54"/>
    <w:rsid w:val="002C27A5"/>
    <w:rsid w:val="002C4B6B"/>
    <w:rsid w:val="002C64BA"/>
    <w:rsid w:val="002C72A8"/>
    <w:rsid w:val="002D3815"/>
    <w:rsid w:val="002D41F4"/>
    <w:rsid w:val="002D750F"/>
    <w:rsid w:val="002D7DC5"/>
    <w:rsid w:val="002E409E"/>
    <w:rsid w:val="002E5AA3"/>
    <w:rsid w:val="002E5C87"/>
    <w:rsid w:val="002E6BE5"/>
    <w:rsid w:val="002F687B"/>
    <w:rsid w:val="0030094F"/>
    <w:rsid w:val="00301D8B"/>
    <w:rsid w:val="00302212"/>
    <w:rsid w:val="0030274C"/>
    <w:rsid w:val="00305020"/>
    <w:rsid w:val="00312249"/>
    <w:rsid w:val="00324155"/>
    <w:rsid w:val="00327717"/>
    <w:rsid w:val="00327E9A"/>
    <w:rsid w:val="003341D3"/>
    <w:rsid w:val="00335940"/>
    <w:rsid w:val="0034368D"/>
    <w:rsid w:val="00344374"/>
    <w:rsid w:val="00350866"/>
    <w:rsid w:val="003512F9"/>
    <w:rsid w:val="00352ABB"/>
    <w:rsid w:val="0035529E"/>
    <w:rsid w:val="00361B2B"/>
    <w:rsid w:val="00365422"/>
    <w:rsid w:val="00373944"/>
    <w:rsid w:val="003810A6"/>
    <w:rsid w:val="003901EA"/>
    <w:rsid w:val="0039111C"/>
    <w:rsid w:val="003920E9"/>
    <w:rsid w:val="003965F0"/>
    <w:rsid w:val="003965FD"/>
    <w:rsid w:val="003A1C74"/>
    <w:rsid w:val="003A4ECD"/>
    <w:rsid w:val="003A5DC9"/>
    <w:rsid w:val="003A5E2C"/>
    <w:rsid w:val="003A7EF5"/>
    <w:rsid w:val="003B1267"/>
    <w:rsid w:val="003B3D28"/>
    <w:rsid w:val="003B5E0A"/>
    <w:rsid w:val="003B7400"/>
    <w:rsid w:val="003C20F7"/>
    <w:rsid w:val="003C3A3A"/>
    <w:rsid w:val="003C7611"/>
    <w:rsid w:val="003D387B"/>
    <w:rsid w:val="003D40BB"/>
    <w:rsid w:val="003E3F02"/>
    <w:rsid w:val="003E44F4"/>
    <w:rsid w:val="003E7D16"/>
    <w:rsid w:val="003F3784"/>
    <w:rsid w:val="003F5797"/>
    <w:rsid w:val="003F7E76"/>
    <w:rsid w:val="004046FF"/>
    <w:rsid w:val="00406183"/>
    <w:rsid w:val="00410DCD"/>
    <w:rsid w:val="004119FD"/>
    <w:rsid w:val="00413DDF"/>
    <w:rsid w:val="0041571D"/>
    <w:rsid w:val="004164E0"/>
    <w:rsid w:val="004206DF"/>
    <w:rsid w:val="00431EFD"/>
    <w:rsid w:val="00440E85"/>
    <w:rsid w:val="00441464"/>
    <w:rsid w:val="00445230"/>
    <w:rsid w:val="004475A6"/>
    <w:rsid w:val="0044784B"/>
    <w:rsid w:val="00451912"/>
    <w:rsid w:val="00451FBF"/>
    <w:rsid w:val="0045367D"/>
    <w:rsid w:val="0046229A"/>
    <w:rsid w:val="00463370"/>
    <w:rsid w:val="00465A4B"/>
    <w:rsid w:val="00466E50"/>
    <w:rsid w:val="00473BB6"/>
    <w:rsid w:val="00474DAE"/>
    <w:rsid w:val="004760E1"/>
    <w:rsid w:val="00477F94"/>
    <w:rsid w:val="00480B1B"/>
    <w:rsid w:val="00480DDE"/>
    <w:rsid w:val="004859D2"/>
    <w:rsid w:val="00491ABF"/>
    <w:rsid w:val="00493417"/>
    <w:rsid w:val="004A1FCF"/>
    <w:rsid w:val="004A2064"/>
    <w:rsid w:val="004A45DB"/>
    <w:rsid w:val="004A68C9"/>
    <w:rsid w:val="004A6954"/>
    <w:rsid w:val="004B4ABF"/>
    <w:rsid w:val="004B7E3E"/>
    <w:rsid w:val="004C00D6"/>
    <w:rsid w:val="004C0F62"/>
    <w:rsid w:val="004C6154"/>
    <w:rsid w:val="004C7538"/>
    <w:rsid w:val="004D3E6B"/>
    <w:rsid w:val="004D49A3"/>
    <w:rsid w:val="004E2CFB"/>
    <w:rsid w:val="004E6694"/>
    <w:rsid w:val="004E6CFB"/>
    <w:rsid w:val="004F1167"/>
    <w:rsid w:val="004F50A8"/>
    <w:rsid w:val="004F6D55"/>
    <w:rsid w:val="004F7346"/>
    <w:rsid w:val="004F7F6D"/>
    <w:rsid w:val="00503820"/>
    <w:rsid w:val="00503D9F"/>
    <w:rsid w:val="0050592D"/>
    <w:rsid w:val="00514B17"/>
    <w:rsid w:val="0051667B"/>
    <w:rsid w:val="00517C51"/>
    <w:rsid w:val="005210D5"/>
    <w:rsid w:val="0052283C"/>
    <w:rsid w:val="00524794"/>
    <w:rsid w:val="00524B7B"/>
    <w:rsid w:val="00530A13"/>
    <w:rsid w:val="00533AD5"/>
    <w:rsid w:val="00537DD9"/>
    <w:rsid w:val="00541CA4"/>
    <w:rsid w:val="005427D7"/>
    <w:rsid w:val="0055190A"/>
    <w:rsid w:val="00551E70"/>
    <w:rsid w:val="00552280"/>
    <w:rsid w:val="005560FC"/>
    <w:rsid w:val="00566FA5"/>
    <w:rsid w:val="005707F7"/>
    <w:rsid w:val="005726F5"/>
    <w:rsid w:val="0057295E"/>
    <w:rsid w:val="005734E9"/>
    <w:rsid w:val="0057686D"/>
    <w:rsid w:val="00577DB2"/>
    <w:rsid w:val="0058087D"/>
    <w:rsid w:val="0058101E"/>
    <w:rsid w:val="005825D3"/>
    <w:rsid w:val="005951C5"/>
    <w:rsid w:val="00596892"/>
    <w:rsid w:val="00597C15"/>
    <w:rsid w:val="005A03A3"/>
    <w:rsid w:val="005A04C6"/>
    <w:rsid w:val="005A052A"/>
    <w:rsid w:val="005A0D8F"/>
    <w:rsid w:val="005B073F"/>
    <w:rsid w:val="005B6D19"/>
    <w:rsid w:val="005C0B30"/>
    <w:rsid w:val="005C6670"/>
    <w:rsid w:val="005D4FF5"/>
    <w:rsid w:val="005E34DB"/>
    <w:rsid w:val="005E5E4C"/>
    <w:rsid w:val="005E7C02"/>
    <w:rsid w:val="005F15D1"/>
    <w:rsid w:val="005F1888"/>
    <w:rsid w:val="005F3324"/>
    <w:rsid w:val="006001E8"/>
    <w:rsid w:val="00601545"/>
    <w:rsid w:val="00603B6B"/>
    <w:rsid w:val="00605333"/>
    <w:rsid w:val="00610025"/>
    <w:rsid w:val="00610795"/>
    <w:rsid w:val="00610B82"/>
    <w:rsid w:val="006134FE"/>
    <w:rsid w:val="00614525"/>
    <w:rsid w:val="006152FD"/>
    <w:rsid w:val="006168D1"/>
    <w:rsid w:val="00620EC6"/>
    <w:rsid w:val="006215FE"/>
    <w:rsid w:val="00631716"/>
    <w:rsid w:val="006343EC"/>
    <w:rsid w:val="006362FC"/>
    <w:rsid w:val="0064044B"/>
    <w:rsid w:val="00641629"/>
    <w:rsid w:val="006446A4"/>
    <w:rsid w:val="00651A00"/>
    <w:rsid w:val="00652C1D"/>
    <w:rsid w:val="00652F1C"/>
    <w:rsid w:val="00655A82"/>
    <w:rsid w:val="00656575"/>
    <w:rsid w:val="006639CD"/>
    <w:rsid w:val="00663DDD"/>
    <w:rsid w:val="00663F51"/>
    <w:rsid w:val="0066740D"/>
    <w:rsid w:val="00673B00"/>
    <w:rsid w:val="00673F33"/>
    <w:rsid w:val="00676B9B"/>
    <w:rsid w:val="006828CF"/>
    <w:rsid w:val="00690B7C"/>
    <w:rsid w:val="00695AB9"/>
    <w:rsid w:val="006A1596"/>
    <w:rsid w:val="006A211E"/>
    <w:rsid w:val="006A2BE6"/>
    <w:rsid w:val="006A4090"/>
    <w:rsid w:val="006A42B5"/>
    <w:rsid w:val="006A5B8B"/>
    <w:rsid w:val="006B2CDD"/>
    <w:rsid w:val="006B6BDD"/>
    <w:rsid w:val="006B7359"/>
    <w:rsid w:val="006C02D0"/>
    <w:rsid w:val="006C0634"/>
    <w:rsid w:val="006C078C"/>
    <w:rsid w:val="006C2082"/>
    <w:rsid w:val="006C3CD6"/>
    <w:rsid w:val="006C786A"/>
    <w:rsid w:val="006D0A4D"/>
    <w:rsid w:val="006D0E52"/>
    <w:rsid w:val="006D11D7"/>
    <w:rsid w:val="006D258A"/>
    <w:rsid w:val="006D3748"/>
    <w:rsid w:val="006E217D"/>
    <w:rsid w:val="006F0CB4"/>
    <w:rsid w:val="006F459F"/>
    <w:rsid w:val="006F761E"/>
    <w:rsid w:val="0070263A"/>
    <w:rsid w:val="00714E63"/>
    <w:rsid w:val="0071672C"/>
    <w:rsid w:val="00722D8B"/>
    <w:rsid w:val="0072616F"/>
    <w:rsid w:val="00726521"/>
    <w:rsid w:val="007301C4"/>
    <w:rsid w:val="00731E14"/>
    <w:rsid w:val="00731F7B"/>
    <w:rsid w:val="007353E1"/>
    <w:rsid w:val="00741005"/>
    <w:rsid w:val="007440D7"/>
    <w:rsid w:val="00746AB9"/>
    <w:rsid w:val="00746D7E"/>
    <w:rsid w:val="007476EB"/>
    <w:rsid w:val="0075022A"/>
    <w:rsid w:val="00753BC2"/>
    <w:rsid w:val="00754F9E"/>
    <w:rsid w:val="00754FFE"/>
    <w:rsid w:val="007560BE"/>
    <w:rsid w:val="00757B27"/>
    <w:rsid w:val="00757FDD"/>
    <w:rsid w:val="0076013B"/>
    <w:rsid w:val="0076364B"/>
    <w:rsid w:val="0076409D"/>
    <w:rsid w:val="00764203"/>
    <w:rsid w:val="00765533"/>
    <w:rsid w:val="00765DD7"/>
    <w:rsid w:val="00767DBD"/>
    <w:rsid w:val="00775D54"/>
    <w:rsid w:val="00776FF1"/>
    <w:rsid w:val="00780447"/>
    <w:rsid w:val="00787B14"/>
    <w:rsid w:val="007A20EB"/>
    <w:rsid w:val="007A6538"/>
    <w:rsid w:val="007B1640"/>
    <w:rsid w:val="007B263E"/>
    <w:rsid w:val="007C2580"/>
    <w:rsid w:val="007C323C"/>
    <w:rsid w:val="007C38A5"/>
    <w:rsid w:val="007C5EC7"/>
    <w:rsid w:val="007D0C04"/>
    <w:rsid w:val="007D0D09"/>
    <w:rsid w:val="007D31D5"/>
    <w:rsid w:val="007D37C9"/>
    <w:rsid w:val="007D4A0E"/>
    <w:rsid w:val="007D5B4F"/>
    <w:rsid w:val="007D69A5"/>
    <w:rsid w:val="007E03B7"/>
    <w:rsid w:val="007E4944"/>
    <w:rsid w:val="007E7823"/>
    <w:rsid w:val="007E7AD6"/>
    <w:rsid w:val="007F05B9"/>
    <w:rsid w:val="007F06E1"/>
    <w:rsid w:val="007F3CB0"/>
    <w:rsid w:val="007F6AB0"/>
    <w:rsid w:val="007F7B92"/>
    <w:rsid w:val="008001AB"/>
    <w:rsid w:val="00800ACA"/>
    <w:rsid w:val="00801078"/>
    <w:rsid w:val="008067DF"/>
    <w:rsid w:val="00810A4F"/>
    <w:rsid w:val="00810B2F"/>
    <w:rsid w:val="00816C11"/>
    <w:rsid w:val="00820119"/>
    <w:rsid w:val="00825799"/>
    <w:rsid w:val="00832206"/>
    <w:rsid w:val="00836A7E"/>
    <w:rsid w:val="0084335B"/>
    <w:rsid w:val="008455CB"/>
    <w:rsid w:val="008463A5"/>
    <w:rsid w:val="00850649"/>
    <w:rsid w:val="00852590"/>
    <w:rsid w:val="00860AB7"/>
    <w:rsid w:val="00860D39"/>
    <w:rsid w:val="00864014"/>
    <w:rsid w:val="00867DDD"/>
    <w:rsid w:val="008707EF"/>
    <w:rsid w:val="00871EA9"/>
    <w:rsid w:val="00873D65"/>
    <w:rsid w:val="008750A7"/>
    <w:rsid w:val="00880CA9"/>
    <w:rsid w:val="0088209A"/>
    <w:rsid w:val="008866BB"/>
    <w:rsid w:val="0089164C"/>
    <w:rsid w:val="00892188"/>
    <w:rsid w:val="00893487"/>
    <w:rsid w:val="00894341"/>
    <w:rsid w:val="00894FF8"/>
    <w:rsid w:val="0089507A"/>
    <w:rsid w:val="008A3BC1"/>
    <w:rsid w:val="008A4B04"/>
    <w:rsid w:val="008B10F7"/>
    <w:rsid w:val="008C0E71"/>
    <w:rsid w:val="008C3A76"/>
    <w:rsid w:val="008C46EB"/>
    <w:rsid w:val="008D412B"/>
    <w:rsid w:val="008D5074"/>
    <w:rsid w:val="008D627F"/>
    <w:rsid w:val="008E0771"/>
    <w:rsid w:val="008E74FD"/>
    <w:rsid w:val="008F206A"/>
    <w:rsid w:val="008F6D31"/>
    <w:rsid w:val="00900B14"/>
    <w:rsid w:val="00903852"/>
    <w:rsid w:val="00904E51"/>
    <w:rsid w:val="009071CA"/>
    <w:rsid w:val="00910C40"/>
    <w:rsid w:val="00916FE8"/>
    <w:rsid w:val="00921A86"/>
    <w:rsid w:val="00922191"/>
    <w:rsid w:val="00924B71"/>
    <w:rsid w:val="009251E4"/>
    <w:rsid w:val="009253BA"/>
    <w:rsid w:val="00926AEE"/>
    <w:rsid w:val="00927143"/>
    <w:rsid w:val="009306C3"/>
    <w:rsid w:val="00930E8C"/>
    <w:rsid w:val="00936510"/>
    <w:rsid w:val="00940BD8"/>
    <w:rsid w:val="009417E2"/>
    <w:rsid w:val="00943DB3"/>
    <w:rsid w:val="0095639E"/>
    <w:rsid w:val="009620C9"/>
    <w:rsid w:val="009635D5"/>
    <w:rsid w:val="00965C66"/>
    <w:rsid w:val="0096685B"/>
    <w:rsid w:val="00970DBF"/>
    <w:rsid w:val="009742D0"/>
    <w:rsid w:val="009746D0"/>
    <w:rsid w:val="00980025"/>
    <w:rsid w:val="00984B56"/>
    <w:rsid w:val="009913F9"/>
    <w:rsid w:val="00991D50"/>
    <w:rsid w:val="0099291D"/>
    <w:rsid w:val="00992BEB"/>
    <w:rsid w:val="0099379F"/>
    <w:rsid w:val="00997955"/>
    <w:rsid w:val="009A1E6A"/>
    <w:rsid w:val="009A7A40"/>
    <w:rsid w:val="009B68E8"/>
    <w:rsid w:val="009C15E1"/>
    <w:rsid w:val="009C77C8"/>
    <w:rsid w:val="009D09AA"/>
    <w:rsid w:val="009D408F"/>
    <w:rsid w:val="009D58F7"/>
    <w:rsid w:val="009D5AFC"/>
    <w:rsid w:val="009E0A8C"/>
    <w:rsid w:val="009E11EE"/>
    <w:rsid w:val="009E45A5"/>
    <w:rsid w:val="009E71EB"/>
    <w:rsid w:val="009F1602"/>
    <w:rsid w:val="009F16F5"/>
    <w:rsid w:val="009F4A09"/>
    <w:rsid w:val="009F4CD8"/>
    <w:rsid w:val="00A06BA7"/>
    <w:rsid w:val="00A10262"/>
    <w:rsid w:val="00A11119"/>
    <w:rsid w:val="00A12F01"/>
    <w:rsid w:val="00A221AA"/>
    <w:rsid w:val="00A228B1"/>
    <w:rsid w:val="00A22CA5"/>
    <w:rsid w:val="00A235CA"/>
    <w:rsid w:val="00A270BB"/>
    <w:rsid w:val="00A27588"/>
    <w:rsid w:val="00A3028E"/>
    <w:rsid w:val="00A324B5"/>
    <w:rsid w:val="00A32D45"/>
    <w:rsid w:val="00A35619"/>
    <w:rsid w:val="00A365D7"/>
    <w:rsid w:val="00A474ED"/>
    <w:rsid w:val="00A5195E"/>
    <w:rsid w:val="00A54835"/>
    <w:rsid w:val="00A5751B"/>
    <w:rsid w:val="00A57E58"/>
    <w:rsid w:val="00A63105"/>
    <w:rsid w:val="00A718AE"/>
    <w:rsid w:val="00A767DC"/>
    <w:rsid w:val="00A80C5F"/>
    <w:rsid w:val="00A86D2C"/>
    <w:rsid w:val="00A92AC7"/>
    <w:rsid w:val="00A94913"/>
    <w:rsid w:val="00AA0263"/>
    <w:rsid w:val="00AA3366"/>
    <w:rsid w:val="00AA6AC4"/>
    <w:rsid w:val="00AB0D68"/>
    <w:rsid w:val="00AB1D90"/>
    <w:rsid w:val="00AB43DD"/>
    <w:rsid w:val="00AB60B2"/>
    <w:rsid w:val="00AB662B"/>
    <w:rsid w:val="00AB7FD2"/>
    <w:rsid w:val="00AC0002"/>
    <w:rsid w:val="00AC0677"/>
    <w:rsid w:val="00AC0ED1"/>
    <w:rsid w:val="00AC42DD"/>
    <w:rsid w:val="00AD047E"/>
    <w:rsid w:val="00AD1B68"/>
    <w:rsid w:val="00AD6235"/>
    <w:rsid w:val="00AE216E"/>
    <w:rsid w:val="00AE7055"/>
    <w:rsid w:val="00AF118D"/>
    <w:rsid w:val="00AF1D01"/>
    <w:rsid w:val="00AF26D8"/>
    <w:rsid w:val="00B02040"/>
    <w:rsid w:val="00B023FD"/>
    <w:rsid w:val="00B06B70"/>
    <w:rsid w:val="00B12C59"/>
    <w:rsid w:val="00B13A46"/>
    <w:rsid w:val="00B15BCF"/>
    <w:rsid w:val="00B17F44"/>
    <w:rsid w:val="00B37175"/>
    <w:rsid w:val="00B378BC"/>
    <w:rsid w:val="00B37911"/>
    <w:rsid w:val="00B40C35"/>
    <w:rsid w:val="00B41420"/>
    <w:rsid w:val="00B414CD"/>
    <w:rsid w:val="00B51C8F"/>
    <w:rsid w:val="00B54BF2"/>
    <w:rsid w:val="00B63009"/>
    <w:rsid w:val="00B730B6"/>
    <w:rsid w:val="00B740F4"/>
    <w:rsid w:val="00B757F3"/>
    <w:rsid w:val="00B84AE3"/>
    <w:rsid w:val="00B95DB4"/>
    <w:rsid w:val="00BA088A"/>
    <w:rsid w:val="00BA68E6"/>
    <w:rsid w:val="00BB208D"/>
    <w:rsid w:val="00BB6105"/>
    <w:rsid w:val="00BB6586"/>
    <w:rsid w:val="00BC1863"/>
    <w:rsid w:val="00BC27AA"/>
    <w:rsid w:val="00BC3F20"/>
    <w:rsid w:val="00BD437B"/>
    <w:rsid w:val="00BD5F66"/>
    <w:rsid w:val="00BE5F9D"/>
    <w:rsid w:val="00BF612B"/>
    <w:rsid w:val="00C008A8"/>
    <w:rsid w:val="00C03664"/>
    <w:rsid w:val="00C0386C"/>
    <w:rsid w:val="00C04BAA"/>
    <w:rsid w:val="00C07245"/>
    <w:rsid w:val="00C11148"/>
    <w:rsid w:val="00C123AA"/>
    <w:rsid w:val="00C12B1A"/>
    <w:rsid w:val="00C1319F"/>
    <w:rsid w:val="00C13242"/>
    <w:rsid w:val="00C14AC7"/>
    <w:rsid w:val="00C20133"/>
    <w:rsid w:val="00C26614"/>
    <w:rsid w:val="00C26EE0"/>
    <w:rsid w:val="00C30B07"/>
    <w:rsid w:val="00C32B11"/>
    <w:rsid w:val="00C338BA"/>
    <w:rsid w:val="00C34323"/>
    <w:rsid w:val="00C5332C"/>
    <w:rsid w:val="00C56194"/>
    <w:rsid w:val="00C56CC0"/>
    <w:rsid w:val="00C57D9B"/>
    <w:rsid w:val="00C630CD"/>
    <w:rsid w:val="00C633D4"/>
    <w:rsid w:val="00C63FBF"/>
    <w:rsid w:val="00C70156"/>
    <w:rsid w:val="00C71210"/>
    <w:rsid w:val="00C80789"/>
    <w:rsid w:val="00C80905"/>
    <w:rsid w:val="00C820C6"/>
    <w:rsid w:val="00C82DB4"/>
    <w:rsid w:val="00C83ADC"/>
    <w:rsid w:val="00C90F48"/>
    <w:rsid w:val="00C94431"/>
    <w:rsid w:val="00C96FB6"/>
    <w:rsid w:val="00C97B8D"/>
    <w:rsid w:val="00CA2FD5"/>
    <w:rsid w:val="00CA36FD"/>
    <w:rsid w:val="00CA41A1"/>
    <w:rsid w:val="00CA426D"/>
    <w:rsid w:val="00CA5C7E"/>
    <w:rsid w:val="00CA70AD"/>
    <w:rsid w:val="00CA761D"/>
    <w:rsid w:val="00CB199F"/>
    <w:rsid w:val="00CC1923"/>
    <w:rsid w:val="00CC20A0"/>
    <w:rsid w:val="00CC4E3E"/>
    <w:rsid w:val="00CC594A"/>
    <w:rsid w:val="00CC7B2E"/>
    <w:rsid w:val="00CD0F1C"/>
    <w:rsid w:val="00CD4937"/>
    <w:rsid w:val="00CD4A3A"/>
    <w:rsid w:val="00CD544E"/>
    <w:rsid w:val="00CD5944"/>
    <w:rsid w:val="00CD5B7F"/>
    <w:rsid w:val="00CD6857"/>
    <w:rsid w:val="00CD74AC"/>
    <w:rsid w:val="00CE0B08"/>
    <w:rsid w:val="00CE71B5"/>
    <w:rsid w:val="00CE7705"/>
    <w:rsid w:val="00CF10EB"/>
    <w:rsid w:val="00CF2673"/>
    <w:rsid w:val="00CF294D"/>
    <w:rsid w:val="00D03DD0"/>
    <w:rsid w:val="00D0657C"/>
    <w:rsid w:val="00D10273"/>
    <w:rsid w:val="00D103A1"/>
    <w:rsid w:val="00D11136"/>
    <w:rsid w:val="00D141F7"/>
    <w:rsid w:val="00D1521B"/>
    <w:rsid w:val="00D16F9E"/>
    <w:rsid w:val="00D16FE7"/>
    <w:rsid w:val="00D17D91"/>
    <w:rsid w:val="00D2079E"/>
    <w:rsid w:val="00D22D80"/>
    <w:rsid w:val="00D267FD"/>
    <w:rsid w:val="00D30FF8"/>
    <w:rsid w:val="00D37FFB"/>
    <w:rsid w:val="00D40E96"/>
    <w:rsid w:val="00D4224B"/>
    <w:rsid w:val="00D43BD6"/>
    <w:rsid w:val="00D44722"/>
    <w:rsid w:val="00D4642B"/>
    <w:rsid w:val="00D50E6C"/>
    <w:rsid w:val="00D60CE7"/>
    <w:rsid w:val="00D6260F"/>
    <w:rsid w:val="00D62CFB"/>
    <w:rsid w:val="00D653FC"/>
    <w:rsid w:val="00D66010"/>
    <w:rsid w:val="00D74545"/>
    <w:rsid w:val="00D75FB7"/>
    <w:rsid w:val="00D77488"/>
    <w:rsid w:val="00D77820"/>
    <w:rsid w:val="00D8109A"/>
    <w:rsid w:val="00D81DDF"/>
    <w:rsid w:val="00D82556"/>
    <w:rsid w:val="00D8261A"/>
    <w:rsid w:val="00D82E8C"/>
    <w:rsid w:val="00D918EC"/>
    <w:rsid w:val="00DA2B90"/>
    <w:rsid w:val="00DA73E4"/>
    <w:rsid w:val="00DA7977"/>
    <w:rsid w:val="00DB0C98"/>
    <w:rsid w:val="00DB17A0"/>
    <w:rsid w:val="00DB1FF6"/>
    <w:rsid w:val="00DB5541"/>
    <w:rsid w:val="00DB6191"/>
    <w:rsid w:val="00DC0A5D"/>
    <w:rsid w:val="00DC66FB"/>
    <w:rsid w:val="00DC6FF5"/>
    <w:rsid w:val="00DD2ED5"/>
    <w:rsid w:val="00DD3616"/>
    <w:rsid w:val="00DD4F12"/>
    <w:rsid w:val="00DE21F6"/>
    <w:rsid w:val="00DE3147"/>
    <w:rsid w:val="00DE5599"/>
    <w:rsid w:val="00DE7545"/>
    <w:rsid w:val="00DF1EC9"/>
    <w:rsid w:val="00DF229F"/>
    <w:rsid w:val="00E00421"/>
    <w:rsid w:val="00E00AB2"/>
    <w:rsid w:val="00E04055"/>
    <w:rsid w:val="00E051A0"/>
    <w:rsid w:val="00E05836"/>
    <w:rsid w:val="00E07165"/>
    <w:rsid w:val="00E122F2"/>
    <w:rsid w:val="00E154A7"/>
    <w:rsid w:val="00E1607E"/>
    <w:rsid w:val="00E21E40"/>
    <w:rsid w:val="00E236C1"/>
    <w:rsid w:val="00E23FF4"/>
    <w:rsid w:val="00E27684"/>
    <w:rsid w:val="00E31DD2"/>
    <w:rsid w:val="00E32977"/>
    <w:rsid w:val="00E3344C"/>
    <w:rsid w:val="00E36E1A"/>
    <w:rsid w:val="00E40241"/>
    <w:rsid w:val="00E4667E"/>
    <w:rsid w:val="00E513A9"/>
    <w:rsid w:val="00E53589"/>
    <w:rsid w:val="00E54020"/>
    <w:rsid w:val="00E55BD3"/>
    <w:rsid w:val="00E60A12"/>
    <w:rsid w:val="00E7270C"/>
    <w:rsid w:val="00E807F4"/>
    <w:rsid w:val="00E83B5D"/>
    <w:rsid w:val="00E8481A"/>
    <w:rsid w:val="00E867C6"/>
    <w:rsid w:val="00E911DA"/>
    <w:rsid w:val="00E927E2"/>
    <w:rsid w:val="00E94DE7"/>
    <w:rsid w:val="00E97430"/>
    <w:rsid w:val="00EA0636"/>
    <w:rsid w:val="00EA307D"/>
    <w:rsid w:val="00EA7644"/>
    <w:rsid w:val="00EB1863"/>
    <w:rsid w:val="00EB348F"/>
    <w:rsid w:val="00EB6EB8"/>
    <w:rsid w:val="00EC18DA"/>
    <w:rsid w:val="00EC2DE6"/>
    <w:rsid w:val="00EC32D5"/>
    <w:rsid w:val="00EC7128"/>
    <w:rsid w:val="00ED0122"/>
    <w:rsid w:val="00ED1215"/>
    <w:rsid w:val="00ED3866"/>
    <w:rsid w:val="00ED475E"/>
    <w:rsid w:val="00ED5E4C"/>
    <w:rsid w:val="00EE61CB"/>
    <w:rsid w:val="00EE6402"/>
    <w:rsid w:val="00EF648E"/>
    <w:rsid w:val="00F00ECC"/>
    <w:rsid w:val="00F02620"/>
    <w:rsid w:val="00F066B4"/>
    <w:rsid w:val="00F12353"/>
    <w:rsid w:val="00F1448B"/>
    <w:rsid w:val="00F1695D"/>
    <w:rsid w:val="00F2022E"/>
    <w:rsid w:val="00F2058A"/>
    <w:rsid w:val="00F223FE"/>
    <w:rsid w:val="00F23223"/>
    <w:rsid w:val="00F23E3B"/>
    <w:rsid w:val="00F27C5C"/>
    <w:rsid w:val="00F30506"/>
    <w:rsid w:val="00F306A2"/>
    <w:rsid w:val="00F32519"/>
    <w:rsid w:val="00F32BA3"/>
    <w:rsid w:val="00F34DAA"/>
    <w:rsid w:val="00F41015"/>
    <w:rsid w:val="00F53334"/>
    <w:rsid w:val="00F53EED"/>
    <w:rsid w:val="00F70A8E"/>
    <w:rsid w:val="00F72FDA"/>
    <w:rsid w:val="00F77353"/>
    <w:rsid w:val="00F804BF"/>
    <w:rsid w:val="00F83360"/>
    <w:rsid w:val="00F83716"/>
    <w:rsid w:val="00F90043"/>
    <w:rsid w:val="00F9400A"/>
    <w:rsid w:val="00F95607"/>
    <w:rsid w:val="00F97C6A"/>
    <w:rsid w:val="00FB092A"/>
    <w:rsid w:val="00FB20F3"/>
    <w:rsid w:val="00FB22D9"/>
    <w:rsid w:val="00FB2E24"/>
    <w:rsid w:val="00FB487F"/>
    <w:rsid w:val="00FB6EF6"/>
    <w:rsid w:val="00FC17D6"/>
    <w:rsid w:val="00FC4DDC"/>
    <w:rsid w:val="00FD0B7D"/>
    <w:rsid w:val="00FD5C16"/>
    <w:rsid w:val="00FD76DD"/>
    <w:rsid w:val="00FD7AC4"/>
    <w:rsid w:val="00FD7B42"/>
    <w:rsid w:val="00FE1BD9"/>
    <w:rsid w:val="00FE2773"/>
    <w:rsid w:val="00FF3D7F"/>
    <w:rsid w:val="00FF72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5A0064"/>
  <w15:chartTrackingRefBased/>
  <w15:docId w15:val="{69693713-12FD-45FB-8D2F-A3C5EBC41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31F"/>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0D031F"/>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0D031F"/>
    <w:pPr>
      <w:outlineLvl w:val="1"/>
    </w:pPr>
    <w:rPr>
      <w:sz w:val="28"/>
    </w:rPr>
  </w:style>
  <w:style w:type="paragraph" w:styleId="Heading3">
    <w:name w:val="heading 3"/>
    <w:basedOn w:val="Normal"/>
    <w:next w:val="Normal"/>
    <w:link w:val="Heading3Char"/>
    <w:uiPriority w:val="9"/>
    <w:unhideWhenUsed/>
    <w:qFormat/>
    <w:rsid w:val="000D031F"/>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0D031F"/>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0D031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0D031F"/>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0D031F"/>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0D031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0D031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31F"/>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0D031F"/>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0D031F"/>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0D031F"/>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0D031F"/>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0D031F"/>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0D031F"/>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0D031F"/>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0D031F"/>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0D031F"/>
    <w:pPr>
      <w:ind w:left="862" w:right="862"/>
      <w:jc w:val="center"/>
    </w:pPr>
    <w:rPr>
      <w:i/>
      <w:iCs/>
      <w:color w:val="404040" w:themeColor="text1" w:themeTint="BF"/>
    </w:rPr>
  </w:style>
  <w:style w:type="character" w:customStyle="1" w:styleId="QuoteChar">
    <w:name w:val="Quote Char"/>
    <w:basedOn w:val="DefaultParagraphFont"/>
    <w:link w:val="Quote"/>
    <w:uiPriority w:val="29"/>
    <w:rsid w:val="000D031F"/>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0D031F"/>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0D031F"/>
    <w:pPr>
      <w:tabs>
        <w:tab w:val="center" w:pos="4320"/>
        <w:tab w:val="right" w:pos="8640"/>
      </w:tabs>
    </w:pPr>
  </w:style>
  <w:style w:type="character" w:customStyle="1" w:styleId="HeaderChar">
    <w:name w:val="Header Char"/>
    <w:basedOn w:val="DefaultParagraphFont"/>
    <w:link w:val="Header"/>
    <w:uiPriority w:val="99"/>
    <w:rsid w:val="000D031F"/>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0D031F"/>
    <w:pPr>
      <w:tabs>
        <w:tab w:val="center" w:pos="4320"/>
        <w:tab w:val="right" w:pos="8640"/>
      </w:tabs>
    </w:pPr>
  </w:style>
  <w:style w:type="character" w:customStyle="1" w:styleId="FooterChar">
    <w:name w:val="Footer Char"/>
    <w:basedOn w:val="DefaultParagraphFont"/>
    <w:link w:val="Footer"/>
    <w:uiPriority w:val="99"/>
    <w:rsid w:val="000D031F"/>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0D031F"/>
    <w:rPr>
      <w:noProof w:val="0"/>
    </w:rPr>
  </w:style>
  <w:style w:type="character" w:styleId="Hyperlink">
    <w:name w:val="Hyperlink"/>
    <w:basedOn w:val="DefaultParagraphFont"/>
    <w:uiPriority w:val="99"/>
    <w:unhideWhenUsed/>
    <w:rsid w:val="000D031F"/>
    <w:rPr>
      <w:noProof w:val="0"/>
      <w:color w:val="467886" w:themeColor="hyperlink"/>
      <w:u w:val="single"/>
    </w:rPr>
  </w:style>
  <w:style w:type="paragraph" w:styleId="Revision">
    <w:name w:val="Revision"/>
    <w:hidden/>
    <w:uiPriority w:val="99"/>
    <w:semiHidden/>
    <w:rsid w:val="000D031F"/>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0D031F"/>
    <w:pPr>
      <w:spacing w:after="120"/>
    </w:pPr>
    <w:rPr>
      <w:b/>
      <w:bCs/>
      <w:color w:val="FFFFFF"/>
      <w:sz w:val="32"/>
      <w:szCs w:val="32"/>
    </w:rPr>
  </w:style>
  <w:style w:type="paragraph" w:customStyle="1" w:styleId="Headline">
    <w:name w:val="Headline"/>
    <w:basedOn w:val="Normal"/>
    <w:next w:val="Normal"/>
    <w:link w:val="HeadlineChar"/>
    <w:qFormat/>
    <w:rsid w:val="000D031F"/>
    <w:rPr>
      <w:rFonts w:ascii="Segoe UI Semilight" w:hAnsi="Segoe UI Semilight" w:cs="Segoe UI Semilight"/>
      <w:b/>
      <w:bCs/>
      <w:color w:val="FFFFFF"/>
      <w:sz w:val="40"/>
      <w:szCs w:val="40"/>
    </w:rPr>
  </w:style>
  <w:style w:type="paragraph" w:customStyle="1" w:styleId="ExhibitTitle">
    <w:name w:val="Exhibit Title"/>
    <w:basedOn w:val="Normal"/>
    <w:qFormat/>
    <w:rsid w:val="000D031F"/>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0D031F"/>
    <w:pPr>
      <w:shd w:val="clear" w:color="auto" w:fill="D6E2FA"/>
      <w:spacing w:after="0"/>
    </w:pPr>
    <w:rPr>
      <w:color w:val="595959" w:themeColor="text1" w:themeTint="A6"/>
      <w:sz w:val="18"/>
    </w:rPr>
  </w:style>
  <w:style w:type="paragraph" w:customStyle="1" w:styleId="ExhibitSource">
    <w:name w:val="Exhibit Source"/>
    <w:next w:val="Normal"/>
    <w:qFormat/>
    <w:rsid w:val="000D031F"/>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0D031F"/>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0D031F"/>
    <w:pPr>
      <w:numPr>
        <w:numId w:val="5"/>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0D031F"/>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0D031F"/>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0D031F"/>
    <w:rPr>
      <w:rFonts w:ascii="Segoe UI" w:hAnsi="Segoe UI" w:cs="Segoe UI"/>
      <w:noProof w:val="0"/>
      <w:color w:val="000000" w:themeColor="text1"/>
    </w:rPr>
  </w:style>
  <w:style w:type="paragraph" w:customStyle="1" w:styleId="Summary">
    <w:name w:val="Summary"/>
    <w:basedOn w:val="Normal"/>
    <w:link w:val="SummaryChar"/>
    <w:qFormat/>
    <w:rsid w:val="000D031F"/>
    <w:pPr>
      <w:numPr>
        <w:numId w:val="1"/>
      </w:numPr>
      <w:ind w:left="1797" w:hanging="357"/>
    </w:pPr>
    <w:rPr>
      <w:kern w:val="2"/>
      <w:sz w:val="22"/>
      <w14:ligatures w14:val="standardContextual"/>
    </w:rPr>
  </w:style>
  <w:style w:type="paragraph" w:customStyle="1" w:styleId="TableData">
    <w:name w:val="Table Data"/>
    <w:link w:val="TableDataChar"/>
    <w:qFormat/>
    <w:rsid w:val="000D031F"/>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0D031F"/>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0D031F"/>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0D031F"/>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0D031F"/>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0D031F"/>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0D031F"/>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0D031F"/>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0D031F"/>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0D031F"/>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0D031F"/>
    <w:rPr>
      <w:color w:val="003469"/>
    </w:rPr>
  </w:style>
  <w:style w:type="character" w:customStyle="1" w:styleId="RepeatingFooterChar">
    <w:name w:val="Repeating Footer Char"/>
    <w:basedOn w:val="FooterChar"/>
    <w:link w:val="RepeatingFooter"/>
    <w:rsid w:val="000D031F"/>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0D031F"/>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0D031F"/>
    <w:rPr>
      <w:b/>
      <w:bCs/>
      <w:noProof w:val="0"/>
    </w:rPr>
  </w:style>
  <w:style w:type="character" w:customStyle="1" w:styleId="Italics">
    <w:name w:val="Italics"/>
    <w:uiPriority w:val="1"/>
    <w:qFormat/>
    <w:rsid w:val="000D031F"/>
    <w:rPr>
      <w:i/>
      <w:iCs/>
      <w:noProof w:val="0"/>
    </w:rPr>
  </w:style>
  <w:style w:type="table" w:customStyle="1" w:styleId="TableGridHeader">
    <w:name w:val="Table Grid Header"/>
    <w:basedOn w:val="TableNormal"/>
    <w:uiPriority w:val="99"/>
    <w:rsid w:val="000D031F"/>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my.oxfordeconomics.com/reportaction/672900D7fcDE46049B5524/Toc" TargetMode="External"/><Relationship Id="rId26" Type="http://schemas.openxmlformats.org/officeDocument/2006/relationships/image" Target="media/image8.svg"/><Relationship Id="rId3" Type="http://schemas.openxmlformats.org/officeDocument/2006/relationships/settings" Target="settings.xml"/><Relationship Id="rId21" Type="http://schemas.openxmlformats.org/officeDocument/2006/relationships/hyperlink" Target="https://www.bankofengland.co.uk/-/media/boe/files/speech/2025/july/the-end-of-the-road-speech-by-alan-taylor.pdf" TargetMode="External"/><Relationship Id="rId34" Type="http://schemas.openxmlformats.org/officeDocument/2006/relationships/theme" Target="theme/theme1.xml"/><Relationship Id="rId7" Type="http://schemas.openxmlformats.org/officeDocument/2006/relationships/hyperlink" Target="https://my.oxfordeconomics.com/reportaction/2ed8426982CF46Db869695/Toc" TargetMode="External"/><Relationship Id="rId12" Type="http://schemas.openxmlformats.org/officeDocument/2006/relationships/footer" Target="footer1.xml"/><Relationship Id="rId17" Type="http://schemas.openxmlformats.org/officeDocument/2006/relationships/hyperlink" Target="https://www.bankofengland.co.uk/decision-maker-panel/2025/june-2025" TargetMode="External"/><Relationship Id="rId25" Type="http://schemas.openxmlformats.org/officeDocument/2006/relationships/image" Target="media/image7.png"/><Relationship Id="rId33"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hyperlink" Target="https://www.bankofengland.co.uk/monetary-policy-summary-and-minutes/2025/june-2025" TargetMode="External"/><Relationship Id="rId20" Type="http://schemas.openxmlformats.org/officeDocument/2006/relationships/image" Target="media/image6.svg"/><Relationship Id="rId29" Type="http://schemas.openxmlformats.org/officeDocument/2006/relationships/image" Target="media/image10.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yperlink" Target="https://www.bankofengland.co.uk/-/media/boe/files/speech/2025/july/the-end-of-the-road-speech-by-alan-taylor.pdf"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yperlink" Target="https://www.bankofengland.co.uk/monetary-policy-summary-and-minutes/2025/june-2025" TargetMode="External"/><Relationship Id="rId28" Type="http://schemas.openxmlformats.org/officeDocument/2006/relationships/image" Target="media/image9.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hyperlink" Target="https://my.oxfordeconomics.com/reportaction/135FD4E926344dD99967d8/Toc" TargetMode="External"/><Relationship Id="rId4" Type="http://schemas.openxmlformats.org/officeDocument/2006/relationships/webSettings" Target="webSettings.xml"/><Relationship Id="rId9" Type="http://schemas.openxmlformats.org/officeDocument/2006/relationships/image" Target="media/image2.svg"/><Relationship Id="rId14" Type="http://schemas.openxmlformats.org/officeDocument/2006/relationships/header" Target="header3.xml"/><Relationship Id="rId22" Type="http://schemas.openxmlformats.org/officeDocument/2006/relationships/hyperlink" Target="https://my.oxfordeconomics.com/reportaction/bd7E53C25c81465da45E25/Toc" TargetMode="External"/><Relationship Id="rId27" Type="http://schemas.openxmlformats.org/officeDocument/2006/relationships/hyperlink" Target="https://my.oxfordeconomics.com/reportaction/e163F04145694f9abBaFbe/Toc" TargetMode="External"/><Relationship Id="rId30" Type="http://schemas.openxmlformats.org/officeDocument/2006/relationships/hyperlink" Target="https://www.bankofengland.co.uk/monetary-policy-report/2024/august-2024" TargetMode="Externa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0C5B786F-6AA7-4F31-B263-2BA013C3C43B}"/>
      </w:docPartPr>
      <w:docPartBody>
        <w:p w:rsidR="005C5E39" w:rsidRDefault="005C5E39">
          <w:r w:rsidRPr="007B58B3">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E39"/>
    <w:rsid w:val="00145D0D"/>
    <w:rsid w:val="001B3F0D"/>
    <w:rsid w:val="00352ABB"/>
    <w:rsid w:val="004164E0"/>
    <w:rsid w:val="005C5E39"/>
    <w:rsid w:val="00746AB9"/>
    <w:rsid w:val="00984B56"/>
    <w:rsid w:val="00AE4C5C"/>
    <w:rsid w:val="00B41420"/>
    <w:rsid w:val="00D309AA"/>
    <w:rsid w:val="00FD7B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1838</TotalTime>
  <Pages>4</Pages>
  <Words>2111</Words>
  <Characters>10558</Characters>
  <Application>Microsoft Office Word</Application>
  <DocSecurity>0</DocSecurity>
  <Lines>140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Allenby</dc:creator>
  <cp:keywords/>
  <dc:description/>
  <cp:lastModifiedBy>Edward Allenby</cp:lastModifiedBy>
  <cp:revision>825</cp:revision>
  <dcterms:created xsi:type="dcterms:W3CDTF">2025-07-16T16:53:00Z</dcterms:created>
  <dcterms:modified xsi:type="dcterms:W3CDTF">2025-07-31T09:36:00Z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2025-07-31T09:02:18.000Z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v0.8.1.1</vt:lpwstr>
  </property>
  <property fmtid="{D5CDD505-2E9C-101B-9397-08002B2CF9AE}" pid="10" name="OEP_ANALYST_FULLNAME">
    <vt:lpwstr>Edward Allenby</vt:lpwstr>
  </property>
  <property fmtid="{D5CDD505-2E9C-101B-9397-08002B2CF9AE}" pid="11" name="OEP_ANALYST_JOBTITLE">
    <vt:lpwstr>UK Economist</vt:lpwstr>
  </property>
  <property fmtid="{D5CDD505-2E9C-101B-9397-08002B2CF9AE}" pid="12" name="OEP_ANALYST_EMAIL">
    <vt:lpwstr>eallenby@oxfordeconomics.com</vt:lpwstr>
  </property>
  <property fmtid="{D5CDD505-2E9C-101B-9397-08002B2CF9AE}" pid="13" name="OEP_AUTHORS">
    <vt:lpwstr>Edward Allenby|UK Economist|eallenby@oxfordeconomics.com_x000d_</vt:lpwstr>
  </property>
  <property fmtid="{D5CDD505-2E9C-101B-9397-08002B2CF9AE}" pid="14" name="OEP_CATEGORIES">
    <vt:lpwstr>AnalysisbyRegion-Europe-UnitedKingdom,Macro-ResearchBriefings-UnitedKingdom</vt:lpwstr>
  </property>
  <property fmtid="{D5CDD505-2E9C-101B-9397-08002B2CF9AE}" pid="15" name="OEP_TAGS">
    <vt:lpwstr>Key Themes:interest rates,monetary policy</vt:lpwstr>
  </property>
  <property fmtid="{D5CDD505-2E9C-101B-9397-08002B2CF9AE}" pid="16" name="OEP_PRODUCT_CODE">
    <vt:lpwstr>9e54C2Bb53104572941179</vt:lpwstr>
  </property>
  <property fmtid="{D5CDD505-2E9C-101B-9397-08002B2CF9AE}" pid="17" name="OEP_PUBLISH_DATE">
    <vt:lpwstr/>
  </property>
</Properties>
</file>