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A05F1" w14:textId="1175ADBA" w:rsidR="00764C44" w:rsidRDefault="00E042BB" w:rsidP="004D0117">
      <w:pPr>
        <w:pStyle w:val="Bullet"/>
        <w:pBdr>
          <w:bottom w:val="single" w:sz="48" w:space="0" w:color="F2F2F2" w:themeColor="background1" w:themeShade="F2"/>
        </w:pBdr>
      </w:pPr>
      <w:r w:rsidRPr="00E042BB">
        <w:t>In our view, the UK economy remains exceptionally fragile</w:t>
      </w:r>
      <w:r w:rsidR="00B24FFD">
        <w:t>;</w:t>
      </w:r>
      <w:r w:rsidRPr="00E042BB">
        <w:t xml:space="preserve"> </w:t>
      </w:r>
      <w:r w:rsidR="008452D9">
        <w:t>subdued</w:t>
      </w:r>
      <w:r w:rsidRPr="00E042BB">
        <w:t xml:space="preserve"> growth</w:t>
      </w:r>
      <w:r w:rsidR="00D11AB0">
        <w:t xml:space="preserve"> and</w:t>
      </w:r>
      <w:r w:rsidRPr="00E042BB">
        <w:t xml:space="preserve"> high inflation</w:t>
      </w:r>
      <w:r w:rsidR="00D11AB0">
        <w:t xml:space="preserve"> (</w:t>
      </w:r>
      <w:r w:rsidR="006554B7">
        <w:t xml:space="preserve">mild </w:t>
      </w:r>
      <w:r w:rsidR="00D11AB0">
        <w:t>stagflation)</w:t>
      </w:r>
      <w:r w:rsidR="00E20C99">
        <w:t>,</w:t>
      </w:r>
      <w:r w:rsidRPr="00E042BB">
        <w:t xml:space="preserve"> and a weak fiscal position are set to persist as a sustainable driver of UK growth </w:t>
      </w:r>
      <w:r w:rsidR="00B24FFD">
        <w:t>ha</w:t>
      </w:r>
      <w:r w:rsidR="00B24FFD" w:rsidRPr="00E042BB">
        <w:t xml:space="preserve">s </w:t>
      </w:r>
      <w:r w:rsidRPr="00E042BB">
        <w:t>yet to emerge</w:t>
      </w:r>
      <w:r w:rsidR="00873FEB">
        <w:t>.</w:t>
      </w:r>
    </w:p>
    <w:p w14:paraId="7E408BAA" w14:textId="29294C36" w:rsidR="00D06C7F" w:rsidRDefault="00873FEB" w:rsidP="004D0117">
      <w:pPr>
        <w:pStyle w:val="Bullet"/>
        <w:pBdr>
          <w:bottom w:val="single" w:sz="48" w:space="0" w:color="F2F2F2" w:themeColor="background1" w:themeShade="F2"/>
        </w:pBdr>
      </w:pPr>
      <w:r>
        <w:t xml:space="preserve">The Budget </w:t>
      </w:r>
      <w:r w:rsidR="008C5F33">
        <w:t>may contribute</w:t>
      </w:r>
      <w:r>
        <w:t xml:space="preserve"> to the headwinds</w:t>
      </w:r>
      <w:r w:rsidR="00764C44">
        <w:t>.</w:t>
      </w:r>
      <w:r>
        <w:t xml:space="preserve"> </w:t>
      </w:r>
      <w:r w:rsidR="00004E7B">
        <w:t xml:space="preserve">Media speculation that the UK </w:t>
      </w:r>
      <w:r w:rsidR="00C61D6D">
        <w:t>risks</w:t>
      </w:r>
      <w:r w:rsidR="00004E7B">
        <w:t xml:space="preserve"> a 1970s-style fiscal crisis is</w:t>
      </w:r>
      <w:r w:rsidR="008C5F33">
        <w:t xml:space="preserve"> overstated</w:t>
      </w:r>
      <w:r w:rsidR="00004E7B">
        <w:t xml:space="preserve">. But </w:t>
      </w:r>
      <w:r w:rsidR="00D06C7F">
        <w:t>the fiscal situation is poor and</w:t>
      </w:r>
      <w:r w:rsidR="00B24FFD">
        <w:t>,</w:t>
      </w:r>
      <w:r w:rsidR="00D06C7F">
        <w:t xml:space="preserve"> as recent weeks ha</w:t>
      </w:r>
      <w:r w:rsidR="008C5F33">
        <w:t>ve shown</w:t>
      </w:r>
      <w:r w:rsidR="00D06C7F">
        <w:t>, UK bond yields are particularly vulnerable to swings in market sentiment.</w:t>
      </w:r>
    </w:p>
    <w:p w14:paraId="49F42BB5" w14:textId="586F21D1" w:rsidR="00764C44" w:rsidRDefault="00D06C7F" w:rsidP="004D0117">
      <w:pPr>
        <w:pStyle w:val="Bullet"/>
        <w:pBdr>
          <w:bottom w:val="single" w:sz="48" w:space="0" w:color="F2F2F2" w:themeColor="background1" w:themeShade="F2"/>
        </w:pBdr>
      </w:pPr>
      <w:r>
        <w:t>W</w:t>
      </w:r>
      <w:r w:rsidR="00873FEB">
        <w:t>e think the government will need to tighten policy by around £30bn</w:t>
      </w:r>
      <w:r w:rsidR="00004E7B">
        <w:t xml:space="preserve"> in November</w:t>
      </w:r>
      <w:r w:rsidR="00DA1648">
        <w:t xml:space="preserve"> to stay compliant with its fiscal rules</w:t>
      </w:r>
      <w:r w:rsidR="00873FEB">
        <w:t xml:space="preserve">. We expect the freeze on </w:t>
      </w:r>
      <w:r w:rsidR="00CE0B89">
        <w:t xml:space="preserve">tax </w:t>
      </w:r>
      <w:r w:rsidR="00873FEB">
        <w:t xml:space="preserve">thresholds and allowances </w:t>
      </w:r>
      <w:r w:rsidR="00B24FFD">
        <w:t xml:space="preserve">to </w:t>
      </w:r>
      <w:r w:rsidR="00873FEB">
        <w:t xml:space="preserve">be extended beyond </w:t>
      </w:r>
      <w:r w:rsidR="004D0117">
        <w:t xml:space="preserve">fiscal year </w:t>
      </w:r>
      <w:r w:rsidR="00873FEB">
        <w:t xml:space="preserve">2027-2028, </w:t>
      </w:r>
      <w:r w:rsidR="00B24FFD">
        <w:t xml:space="preserve">with </w:t>
      </w:r>
      <w:r w:rsidR="00EA50C8">
        <w:t xml:space="preserve">more narrowly focused </w:t>
      </w:r>
      <w:r w:rsidR="00873FEB">
        <w:t xml:space="preserve">tax </w:t>
      </w:r>
      <w:r w:rsidR="00EA50C8">
        <w:t>hike</w:t>
      </w:r>
      <w:r w:rsidR="00873FEB">
        <w:t>s bit</w:t>
      </w:r>
      <w:r w:rsidR="00B24FFD">
        <w:t>ing</w:t>
      </w:r>
      <w:r w:rsidR="00873FEB">
        <w:t xml:space="preserve"> sooner.</w:t>
      </w:r>
    </w:p>
    <w:p w14:paraId="25E27AB4" w14:textId="52000916" w:rsidR="003061F7" w:rsidRDefault="00B24FFD" w:rsidP="004D0117">
      <w:pPr>
        <w:pStyle w:val="Bullet"/>
        <w:pBdr>
          <w:bottom w:val="single" w:sz="48" w:space="0" w:color="F2F2F2" w:themeColor="background1" w:themeShade="F2"/>
        </w:pBdr>
      </w:pPr>
      <w:r>
        <w:t xml:space="preserve">More </w:t>
      </w:r>
      <w:r w:rsidR="00F317CB">
        <w:t xml:space="preserve">interest rate cuts </w:t>
      </w:r>
      <w:r w:rsidR="003061F7">
        <w:t xml:space="preserve">are </w:t>
      </w:r>
      <w:r w:rsidR="00F317CB">
        <w:t xml:space="preserve">likely, </w:t>
      </w:r>
      <w:r w:rsidR="004D0117">
        <w:t xml:space="preserve">but given </w:t>
      </w:r>
      <w:r w:rsidR="00670A56">
        <w:t>the Monetary Policy Committee's</w:t>
      </w:r>
      <w:r w:rsidR="004D0117">
        <w:t xml:space="preserve"> concerns about the strength of underlying inflationary pressures</w:t>
      </w:r>
      <w:r w:rsidR="004D0117" w:rsidRPr="004D0117">
        <w:t xml:space="preserve"> </w:t>
      </w:r>
      <w:r w:rsidR="004D0117">
        <w:t xml:space="preserve">and that rates are moving closer to neutral territory, we expect </w:t>
      </w:r>
      <w:r>
        <w:t xml:space="preserve">it </w:t>
      </w:r>
      <w:r w:rsidR="004D0117">
        <w:t xml:space="preserve">to adopt a more cautious approach. </w:t>
      </w:r>
    </w:p>
    <w:p w14:paraId="3A3B01E8" w14:textId="693D2537" w:rsidR="00764C44" w:rsidRDefault="004D0117" w:rsidP="004D0117">
      <w:pPr>
        <w:pStyle w:val="Bullet"/>
        <w:pBdr>
          <w:bottom w:val="single" w:sz="48" w:space="0" w:color="F2F2F2" w:themeColor="background1" w:themeShade="F2"/>
        </w:pBdr>
      </w:pPr>
      <w:r>
        <w:t xml:space="preserve">We </w:t>
      </w:r>
      <w:r w:rsidR="008C5F33">
        <w:t>anticipate</w:t>
      </w:r>
      <w:r>
        <w:t xml:space="preserve"> the MPC </w:t>
      </w:r>
      <w:r w:rsidR="008C5F33">
        <w:t xml:space="preserve">skipping </w:t>
      </w:r>
      <w:r>
        <w:t xml:space="preserve">a </w:t>
      </w:r>
      <w:r w:rsidR="008C5F33">
        <w:t xml:space="preserve">November rate </w:t>
      </w:r>
      <w:r>
        <w:t>cut and expect Bank Rate to end next year at 3.5%, 50bps higher than our previous forecast</w:t>
      </w:r>
      <w:r w:rsidR="00943CAD">
        <w:t xml:space="preserve"> but </w:t>
      </w:r>
      <w:r w:rsidR="008C5F33">
        <w:t xml:space="preserve">still </w:t>
      </w:r>
      <w:r w:rsidR="00943CAD">
        <w:t>below current market pricing</w:t>
      </w:r>
      <w:r w:rsidR="00F317CB">
        <w:t>.</w:t>
      </w:r>
    </w:p>
    <w:p w14:paraId="2366C308" w14:textId="5F09AE0E" w:rsidR="00D7490E" w:rsidRDefault="002118C5" w:rsidP="00764C44">
      <w:r>
        <w:t>The UK enjoyed the strongest</w:t>
      </w:r>
      <w:r w:rsidR="003B5567">
        <w:t xml:space="preserve"> H1</w:t>
      </w:r>
      <w:r>
        <w:t xml:space="preserve"> GDP growth in the G7, growing by </w:t>
      </w:r>
      <w:r w:rsidR="00C37DBD">
        <w:t>1.9</w:t>
      </w:r>
      <w:r>
        <w:t>% on an annualised basis</w:t>
      </w:r>
      <w:r w:rsidR="00764C44">
        <w:t>.</w:t>
      </w:r>
      <w:r>
        <w:t xml:space="preserve"> </w:t>
      </w:r>
      <w:r w:rsidR="00C37DBD">
        <w:t xml:space="preserve">But we regard this as an anomaly rather a sign that the UK economy has emerged from years in the doldrums. </w:t>
      </w:r>
      <w:r w:rsidR="008F4A2F">
        <w:t>T</w:t>
      </w:r>
      <w:r w:rsidR="00C37DBD">
        <w:t xml:space="preserve">he competition was scarcely fierce – three of the </w:t>
      </w:r>
      <w:r w:rsidR="00A72FF3">
        <w:t xml:space="preserve">other </w:t>
      </w:r>
      <w:r w:rsidR="00C37DBD">
        <w:t xml:space="preserve">countries scraped above 1% and the </w:t>
      </w:r>
      <w:r w:rsidR="00A72FF3">
        <w:t>remaining</w:t>
      </w:r>
      <w:r w:rsidR="00C37DBD">
        <w:t xml:space="preserve"> three were well below</w:t>
      </w:r>
      <w:r w:rsidR="008F4A2F">
        <w:t>. W</w:t>
      </w:r>
      <w:r w:rsidR="004B3CAA">
        <w:t xml:space="preserve">e </w:t>
      </w:r>
      <w:r w:rsidR="008F4A2F">
        <w:t xml:space="preserve">also </w:t>
      </w:r>
      <w:r w:rsidR="004B3CAA">
        <w:t xml:space="preserve">think the UK's performance was flattered by ongoing problems with residual seasonality in the GDP series. For each of the past </w:t>
      </w:r>
      <w:r w:rsidR="007943D0">
        <w:t>three</w:t>
      </w:r>
      <w:r w:rsidR="004B3CAA">
        <w:t xml:space="preserve"> years</w:t>
      </w:r>
      <w:r w:rsidR="00D37F59">
        <w:t xml:space="preserve">, activity growth </w:t>
      </w:r>
      <w:r w:rsidR="003061F7">
        <w:t>was</w:t>
      </w:r>
      <w:r w:rsidR="00D37F59">
        <w:t xml:space="preserve"> strong in the early months of the year before petering out </w:t>
      </w:r>
      <w:r w:rsidR="007943D0">
        <w:t xml:space="preserve">in </w:t>
      </w:r>
      <w:r w:rsidR="003061F7">
        <w:t xml:space="preserve">the second half </w:t>
      </w:r>
      <w:r w:rsidR="00D37F59">
        <w:t>(</w:t>
      </w:r>
      <w:r w:rsidR="00B41857" w:rsidRPr="00D16AB3">
        <w:rPr>
          <w:b/>
          <w:color w:val="003469"/>
        </w:rPr>
        <w:fldChar w:fldCharType="begin"/>
      </w:r>
      <w:r w:rsidR="00D16AB3" w:rsidRPr="00D16AB3">
        <w:rPr>
          <w:b/>
          <w:color w:val="003469"/>
        </w:rPr>
        <w:instrText xml:space="preserve">REF _Ref207888825 \h \* Charformat </w:instrText>
      </w:r>
      <w:r w:rsidR="00D16AB3" w:rsidRPr="00D16AB3">
        <w:rPr>
          <w:b/>
          <w:color w:val="003469"/>
        </w:rPr>
      </w:r>
      <w:r w:rsidR="00B41857" w:rsidRPr="00D16AB3">
        <w:rPr>
          <w:b/>
          <w:color w:val="003469"/>
        </w:rPr>
        <w:fldChar w:fldCharType="separate"/>
      </w:r>
      <w:r w:rsidR="00D16AB3" w:rsidRPr="00D16AB3">
        <w:rPr>
          <w:b/>
          <w:color w:val="003469"/>
        </w:rPr>
        <w:t>Chart 1</w:t>
      </w:r>
      <w:r w:rsidR="00B41857" w:rsidRPr="00D16AB3">
        <w:rPr>
          <w:b/>
          <w:color w:val="003469"/>
        </w:rPr>
        <w:fldChar w:fldCharType="end"/>
      </w:r>
      <w:r w:rsidR="00D37F59">
        <w:t xml:space="preserve">). </w:t>
      </w:r>
    </w:p>
    <w:p w14:paraId="36F79AEB" w14:textId="1D6C373F" w:rsidR="008452D9" w:rsidRDefault="00D37F59" w:rsidP="00D7490E">
      <w:r>
        <w:t xml:space="preserve">So far, the 2025 experience has closely matched earlier years. </w:t>
      </w:r>
      <w:r w:rsidR="00B624EA">
        <w:t>W</w:t>
      </w:r>
      <w:r>
        <w:t xml:space="preserve">e think there's strong grounds to expect this to continue, so we forecast annualised growth of just 0.6% in H2. </w:t>
      </w:r>
      <w:r w:rsidR="004F53C6">
        <w:t>O</w:t>
      </w:r>
      <w:r>
        <w:t>ur calendar</w:t>
      </w:r>
      <w:r w:rsidR="003061F7">
        <w:t>-</w:t>
      </w:r>
      <w:r>
        <w:t>year growth forecast of 1.3% represents a better guide to the underlying strength of the UK economy</w:t>
      </w:r>
      <w:r w:rsidR="004F53C6">
        <w:t xml:space="preserve"> than the stronger </w:t>
      </w:r>
      <w:r w:rsidR="00E63FF7">
        <w:t>H</w:t>
      </w:r>
      <w:r w:rsidR="004F53C6">
        <w:t>1</w:t>
      </w:r>
      <w:r>
        <w:t>.</w:t>
      </w:r>
      <w:r w:rsidR="00B624EA">
        <w:t xml:space="preserve"> </w:t>
      </w:r>
    </w:p>
    <w:p w14:paraId="5381156E" w14:textId="57458362" w:rsidR="00764C44" w:rsidRDefault="00764C44" w:rsidP="001D3B4A">
      <w:pPr>
        <w:pStyle w:val="ExhibitTitle"/>
        <w:jc w:val="center"/>
      </w:pPr>
      <w:bookmarkStart w:id="0" w:name="_Ref207888825"/>
      <w:r>
        <w:t xml:space="preserve">Chart </w:t>
      </w:r>
      <w:r>
        <w:fldChar w:fldCharType="begin"/>
      </w:r>
      <w:r w:rsidR="004D7603">
        <w:instrText>SEQ CHART</w:instrText>
      </w:r>
      <w:r>
        <w:fldChar w:fldCharType="separate"/>
      </w:r>
      <w:r w:rsidR="00A12A9A">
        <w:rPr>
          <w:noProof/>
        </w:rPr>
        <w:t>1</w:t>
      </w:r>
      <w:r>
        <w:fldChar w:fldCharType="end"/>
      </w:r>
      <w:bookmarkEnd w:id="0"/>
      <w:r>
        <w:t xml:space="preserve">: </w:t>
      </w:r>
      <w:r w:rsidR="00B624EA">
        <w:t>We think residual seasonality flattered the performance of the UK economy in H1</w:t>
      </w:r>
    </w:p>
    <w:p w14:paraId="10B0894E" w14:textId="37D6B81C" w:rsidR="004D7603" w:rsidRDefault="004D7603" w:rsidP="001D3B4A">
      <w:pPr>
        <w:spacing w:after="0"/>
        <w:jc w:val="center"/>
        <w:rPr>
          <w:noProof/>
        </w:rPr>
      </w:pPr>
      <w:r>
        <w:rPr>
          <w:noProof/>
        </w:rPr>
        <w:drawing>
          <wp:inline distT="0" distB="0" distL="0" distR="0" wp14:anchorId="4361D09B" wp14:editId="0D1C8CE3">
            <wp:extent cx="4006964" cy="3142930"/>
            <wp:effectExtent l="0" t="0" r="0" b="635"/>
            <wp:docPr id="20000110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11007" name=""/>
                    <pic:cNvPicPr/>
                  </pic:nvPicPr>
                  <pic:blipFill>
                    <a:blip r:embed="rId7">
                      <a:extLst>
                        <a:ext uri="{96DAC541-7B7A-43D3-8B79-37D633B846F1}">
                          <asvg:svgBlip xmlns:asvg="http://schemas.microsoft.com/office/drawing/2016/SVG/main" r:embed="rId8"/>
                        </a:ext>
                      </a:extLst>
                    </a:blip>
                    <a:srcRect b="1889"/>
                    <a:stretch>
                      <a:fillRect/>
                    </a:stretch>
                  </pic:blipFill>
                  <pic:spPr>
                    <a:xfrm>
                      <a:off x="0" y="0"/>
                      <a:ext cx="4006964" cy="3142930"/>
                    </a:xfrm>
                    <a:prstGeom prst="rect">
                      <a:avLst/>
                    </a:prstGeom>
                  </pic:spPr>
                </pic:pic>
              </a:graphicData>
            </a:graphic>
          </wp:inline>
        </w:drawing>
      </w:r>
    </w:p>
    <w:p w14:paraId="1FB57A65" w14:textId="389F1C31" w:rsidR="00764C44" w:rsidRDefault="001D3B4A" w:rsidP="001D3B4A">
      <w:pPr>
        <w:pStyle w:val="ExhibitSource"/>
        <w:jc w:val="center"/>
      </w:pPr>
      <w:r>
        <w:t>Sources: Oxford Economics, Haver Analytics</w:t>
      </w:r>
    </w:p>
    <w:p w14:paraId="0E7533EC" w14:textId="7F55F56E" w:rsidR="00764C44" w:rsidRDefault="00764C44" w:rsidP="00764C44">
      <w:pPr>
        <w:pStyle w:val="ExhibitSource"/>
        <w:jc w:val="center"/>
        <w:sectPr w:rsidR="00764C44" w:rsidSect="001D3B4A">
          <w:headerReference w:type="even" r:id="rId9"/>
          <w:headerReference w:type="default" r:id="rId10"/>
          <w:footerReference w:type="default" r:id="rId11"/>
          <w:headerReference w:type="first" r:id="rId12"/>
          <w:footerReference w:type="first" r:id="rId13"/>
          <w:pgSz w:w="11906" w:h="16838"/>
          <w:pgMar w:top="1417" w:right="1276" w:bottom="818" w:left="1134" w:header="708" w:footer="300" w:gutter="0"/>
          <w:cols w:space="708"/>
          <w:titlePg/>
          <w:docGrid w:linePitch="360"/>
        </w:sectPr>
      </w:pPr>
    </w:p>
    <w:p w14:paraId="1432EA9C" w14:textId="7798726C" w:rsidR="00E64350" w:rsidRDefault="00E64350" w:rsidP="00E64350">
      <w:r>
        <w:lastRenderedPageBreak/>
        <w:t xml:space="preserve">We expect a slight loss of momentum as we move into 2026. Our forecast that the economy will grow by 0.9% is slightly weaker than the </w:t>
      </w:r>
      <w:hyperlink r:id="rId14" w:history="1">
        <w:r w:rsidRPr="00B624EA">
          <w:rPr>
            <w:rStyle w:val="Hyperlink"/>
          </w:rPr>
          <w:t>consensus</w:t>
        </w:r>
      </w:hyperlink>
      <w:r w:rsidR="001E5EE3">
        <w:t>'</w:t>
      </w:r>
      <w:r>
        <w:t xml:space="preserve"> 1.1%</w:t>
      </w:r>
      <w:r w:rsidR="001E5EE3">
        <w:t xml:space="preserve"> </w:t>
      </w:r>
      <w:r>
        <w:t xml:space="preserve">and the </w:t>
      </w:r>
      <w:hyperlink r:id="rId15" w:history="1">
        <w:r w:rsidRPr="00B624EA">
          <w:rPr>
            <w:rStyle w:val="Hyperlink"/>
          </w:rPr>
          <w:t>Bank of England's latest forecast</w:t>
        </w:r>
      </w:hyperlink>
      <w:r>
        <w:t xml:space="preserve"> </w:t>
      </w:r>
      <w:r w:rsidR="001E5EE3">
        <w:t xml:space="preserve">of </w:t>
      </w:r>
      <w:r>
        <w:t>1.25%.</w:t>
      </w:r>
    </w:p>
    <w:p w14:paraId="76783122" w14:textId="4D6361A4" w:rsidR="005A3D5B" w:rsidRDefault="005A3D5B" w:rsidP="00FE2F0D">
      <w:pPr>
        <w:pStyle w:val="Heading3"/>
      </w:pPr>
      <w:r>
        <w:t>Domestic headwinds will subdue the pace of growth</w:t>
      </w:r>
    </w:p>
    <w:p w14:paraId="0D720DA3" w14:textId="12670230" w:rsidR="00764C44" w:rsidRDefault="000B34D6" w:rsidP="00764C44">
      <w:r>
        <w:t>Our relative pessimism is largely based on the strength of domestic headwinds</w:t>
      </w:r>
      <w:r w:rsidR="00764C44">
        <w:t>.</w:t>
      </w:r>
      <w:r>
        <w:t xml:space="preserve"> We calculate that fiscal policy is being tightened </w:t>
      </w:r>
      <w:r w:rsidR="003341D3">
        <w:t>to a greater extent</w:t>
      </w:r>
      <w:r>
        <w:t xml:space="preserve"> in the current fiscal year than in any of the past 15 years </w:t>
      </w:r>
      <w:r w:rsidR="003B5567">
        <w:t>except</w:t>
      </w:r>
      <w:r>
        <w:t xml:space="preserve"> </w:t>
      </w:r>
      <w:r w:rsidR="00EF1847">
        <w:t>the pandemic period (</w:t>
      </w:r>
      <w:r w:rsidR="00B41857" w:rsidRPr="00D16AB3">
        <w:rPr>
          <w:b/>
          <w:color w:val="003469"/>
        </w:rPr>
        <w:fldChar w:fldCharType="begin"/>
      </w:r>
      <w:r w:rsidR="00D16AB3" w:rsidRPr="00D16AB3">
        <w:rPr>
          <w:b/>
          <w:color w:val="003469"/>
        </w:rPr>
        <w:instrText xml:space="preserve">REF _Ref207888826 \h \* Charformat </w:instrText>
      </w:r>
      <w:r w:rsidR="00D16AB3" w:rsidRPr="00D16AB3">
        <w:rPr>
          <w:b/>
          <w:color w:val="003469"/>
        </w:rPr>
      </w:r>
      <w:r w:rsidR="00B41857" w:rsidRPr="00D16AB3">
        <w:rPr>
          <w:b/>
          <w:color w:val="003469"/>
        </w:rPr>
        <w:fldChar w:fldCharType="separate"/>
      </w:r>
      <w:r w:rsidR="00D16AB3" w:rsidRPr="00D16AB3">
        <w:rPr>
          <w:b/>
          <w:color w:val="003469"/>
        </w:rPr>
        <w:t>Chart 2</w:t>
      </w:r>
      <w:r w:rsidR="00B41857" w:rsidRPr="00D16AB3">
        <w:rPr>
          <w:b/>
          <w:color w:val="003469"/>
        </w:rPr>
        <w:fldChar w:fldCharType="end"/>
      </w:r>
      <w:r w:rsidR="00EF1847">
        <w:t>).</w:t>
      </w:r>
      <w:r>
        <w:t xml:space="preserve"> </w:t>
      </w:r>
      <w:r w:rsidR="001E5EE3">
        <w:t>T</w:t>
      </w:r>
      <w:r w:rsidR="00EF1847">
        <w:t xml:space="preserve">hough the squeeze will be smaller next year, we estimate it will still be comparable to the </w:t>
      </w:r>
      <w:r w:rsidR="003341D3">
        <w:t>most austere</w:t>
      </w:r>
      <w:r w:rsidR="00EF1847">
        <w:t xml:space="preserve"> years of the 2010-2015 coalition government.</w:t>
      </w:r>
    </w:p>
    <w:p w14:paraId="2C87CFDC" w14:textId="27CFD35C" w:rsidR="00764C44" w:rsidRDefault="00764C44" w:rsidP="00FE2F0D">
      <w:pPr>
        <w:pStyle w:val="ExhibitTitle"/>
      </w:pPr>
      <w:bookmarkStart w:id="1" w:name="_Ref207888826"/>
      <w:r>
        <w:t xml:space="preserve">Chart </w:t>
      </w:r>
      <w:r>
        <w:fldChar w:fldCharType="begin"/>
      </w:r>
      <w:r w:rsidR="00A12A9A">
        <w:instrText>SEQ CHART</w:instrText>
      </w:r>
      <w:r>
        <w:fldChar w:fldCharType="separate"/>
      </w:r>
      <w:r w:rsidR="00A12A9A">
        <w:rPr>
          <w:noProof/>
        </w:rPr>
        <w:t>2</w:t>
      </w:r>
      <w:r>
        <w:fldChar w:fldCharType="end"/>
      </w:r>
      <w:bookmarkEnd w:id="1"/>
      <w:r>
        <w:t xml:space="preserve">: </w:t>
      </w:r>
      <w:r w:rsidR="00EF1847">
        <w:t>Fiscal policy is being tightened significantly</w:t>
      </w:r>
      <w:r w:rsidR="000B73D9">
        <w:t xml:space="preserve"> this year and next</w:t>
      </w:r>
    </w:p>
    <w:p w14:paraId="6A84572B" w14:textId="13342BAE" w:rsidR="00A12A9A" w:rsidRDefault="00A12A9A" w:rsidP="00FE2F0D">
      <w:pPr>
        <w:spacing w:after="0"/>
        <w:rPr>
          <w:noProof/>
        </w:rPr>
      </w:pPr>
      <w:r>
        <w:rPr>
          <w:noProof/>
        </w:rPr>
        <w:drawing>
          <wp:inline distT="0" distB="0" distL="0" distR="0" wp14:anchorId="537C7712" wp14:editId="3DBA4EFB">
            <wp:extent cx="3250933" cy="2548068"/>
            <wp:effectExtent l="0" t="0" r="6985" b="5080"/>
            <wp:docPr id="29431196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11968" name=""/>
                    <pic:cNvPicPr/>
                  </pic:nvPicPr>
                  <pic:blipFill>
                    <a:blip r:embed="rId16">
                      <a:extLst>
                        <a:ext uri="{96DAC541-7B7A-43D3-8B79-37D633B846F1}">
                          <asvg:svgBlip xmlns:asvg="http://schemas.microsoft.com/office/drawing/2016/SVG/main" r:embed="rId17"/>
                        </a:ext>
                      </a:extLst>
                    </a:blip>
                    <a:srcRect b="1886"/>
                    <a:stretch>
                      <a:fillRect/>
                    </a:stretch>
                  </pic:blipFill>
                  <pic:spPr>
                    <a:xfrm>
                      <a:off x="0" y="0"/>
                      <a:ext cx="3250933" cy="2548068"/>
                    </a:xfrm>
                    <a:prstGeom prst="rect">
                      <a:avLst/>
                    </a:prstGeom>
                  </pic:spPr>
                </pic:pic>
              </a:graphicData>
            </a:graphic>
          </wp:inline>
        </w:drawing>
      </w:r>
    </w:p>
    <w:p w14:paraId="1874732F" w14:textId="50E8CFD9" w:rsidR="00764C44" w:rsidRDefault="00A12A9A" w:rsidP="00FE2F0D">
      <w:pPr>
        <w:pStyle w:val="ExhibitSource"/>
      </w:pPr>
      <w:r>
        <w:t>Sources: Oxford Economics, Haver Analytics</w:t>
      </w:r>
    </w:p>
    <w:p w14:paraId="5EEF0C50" w14:textId="7FF63E2D" w:rsidR="00B83441" w:rsidRDefault="0038743A" w:rsidP="00764C44">
      <w:r>
        <w:t xml:space="preserve">The bulk of the tightening </w:t>
      </w:r>
      <w:r w:rsidR="008C417F">
        <w:t xml:space="preserve">is </w:t>
      </w:r>
      <w:r>
        <w:t>com</w:t>
      </w:r>
      <w:r w:rsidR="008C417F">
        <w:t>ing</w:t>
      </w:r>
      <w:r>
        <w:t xml:space="preserve"> from the increase in employers' national insurance contributions and the ongoing freeze in most tax thresholds and allowances. </w:t>
      </w:r>
      <w:r w:rsidR="008C417F">
        <w:t>Recent labour market data suggest f</w:t>
      </w:r>
      <w:r w:rsidR="000A5586">
        <w:t>irms are dealing with the NICs increase via a combination of reducing headcount</w:t>
      </w:r>
      <w:r w:rsidR="008C417F">
        <w:t xml:space="preserve"> and</w:t>
      </w:r>
      <w:r w:rsidR="000A5586">
        <w:t xml:space="preserve"> authorising lower pay rises</w:t>
      </w:r>
      <w:r w:rsidR="003B5567">
        <w:t>; however,</w:t>
      </w:r>
      <w:r w:rsidR="008C417F">
        <w:t xml:space="preserve"> </w:t>
      </w:r>
      <w:r w:rsidR="00B83441">
        <w:t>the impact has been modest</w:t>
      </w:r>
      <w:r w:rsidR="001E5EE3" w:rsidRPr="001E5EE3">
        <w:t xml:space="preserve"> </w:t>
      </w:r>
      <w:r w:rsidR="001E5EE3">
        <w:t>in both cases</w:t>
      </w:r>
      <w:r w:rsidR="00B83441">
        <w:t xml:space="preserve">. </w:t>
      </w:r>
    </w:p>
    <w:p w14:paraId="717B261F" w14:textId="18506F6F" w:rsidR="00764C44" w:rsidRDefault="00B83441" w:rsidP="00764C44">
      <w:r>
        <w:t xml:space="preserve">Firms have been able to push some of the extra cost burden onto consumers by </w:t>
      </w:r>
      <w:r w:rsidR="000A5586">
        <w:t xml:space="preserve">putting up prices. </w:t>
      </w:r>
      <w:r w:rsidR="002F293A">
        <w:t xml:space="preserve">This has added to pressures from rising food prices and April's large increases in regulated prices. As a result, we now expect CPI inflation to briefly touch 4% in September and </w:t>
      </w:r>
      <w:r w:rsidR="004C2ED4">
        <w:t>remain above 3% until next April. Th</w:t>
      </w:r>
      <w:r w:rsidR="000B1262">
        <w:t>e</w:t>
      </w:r>
      <w:r w:rsidR="004C2ED4">
        <w:t xml:space="preserve"> combination of slowing pay growth and persistent inflation will cause real </w:t>
      </w:r>
      <w:r w:rsidR="00957416">
        <w:t>wage</w:t>
      </w:r>
      <w:r w:rsidR="004C2ED4">
        <w:t xml:space="preserve"> growth to slow sharply</w:t>
      </w:r>
      <w:r w:rsidR="000A5586">
        <w:t xml:space="preserve"> (</w:t>
      </w:r>
      <w:r w:rsidR="00B41857" w:rsidRPr="00D16AB3">
        <w:rPr>
          <w:b/>
          <w:color w:val="003469"/>
        </w:rPr>
        <w:fldChar w:fldCharType="begin"/>
      </w:r>
      <w:r w:rsidR="00D16AB3" w:rsidRPr="00D16AB3">
        <w:rPr>
          <w:b/>
          <w:color w:val="003469"/>
        </w:rPr>
        <w:instrText xml:space="preserve">REF _Ref207888827 \h \* Charformat </w:instrText>
      </w:r>
      <w:r w:rsidR="00D16AB3" w:rsidRPr="00D16AB3">
        <w:rPr>
          <w:b/>
          <w:color w:val="003469"/>
        </w:rPr>
      </w:r>
      <w:r w:rsidR="00B41857" w:rsidRPr="00D16AB3">
        <w:rPr>
          <w:b/>
          <w:color w:val="003469"/>
        </w:rPr>
        <w:fldChar w:fldCharType="separate"/>
      </w:r>
      <w:r w:rsidR="00D16AB3" w:rsidRPr="00D16AB3">
        <w:rPr>
          <w:b/>
          <w:color w:val="003469"/>
        </w:rPr>
        <w:t>Chart 3</w:t>
      </w:r>
      <w:r w:rsidR="00B41857" w:rsidRPr="00D16AB3">
        <w:rPr>
          <w:b/>
          <w:color w:val="003469"/>
        </w:rPr>
        <w:fldChar w:fldCharType="end"/>
      </w:r>
      <w:r w:rsidR="000A5586">
        <w:t>)</w:t>
      </w:r>
      <w:r w:rsidR="004C2ED4">
        <w:t>.</w:t>
      </w:r>
    </w:p>
    <w:p w14:paraId="48D30AD6" w14:textId="5530A149" w:rsidR="00764C44" w:rsidRDefault="00764C44" w:rsidP="00FE2F0D">
      <w:pPr>
        <w:pStyle w:val="ExhibitTitle"/>
      </w:pPr>
      <w:bookmarkStart w:id="2" w:name="_Ref207888827"/>
      <w:r>
        <w:t xml:space="preserve">Chart </w:t>
      </w:r>
      <w:r>
        <w:fldChar w:fldCharType="begin"/>
      </w:r>
      <w:r w:rsidR="00A12A9A">
        <w:instrText>SEQ CHART</w:instrText>
      </w:r>
      <w:r>
        <w:fldChar w:fldCharType="separate"/>
      </w:r>
      <w:r w:rsidR="00A12A9A">
        <w:rPr>
          <w:noProof/>
        </w:rPr>
        <w:t>3</w:t>
      </w:r>
      <w:r>
        <w:fldChar w:fldCharType="end"/>
      </w:r>
      <w:bookmarkEnd w:id="2"/>
      <w:r>
        <w:t xml:space="preserve">: </w:t>
      </w:r>
      <w:r w:rsidR="009A3746">
        <w:t>After a strong period, household finances are being squeezed by higher inflation</w:t>
      </w:r>
    </w:p>
    <w:p w14:paraId="6F9CFE48" w14:textId="05B5747C" w:rsidR="00A12A9A" w:rsidRDefault="00A12A9A" w:rsidP="00FE2F0D">
      <w:pPr>
        <w:spacing w:after="0"/>
        <w:rPr>
          <w:noProof/>
        </w:rPr>
      </w:pPr>
      <w:r>
        <w:rPr>
          <w:noProof/>
        </w:rPr>
        <w:drawing>
          <wp:inline distT="0" distB="0" distL="0" distR="0" wp14:anchorId="1D4268EE" wp14:editId="2EC1F2AA">
            <wp:extent cx="3250933" cy="2548068"/>
            <wp:effectExtent l="0" t="0" r="6985" b="5080"/>
            <wp:docPr id="156154612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46120" name=""/>
                    <pic:cNvPicPr/>
                  </pic:nvPicPr>
                  <pic:blipFill>
                    <a:blip r:embed="rId18">
                      <a:extLst>
                        <a:ext uri="{96DAC541-7B7A-43D3-8B79-37D633B846F1}">
                          <asvg:svgBlip xmlns:asvg="http://schemas.microsoft.com/office/drawing/2016/SVG/main" r:embed="rId19"/>
                        </a:ext>
                      </a:extLst>
                    </a:blip>
                    <a:srcRect b="1886"/>
                    <a:stretch>
                      <a:fillRect/>
                    </a:stretch>
                  </pic:blipFill>
                  <pic:spPr>
                    <a:xfrm>
                      <a:off x="0" y="0"/>
                      <a:ext cx="3250933" cy="2548068"/>
                    </a:xfrm>
                    <a:prstGeom prst="rect">
                      <a:avLst/>
                    </a:prstGeom>
                  </pic:spPr>
                </pic:pic>
              </a:graphicData>
            </a:graphic>
          </wp:inline>
        </w:drawing>
      </w:r>
    </w:p>
    <w:p w14:paraId="0A733C23" w14:textId="7FAB2349" w:rsidR="00764C44" w:rsidRDefault="00A12A9A" w:rsidP="00FE2F0D">
      <w:pPr>
        <w:pStyle w:val="ExhibitSource"/>
      </w:pPr>
      <w:r>
        <w:t>Sources: Oxford Economics, Haver Analytics</w:t>
      </w:r>
    </w:p>
    <w:p w14:paraId="494BDFD2" w14:textId="1B20A19D" w:rsidR="00E17736" w:rsidRDefault="00512E9F" w:rsidP="00764C44">
      <w:r>
        <w:lastRenderedPageBreak/>
        <w:t>Some consumers will have to conten</w:t>
      </w:r>
      <w:r w:rsidR="00232990">
        <w:t>d</w:t>
      </w:r>
      <w:r>
        <w:t xml:space="preserve"> with the lagged impact of past interest rate hikes. More than half of outstanding mortgages are on five-year fixed</w:t>
      </w:r>
      <w:r w:rsidR="001E5EE3">
        <w:t>-</w:t>
      </w:r>
      <w:r>
        <w:t>rate deals, and</w:t>
      </w:r>
      <w:r w:rsidR="002F1EC5">
        <w:t xml:space="preserve"> </w:t>
      </w:r>
      <w:r w:rsidR="00412F95">
        <w:t xml:space="preserve">as their old deals come to an end, </w:t>
      </w:r>
      <w:r w:rsidR="002F1EC5">
        <w:t>homeowners have been gradually refi</w:t>
      </w:r>
      <w:r w:rsidR="002D00A1">
        <w:t>nancing</w:t>
      </w:r>
      <w:r w:rsidR="002F1EC5">
        <w:t xml:space="preserve"> a</w:t>
      </w:r>
      <w:r>
        <w:t xml:space="preserve">t much higher interest rates </w:t>
      </w:r>
      <w:r w:rsidR="008515F3">
        <w:t xml:space="preserve">over the past three years. </w:t>
      </w:r>
    </w:p>
    <w:p w14:paraId="633FACAB" w14:textId="1F2AE8BB" w:rsidR="00512E9F" w:rsidRDefault="002F1EC5" w:rsidP="00764C44">
      <w:r>
        <w:t>This process has another couple of years to run. In 2021, quoted five-year fixed</w:t>
      </w:r>
      <w:r w:rsidR="001E5EE3">
        <w:t>-</w:t>
      </w:r>
      <w:r>
        <w:t xml:space="preserve">rates for 75% loan-to-value mortgages averaged 1.58%, and we estimate that when these borrowers refinance next year, </w:t>
      </w:r>
      <w:r w:rsidR="001304A0">
        <w:t>the average interest rate on an equivalent product will be</w:t>
      </w:r>
      <w:r>
        <w:t xml:space="preserve"> 270bps</w:t>
      </w:r>
      <w:r w:rsidR="001304A0">
        <w:t xml:space="preserve"> higher</w:t>
      </w:r>
      <w:r>
        <w:t xml:space="preserve">. </w:t>
      </w:r>
      <w:r w:rsidR="001304A0">
        <w:t>Borrowers on the standard variable</w:t>
      </w:r>
      <w:r w:rsidR="00F82732">
        <w:t>-</w:t>
      </w:r>
      <w:r w:rsidR="001304A0">
        <w:t xml:space="preserve">rate or </w:t>
      </w:r>
      <w:r w:rsidR="006002EE">
        <w:t>refinancing</w:t>
      </w:r>
      <w:r w:rsidR="001304A0">
        <w:t xml:space="preserve"> shorter fixes should see their interest rate fall. But we forecast that the average interest rate on the outstanding mortgage stock will rise by around 20bps by the end of 2026.</w:t>
      </w:r>
      <w:r w:rsidR="00FF1865">
        <w:t xml:space="preserve"> This would represent a smaller increase than those seen in recent years but highlights </w:t>
      </w:r>
      <w:r w:rsidR="000066CF">
        <w:t xml:space="preserve">that </w:t>
      </w:r>
      <w:hyperlink r:id="rId20" w:history="1">
        <w:r w:rsidR="00324D11">
          <w:rPr>
            <w:rStyle w:val="Hyperlink"/>
          </w:rPr>
          <w:t xml:space="preserve">monetary </w:t>
        </w:r>
        <w:r w:rsidR="008F6492">
          <w:rPr>
            <w:rStyle w:val="Hyperlink"/>
          </w:rPr>
          <w:t>policy</w:t>
        </w:r>
        <w:r w:rsidR="00324D11">
          <w:rPr>
            <w:rStyle w:val="Hyperlink"/>
          </w:rPr>
          <w:t xml:space="preserve"> remains </w:t>
        </w:r>
        <w:r w:rsidR="00F82732">
          <w:rPr>
            <w:rStyle w:val="Hyperlink"/>
          </w:rPr>
          <w:t xml:space="preserve">quite </w:t>
        </w:r>
        <w:r w:rsidR="00324D11">
          <w:rPr>
            <w:rStyle w:val="Hyperlink"/>
          </w:rPr>
          <w:t>restrictive</w:t>
        </w:r>
      </w:hyperlink>
      <w:r w:rsidR="00FF1865">
        <w:t>.</w:t>
      </w:r>
    </w:p>
    <w:p w14:paraId="2C281A5C" w14:textId="14B229A7" w:rsidR="00C36639" w:rsidRDefault="00F82732" w:rsidP="00764C44">
      <w:r>
        <w:t>Meanwhile</w:t>
      </w:r>
      <w:r w:rsidR="00C36639" w:rsidRPr="00C36639">
        <w:t>, interest receipts will continue to fall back in response to cuts to Bank Rate. So, net interest income will increasingly weigh on household incomes in the near term</w:t>
      </w:r>
      <w:r w:rsidR="00C36639">
        <w:t>.</w:t>
      </w:r>
    </w:p>
    <w:p w14:paraId="3DB577CE" w14:textId="509D2075" w:rsidR="00E72480" w:rsidRDefault="00E72480" w:rsidP="00764C44">
      <w:r>
        <w:t xml:space="preserve">While we're optimistic that households </w:t>
      </w:r>
      <w:r w:rsidR="00512E9F">
        <w:t xml:space="preserve">will shed some of the extreme caution that's characterised the past couple of years, </w:t>
      </w:r>
      <w:r w:rsidR="00C61173">
        <w:t>the extent to which real income growth is likely to slow means we expect consumer spending to continue to grow at an annualised pace of around 1%.</w:t>
      </w:r>
    </w:p>
    <w:p w14:paraId="61C186D8" w14:textId="531FA75D" w:rsidR="009043C6" w:rsidRDefault="009043C6" w:rsidP="00FE2F0D">
      <w:pPr>
        <w:pStyle w:val="Heading3"/>
      </w:pPr>
      <w:r>
        <w:t xml:space="preserve">External environment </w:t>
      </w:r>
      <w:r w:rsidR="00F60FED">
        <w:t>looks less fragile</w:t>
      </w:r>
    </w:p>
    <w:p w14:paraId="0387847F" w14:textId="62DB4506" w:rsidR="00416603" w:rsidRDefault="00416603" w:rsidP="00764C44">
      <w:r>
        <w:t>T</w:t>
      </w:r>
      <w:r w:rsidRPr="00416603">
        <w:t xml:space="preserve">he malign effects of tariffs via their squeeze on US households' real incomes and weaker capital spending </w:t>
      </w:r>
      <w:r>
        <w:t>due to</w:t>
      </w:r>
      <w:r w:rsidRPr="00416603">
        <w:t xml:space="preserve"> greater uncertainty are only just be</w:t>
      </w:r>
      <w:r w:rsidR="00F82732">
        <w:t>in</w:t>
      </w:r>
      <w:r w:rsidRPr="00416603">
        <w:t>g felt.</w:t>
      </w:r>
      <w:r>
        <w:t xml:space="preserve"> But t</w:t>
      </w:r>
      <w:r w:rsidR="00502CAA">
        <w:t xml:space="preserve">he external environment is </w:t>
      </w:r>
      <w:r>
        <w:t>set to hold</w:t>
      </w:r>
      <w:r w:rsidR="00502CAA">
        <w:t xml:space="preserve"> up better than </w:t>
      </w:r>
      <w:r w:rsidR="00F82732">
        <w:t xml:space="preserve">what </w:t>
      </w:r>
      <w:r w:rsidR="00502CAA">
        <w:t>appeared likely in the spring.</w:t>
      </w:r>
    </w:p>
    <w:p w14:paraId="47453BB5" w14:textId="4504EBE8" w:rsidR="00416603" w:rsidRDefault="00416603" w:rsidP="00764C44">
      <w:r>
        <w:t>US t</w:t>
      </w:r>
      <w:r w:rsidRPr="000D5171">
        <w:t xml:space="preserve">ariff payments, though rising, </w:t>
      </w:r>
      <w:hyperlink r:id="rId21" w:history="1">
        <w:r w:rsidRPr="000D5171">
          <w:rPr>
            <w:rStyle w:val="Hyperlink"/>
          </w:rPr>
          <w:t>are still lower</w:t>
        </w:r>
      </w:hyperlink>
      <w:r w:rsidRPr="000D5171">
        <w:t xml:space="preserve"> than the effective tariff rate implied by the various policy shift announcements</w:t>
      </w:r>
      <w:r>
        <w:t>. And the lack of retaliation by most other countries means they won't suffer real income squeezes because of tariff changes.</w:t>
      </w:r>
    </w:p>
    <w:p w14:paraId="3D1512B0" w14:textId="35FC2B1D" w:rsidR="00F65774" w:rsidRDefault="00F65774" w:rsidP="00764C44">
      <w:r>
        <w:t>The various trade agreements announced by the US government brought more clarity and news-based measures of trade policy uncertainty (TPU) f</w:t>
      </w:r>
      <w:r w:rsidR="00F82732">
        <w:t>e</w:t>
      </w:r>
      <w:r>
        <w:t xml:space="preserve">ll accordingly, </w:t>
      </w:r>
      <w:r w:rsidR="00F82732">
        <w:t xml:space="preserve">although </w:t>
      </w:r>
      <w:r>
        <w:t xml:space="preserve">they remain well above the previous peak in 2018. </w:t>
      </w:r>
      <w:hyperlink r:id="rId22" w:history="1">
        <w:r w:rsidRPr="00F65774">
          <w:rPr>
            <w:rStyle w:val="Hyperlink"/>
          </w:rPr>
          <w:t>Our baseline forecast assumes</w:t>
        </w:r>
      </w:hyperlink>
      <w:r>
        <w:t xml:space="preserve"> </w:t>
      </w:r>
      <w:r w:rsidR="00F82732">
        <w:t xml:space="preserve">that </w:t>
      </w:r>
      <w:r>
        <w:t xml:space="preserve">TPU continues to fall over the next year, settling at the average level seen </w:t>
      </w:r>
      <w:r w:rsidR="00F82732">
        <w:t xml:space="preserve">during </w:t>
      </w:r>
      <w:r>
        <w:t>President Donald Trump's first term.</w:t>
      </w:r>
    </w:p>
    <w:p w14:paraId="190AC054" w14:textId="13CB254E" w:rsidR="000D5171" w:rsidRDefault="00416603" w:rsidP="00764C44">
      <w:r>
        <w:t xml:space="preserve">This points to a smaller </w:t>
      </w:r>
      <w:r w:rsidR="00A4607E">
        <w:t xml:space="preserve">drag </w:t>
      </w:r>
      <w:r>
        <w:t>on UK business investment tha</w:t>
      </w:r>
      <w:r w:rsidR="00A4607E">
        <w:t xml:space="preserve">n </w:t>
      </w:r>
      <w:r w:rsidR="00817EE8">
        <w:t>seemed likely in the immediate aftermath of April's '</w:t>
      </w:r>
      <w:r w:rsidR="000E52C7">
        <w:t>l</w:t>
      </w:r>
      <w:r w:rsidR="00817EE8">
        <w:t xml:space="preserve">iberation </w:t>
      </w:r>
      <w:r w:rsidR="000E52C7">
        <w:t>d</w:t>
      </w:r>
      <w:r w:rsidR="00817EE8">
        <w:t xml:space="preserve">ay' announcements. </w:t>
      </w:r>
      <w:r w:rsidR="000B3762">
        <w:t xml:space="preserve">Still, given that corporate profitability is particularly weak, we don't expect to see any meaningful growth in </w:t>
      </w:r>
      <w:r>
        <w:t>capital spending</w:t>
      </w:r>
      <w:r w:rsidR="000B3762">
        <w:t xml:space="preserve"> over the next 18 months.</w:t>
      </w:r>
    </w:p>
    <w:p w14:paraId="7C6D0975" w14:textId="1FBFD5DA" w:rsidR="009043C6" w:rsidRDefault="00F65774" w:rsidP="00764C44">
      <w:r>
        <w:t xml:space="preserve">The impact </w:t>
      </w:r>
      <w:r w:rsidR="000D5171">
        <w:t>of US tariffs</w:t>
      </w:r>
      <w:r w:rsidR="00416603">
        <w:t xml:space="preserve"> on global growth</w:t>
      </w:r>
      <w:r w:rsidR="000D5171">
        <w:t xml:space="preserve"> </w:t>
      </w:r>
      <w:r>
        <w:t>should</w:t>
      </w:r>
      <w:r w:rsidR="000D5171">
        <w:t xml:space="preserve"> </w:t>
      </w:r>
      <w:r>
        <w:t xml:space="preserve">be mitigated by supportive fiscal and monetary policy, particularly in the US and China. </w:t>
      </w:r>
      <w:r w:rsidR="000E52C7">
        <w:t>W</w:t>
      </w:r>
      <w:r w:rsidR="000D5171">
        <w:t xml:space="preserve">hile we expect softer global growth in H2 than in H1, followed by lacklustre growth in 2026, </w:t>
      </w:r>
      <w:hyperlink r:id="rId23" w:history="1">
        <w:r w:rsidR="000D5171" w:rsidRPr="000D3139">
          <w:rPr>
            <w:rStyle w:val="Hyperlink"/>
          </w:rPr>
          <w:t>we think the global economy is unlikely to fall into recession</w:t>
        </w:r>
      </w:hyperlink>
      <w:r w:rsidR="000D5171">
        <w:t>.</w:t>
      </w:r>
    </w:p>
    <w:p w14:paraId="0BB4F3A2" w14:textId="2068CD12" w:rsidR="009043C6" w:rsidRDefault="00F60FED" w:rsidP="00FE2F0D">
      <w:pPr>
        <w:pStyle w:val="Heading3"/>
      </w:pPr>
      <w:r>
        <w:t xml:space="preserve">Budget likely to bring </w:t>
      </w:r>
      <w:r w:rsidR="00DC4B74">
        <w:t xml:space="preserve">further </w:t>
      </w:r>
      <w:r>
        <w:t>tightening</w:t>
      </w:r>
      <w:r w:rsidR="00DC4B74">
        <w:t xml:space="preserve"> of fiscal policy</w:t>
      </w:r>
    </w:p>
    <w:p w14:paraId="704DE019" w14:textId="435F4292" w:rsidR="00B158DF" w:rsidRDefault="00F60FED" w:rsidP="00764C44">
      <w:r>
        <w:t xml:space="preserve">It promises to be a challenging autumn for policymakers. </w:t>
      </w:r>
      <w:r w:rsidR="001A632A">
        <w:t xml:space="preserve">Recent </w:t>
      </w:r>
      <w:hyperlink r:id="rId24" w:history="1">
        <w:r w:rsidR="001A632A" w:rsidRPr="001A632A">
          <w:rPr>
            <w:rStyle w:val="Hyperlink"/>
          </w:rPr>
          <w:t>media speculation</w:t>
        </w:r>
      </w:hyperlink>
      <w:r w:rsidR="001A632A">
        <w:t xml:space="preserve"> that the UK could face a repeat of the 1970s </w:t>
      </w:r>
      <w:r w:rsidR="000E52C7">
        <w:t xml:space="preserve">International Monetary Fund </w:t>
      </w:r>
      <w:r w:rsidR="001A632A">
        <w:t xml:space="preserve">bailout exaggerates the scale of the UK's fiscal problems. </w:t>
      </w:r>
      <w:r w:rsidR="0095072E">
        <w:t xml:space="preserve">But </w:t>
      </w:r>
      <w:r w:rsidR="00BA279B">
        <w:t>the UK has one of the higher budget deficits in the G7 and</w:t>
      </w:r>
      <w:r w:rsidR="000E52C7">
        <w:t>,</w:t>
      </w:r>
      <w:r w:rsidR="00BA279B">
        <w:t xml:space="preserve"> though it has a plan to reduce borrowing, </w:t>
      </w:r>
      <w:hyperlink r:id="rId25" w:history="1">
        <w:r w:rsidR="00BA279B" w:rsidRPr="00A11328">
          <w:rPr>
            <w:rStyle w:val="Hyperlink"/>
          </w:rPr>
          <w:t>history suggests</w:t>
        </w:r>
      </w:hyperlink>
      <w:r w:rsidR="00BA279B">
        <w:t xml:space="preserve"> that tax-based consolidations have a high failure rate. </w:t>
      </w:r>
      <w:r w:rsidR="000E52C7">
        <w:t>Plus</w:t>
      </w:r>
      <w:r w:rsidR="00BA279B">
        <w:t xml:space="preserve">, the UK cannot </w:t>
      </w:r>
      <w:r w:rsidR="006C3105">
        <w:t xml:space="preserve">fall back </w:t>
      </w:r>
      <w:r w:rsidR="00BA279B">
        <w:t xml:space="preserve">on some of the </w:t>
      </w:r>
      <w:r w:rsidR="00D66E2A">
        <w:t xml:space="preserve">favourable </w:t>
      </w:r>
      <w:r w:rsidR="00BA279B">
        <w:t>structural factors that allow other countries to fund higher debt levels</w:t>
      </w:r>
      <w:r w:rsidR="008C3A37">
        <w:t>.</w:t>
      </w:r>
    </w:p>
    <w:p w14:paraId="1D203EC3" w14:textId="1329CD3A" w:rsidR="0065040C" w:rsidRDefault="00BA279B" w:rsidP="00764C44">
      <w:r>
        <w:t>In this context, it's no surprise that</w:t>
      </w:r>
      <w:r w:rsidR="00B158DF">
        <w:t xml:space="preserve"> </w:t>
      </w:r>
      <w:r w:rsidR="00D200A2">
        <w:t>investors have a poor view of UK fiscal prospects</w:t>
      </w:r>
      <w:r w:rsidR="00636E39">
        <w:t xml:space="preserve">. </w:t>
      </w:r>
      <w:r w:rsidR="00A93ACD">
        <w:t xml:space="preserve">Much of the media attention has focused on the </w:t>
      </w:r>
      <w:r w:rsidR="00D200A2">
        <w:t>30-year yield</w:t>
      </w:r>
      <w:r w:rsidR="00A93ACD">
        <w:t xml:space="preserve">, which </w:t>
      </w:r>
      <w:r w:rsidR="00D200A2">
        <w:t xml:space="preserve">recently </w:t>
      </w:r>
      <w:r w:rsidR="00636E39">
        <w:t>reached</w:t>
      </w:r>
      <w:r w:rsidR="00D200A2">
        <w:t xml:space="preserve"> </w:t>
      </w:r>
      <w:r w:rsidR="00A93ACD">
        <w:t>its</w:t>
      </w:r>
      <w:r w:rsidR="00D200A2">
        <w:t xml:space="preserve"> highest level since the late-1990s. </w:t>
      </w:r>
      <w:r w:rsidR="00A93ACD">
        <w:t>T</w:t>
      </w:r>
      <w:r w:rsidR="00EA4830">
        <w:t xml:space="preserve">he increase in this portion of the curve appears to have been exaggerated by </w:t>
      </w:r>
      <w:r w:rsidR="007943D0">
        <w:t xml:space="preserve">lower structural </w:t>
      </w:r>
      <w:r w:rsidR="00EA4830">
        <w:t>demand from pension funds</w:t>
      </w:r>
      <w:r w:rsidR="00A93ACD">
        <w:t xml:space="preserve">. </w:t>
      </w:r>
      <w:hyperlink r:id="rId26" w:history="1">
        <w:r w:rsidR="00773DA3" w:rsidRPr="00773DA3">
          <w:rPr>
            <w:rStyle w:val="Hyperlink"/>
          </w:rPr>
          <w:t>We expect</w:t>
        </w:r>
      </w:hyperlink>
      <w:r w:rsidR="00773DA3">
        <w:t xml:space="preserve"> the Bank of England </w:t>
      </w:r>
      <w:r w:rsidR="000E461E">
        <w:t xml:space="preserve">to </w:t>
      </w:r>
      <w:r w:rsidR="00773DA3">
        <w:t>go some way towards addressing this problem later this month, cutting supply by lowering its target for quantitative tightening and focusing active sales on short and medium</w:t>
      </w:r>
      <w:r w:rsidR="000E52C7">
        <w:t>,</w:t>
      </w:r>
      <w:r w:rsidR="00773DA3">
        <w:t xml:space="preserve"> rather than long</w:t>
      </w:r>
      <w:r w:rsidR="000E52C7">
        <w:t>,</w:t>
      </w:r>
      <w:r w:rsidR="00773DA3">
        <w:t xml:space="preserve"> gilts. But in any case, t</w:t>
      </w:r>
      <w:r w:rsidR="009829A6">
        <w:t xml:space="preserve">he rise in long-dated yields has limited implications for financing </w:t>
      </w:r>
      <w:r w:rsidR="00343EAA">
        <w:t xml:space="preserve">government debt </w:t>
      </w:r>
      <w:r w:rsidR="009829A6">
        <w:t xml:space="preserve">– since the government came to power last summer, only </w:t>
      </w:r>
      <w:r w:rsidR="00746028">
        <w:t xml:space="preserve">3% </w:t>
      </w:r>
      <w:r w:rsidR="009829A6">
        <w:t xml:space="preserve">of gilts issued </w:t>
      </w:r>
      <w:r w:rsidR="00746028">
        <w:t>were at maturities of 30 years or more.</w:t>
      </w:r>
    </w:p>
    <w:p w14:paraId="2089C04D" w14:textId="041452FA" w:rsidR="00C521BC" w:rsidRDefault="00305F17" w:rsidP="00764C44">
      <w:r>
        <w:lastRenderedPageBreak/>
        <w:t>However</w:t>
      </w:r>
      <w:r w:rsidR="00CD100C">
        <w:t>,</w:t>
      </w:r>
      <w:r w:rsidR="00EA4830">
        <w:t xml:space="preserve"> there's </w:t>
      </w:r>
      <w:r w:rsidR="00A93ACD">
        <w:t xml:space="preserve">also </w:t>
      </w:r>
      <w:r w:rsidR="00EA4830">
        <w:t xml:space="preserve">been a clear increase in yields across </w:t>
      </w:r>
      <w:r w:rsidR="00A93ACD">
        <w:t>the middle</w:t>
      </w:r>
      <w:r w:rsidR="00EA4830">
        <w:t xml:space="preserve"> of the curve</w:t>
      </w:r>
      <w:r w:rsidR="00A93ACD">
        <w:t xml:space="preserve">, with the 10-year yield up </w:t>
      </w:r>
      <w:r w:rsidR="00C969AA">
        <w:t>around 25</w:t>
      </w:r>
      <w:r w:rsidR="00A93ACD">
        <w:t xml:space="preserve">bps on the level seen after last year's </w:t>
      </w:r>
      <w:r w:rsidR="00EA4830">
        <w:t>budget (</w:t>
      </w:r>
      <w:r w:rsidR="00B41857" w:rsidRPr="00D16AB3">
        <w:rPr>
          <w:b/>
          <w:color w:val="003469"/>
        </w:rPr>
        <w:fldChar w:fldCharType="begin"/>
      </w:r>
      <w:r w:rsidR="00D16AB3" w:rsidRPr="00D16AB3">
        <w:rPr>
          <w:b/>
          <w:color w:val="003469"/>
        </w:rPr>
        <w:instrText xml:space="preserve">REF _Ref207888828 \h \* Charformat </w:instrText>
      </w:r>
      <w:r w:rsidR="00D16AB3" w:rsidRPr="00D16AB3">
        <w:rPr>
          <w:b/>
          <w:color w:val="003469"/>
        </w:rPr>
      </w:r>
      <w:r w:rsidR="00B41857" w:rsidRPr="00D16AB3">
        <w:rPr>
          <w:b/>
          <w:color w:val="003469"/>
        </w:rPr>
        <w:fldChar w:fldCharType="separate"/>
      </w:r>
      <w:r w:rsidR="00D16AB3" w:rsidRPr="00D16AB3">
        <w:rPr>
          <w:b/>
          <w:color w:val="003469"/>
        </w:rPr>
        <w:t>Chart 4</w:t>
      </w:r>
      <w:r w:rsidR="00B41857" w:rsidRPr="00D16AB3">
        <w:rPr>
          <w:b/>
          <w:color w:val="003469"/>
        </w:rPr>
        <w:fldChar w:fldCharType="end"/>
      </w:r>
      <w:r w:rsidR="00EA4830">
        <w:t>).</w:t>
      </w:r>
      <w:r w:rsidR="004F59BD">
        <w:t xml:space="preserve"> Spreads against US Treasuries and German bunds</w:t>
      </w:r>
      <w:r w:rsidR="0049703D">
        <w:t xml:space="preserve"> are towards the top of the range seen over the past few years</w:t>
      </w:r>
      <w:r w:rsidR="004F59BD">
        <w:t>.</w:t>
      </w:r>
    </w:p>
    <w:p w14:paraId="1B5E92D9" w14:textId="24BEDDDE" w:rsidR="001A632A" w:rsidRDefault="001A632A" w:rsidP="00FE2F0D">
      <w:pPr>
        <w:pStyle w:val="ExhibitTitle"/>
      </w:pPr>
      <w:bookmarkStart w:id="3" w:name="_Ref207888828"/>
      <w:r>
        <w:t xml:space="preserve">Chart </w:t>
      </w:r>
      <w:r>
        <w:fldChar w:fldCharType="begin"/>
      </w:r>
      <w:r w:rsidR="004D4504">
        <w:instrText>SEQ CHART</w:instrText>
      </w:r>
      <w:r>
        <w:fldChar w:fldCharType="separate"/>
      </w:r>
      <w:r w:rsidR="00A12A9A">
        <w:rPr>
          <w:noProof/>
        </w:rPr>
        <w:t>4</w:t>
      </w:r>
      <w:r>
        <w:fldChar w:fldCharType="end"/>
      </w:r>
      <w:bookmarkEnd w:id="3"/>
      <w:r>
        <w:t xml:space="preserve">: </w:t>
      </w:r>
      <w:r w:rsidR="005B35E7">
        <w:t xml:space="preserve">Gilt yields </w:t>
      </w:r>
      <w:r w:rsidR="000E52C7">
        <w:t>rose</w:t>
      </w:r>
      <w:r w:rsidR="005B35E7">
        <w:t xml:space="preserve"> sharply over the past year, particularly at the longer end of the curve</w:t>
      </w:r>
    </w:p>
    <w:p w14:paraId="5A27FCDF" w14:textId="2EEC05AF" w:rsidR="004D4504" w:rsidRDefault="004D4504" w:rsidP="00FE2F0D">
      <w:pPr>
        <w:spacing w:after="0"/>
        <w:rPr>
          <w:noProof/>
        </w:rPr>
      </w:pPr>
      <w:r>
        <w:rPr>
          <w:noProof/>
        </w:rPr>
        <w:drawing>
          <wp:inline distT="0" distB="0" distL="0" distR="0" wp14:anchorId="2FA2CEE9" wp14:editId="196789E2">
            <wp:extent cx="3250933" cy="2548068"/>
            <wp:effectExtent l="0" t="0" r="6985" b="5080"/>
            <wp:docPr id="193033502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35028" name=""/>
                    <pic:cNvPicPr/>
                  </pic:nvPicPr>
                  <pic:blipFill>
                    <a:blip r:embed="rId27">
                      <a:extLst>
                        <a:ext uri="{96DAC541-7B7A-43D3-8B79-37D633B846F1}">
                          <asvg:svgBlip xmlns:asvg="http://schemas.microsoft.com/office/drawing/2016/SVG/main" r:embed="rId28"/>
                        </a:ext>
                      </a:extLst>
                    </a:blip>
                    <a:srcRect b="1886"/>
                    <a:stretch>
                      <a:fillRect/>
                    </a:stretch>
                  </pic:blipFill>
                  <pic:spPr>
                    <a:xfrm>
                      <a:off x="0" y="0"/>
                      <a:ext cx="3250933" cy="2548068"/>
                    </a:xfrm>
                    <a:prstGeom prst="rect">
                      <a:avLst/>
                    </a:prstGeom>
                  </pic:spPr>
                </pic:pic>
              </a:graphicData>
            </a:graphic>
          </wp:inline>
        </w:drawing>
      </w:r>
    </w:p>
    <w:p w14:paraId="2F478BDB" w14:textId="3B54A334" w:rsidR="001A632A" w:rsidRDefault="004D4504" w:rsidP="00FE2F0D">
      <w:pPr>
        <w:pStyle w:val="ExhibitSource"/>
      </w:pPr>
      <w:r>
        <w:t>Source: Haver Analytics</w:t>
      </w:r>
    </w:p>
    <w:p w14:paraId="052222AD" w14:textId="721B57AD" w:rsidR="00636E39" w:rsidRDefault="00DD662A" w:rsidP="00636E39">
      <w:r>
        <w:t xml:space="preserve">This </w:t>
      </w:r>
      <w:r w:rsidR="00962E8C">
        <w:t xml:space="preserve">leaves the UK vulnerable to </w:t>
      </w:r>
      <w:r w:rsidR="000E461E">
        <w:t xml:space="preserve">additional </w:t>
      </w:r>
      <w:r w:rsidR="00962E8C">
        <w:t>swings in market sentiment, making it even more important that the government's deficit</w:t>
      </w:r>
      <w:r w:rsidR="000E461E">
        <w:t>-</w:t>
      </w:r>
      <w:r w:rsidR="00962E8C">
        <w:t xml:space="preserve">reduction plan proves successful. It </w:t>
      </w:r>
      <w:r>
        <w:t xml:space="preserve">will </w:t>
      </w:r>
      <w:r w:rsidR="009A5634">
        <w:t xml:space="preserve">also </w:t>
      </w:r>
      <w:r>
        <w:t xml:space="preserve">pose a problem for </w:t>
      </w:r>
      <w:r w:rsidR="00636E39">
        <w:t xml:space="preserve">Chancellor </w:t>
      </w:r>
      <w:r w:rsidR="000E461E">
        <w:t xml:space="preserve">Rachel Reeves </w:t>
      </w:r>
      <w:r>
        <w:t xml:space="preserve">as she prepares the </w:t>
      </w:r>
      <w:r w:rsidR="00636E39">
        <w:t>Budget</w:t>
      </w:r>
      <w:r>
        <w:t xml:space="preserve">, which will </w:t>
      </w:r>
      <w:r w:rsidR="000E461E">
        <w:t xml:space="preserve">be </w:t>
      </w:r>
      <w:r>
        <w:t>present</w:t>
      </w:r>
      <w:r w:rsidR="000E461E">
        <w:t>ed</w:t>
      </w:r>
      <w:r w:rsidR="00636E39">
        <w:t xml:space="preserve"> on November 26</w:t>
      </w:r>
      <w:r>
        <w:t xml:space="preserve">. The Office for Budget Responsibility will lock </w:t>
      </w:r>
      <w:r w:rsidR="000E461E">
        <w:t xml:space="preserve">in </w:t>
      </w:r>
      <w:r>
        <w:t xml:space="preserve">its financial market assumptions in </w:t>
      </w:r>
      <w:r w:rsidR="000E461E">
        <w:t>a little more than</w:t>
      </w:r>
      <w:r>
        <w:t xml:space="preserve"> month, and as things </w:t>
      </w:r>
      <w:r w:rsidR="005B35E7">
        <w:t>stand,</w:t>
      </w:r>
      <w:r>
        <w:t xml:space="preserve"> we calculate that the increases in gilt yields and market expectations for Bank Rate </w:t>
      </w:r>
      <w:r w:rsidR="00E052D2">
        <w:t xml:space="preserve">since the Spring Statement </w:t>
      </w:r>
      <w:r>
        <w:t xml:space="preserve">will add </w:t>
      </w:r>
      <w:r w:rsidR="007D238A">
        <w:t>nearly</w:t>
      </w:r>
      <w:r>
        <w:t xml:space="preserve"> £</w:t>
      </w:r>
      <w:r w:rsidR="00392A9E">
        <w:t>5</w:t>
      </w:r>
      <w:r>
        <w:t>bn to debt servicing costs in 2029</w:t>
      </w:r>
      <w:r w:rsidR="00CB2471">
        <w:t>-</w:t>
      </w:r>
      <w:r>
        <w:t>2030, the target year for the fiscal rules.</w:t>
      </w:r>
    </w:p>
    <w:p w14:paraId="21048C18" w14:textId="4EB9E605" w:rsidR="001A632A" w:rsidRDefault="00E052D2" w:rsidP="00764C44">
      <w:r>
        <w:t xml:space="preserve">On its own, the increase in debt servicing costs would wipe out </w:t>
      </w:r>
      <w:r w:rsidR="007D238A">
        <w:t>almost</w:t>
      </w:r>
      <w:r w:rsidR="00806376">
        <w:t xml:space="preserve"> half</w:t>
      </w:r>
      <w:r>
        <w:t xml:space="preserve"> of the £9.9bn headroom the </w:t>
      </w:r>
      <w:r w:rsidR="000E461E">
        <w:t>c</w:t>
      </w:r>
      <w:r>
        <w:t xml:space="preserve">hancellor had against her borrowing rule. </w:t>
      </w:r>
      <w:r w:rsidR="00A37292">
        <w:t xml:space="preserve">The </w:t>
      </w:r>
      <w:r w:rsidR="00CB2471">
        <w:t xml:space="preserve">remainder of the headroom disappears when the </w:t>
      </w:r>
      <w:r w:rsidR="00A37292">
        <w:t>government</w:t>
      </w:r>
      <w:r w:rsidR="00CB2471">
        <w:t>'s reversal of welfare reforms and U-turn on giving winter fuel payments to some pensioners are considered. Experience suggests the government will also opt against increasing fuel duty</w:t>
      </w:r>
      <w:r w:rsidR="00A03824">
        <w:t xml:space="preserve"> in the Budget</w:t>
      </w:r>
      <w:r w:rsidR="00CB2471">
        <w:t>, which will add to borrowing.</w:t>
      </w:r>
    </w:p>
    <w:p w14:paraId="26D9ED74" w14:textId="6A16AB9B" w:rsidR="00CB2471" w:rsidRDefault="00CB2471" w:rsidP="00764C44">
      <w:r>
        <w:t xml:space="preserve">But these factors could pale in comparison with the impact of the OBR cutting its optimistic potential output forecasts. </w:t>
      </w:r>
      <w:r w:rsidRPr="00CB2471">
        <w:t xml:space="preserve">In a </w:t>
      </w:r>
      <w:hyperlink r:id="rId29" w:history="1">
        <w:r w:rsidRPr="00CB2471">
          <w:rPr>
            <w:rStyle w:val="Hyperlink"/>
          </w:rPr>
          <w:t>recent note</w:t>
        </w:r>
      </w:hyperlink>
      <w:r w:rsidRPr="00CB2471">
        <w:t>, we estimated that the OBR could cut its projection for potential output in 2029</w:t>
      </w:r>
      <w:r>
        <w:t>-20</w:t>
      </w:r>
      <w:r w:rsidRPr="00CB2471">
        <w:t>30 by 1%-1.4%, which would increase its borrowing forecast by £12bn-£20bn</w:t>
      </w:r>
      <w:r>
        <w:t>.</w:t>
      </w:r>
    </w:p>
    <w:p w14:paraId="272D505D" w14:textId="353FAE72" w:rsidR="00F801B3" w:rsidRDefault="00C839EB" w:rsidP="00764C44">
      <w:r>
        <w:t>J</w:t>
      </w:r>
      <w:r w:rsidR="009E7739">
        <w:t xml:space="preserve">ust </w:t>
      </w:r>
      <w:r w:rsidR="007943D0">
        <w:t xml:space="preserve">to </w:t>
      </w:r>
      <w:r w:rsidR="009E7739">
        <w:t xml:space="preserve">comply with the fiscal rules </w:t>
      </w:r>
      <w:r>
        <w:t xml:space="preserve">using </w:t>
      </w:r>
      <w:r w:rsidR="009E7739">
        <w:t xml:space="preserve">the same wafer-thin headroom as the last two fiscal events, the Chancellor will likely need to tighten fiscal policy by around £30bn. Assuming recently announced departmental spending allocations for the period to 2028-2029 will not be revised, the only scope to cut spending is in 2029-2030. </w:t>
      </w:r>
      <w:r w:rsidR="009B5819">
        <w:t>M</w:t>
      </w:r>
      <w:r w:rsidR="009E7739">
        <w:t>arket</w:t>
      </w:r>
      <w:r w:rsidR="00482B7E">
        <w:t xml:space="preserve">s </w:t>
      </w:r>
      <w:r w:rsidR="009B5819">
        <w:t>would</w:t>
      </w:r>
      <w:r w:rsidR="00482B7E">
        <w:t xml:space="preserve"> not look favourably on any watering down of the fiscal rules</w:t>
      </w:r>
      <w:r w:rsidR="00FE2F0D">
        <w:t>, ruling that option out</w:t>
      </w:r>
      <w:r w:rsidR="00482B7E">
        <w:t xml:space="preserve">. </w:t>
      </w:r>
    </w:p>
    <w:p w14:paraId="00370658" w14:textId="6391EDE7" w:rsidR="00EB4557" w:rsidRDefault="00F801B3" w:rsidP="00764C44">
      <w:r>
        <w:t>Therefore, h</w:t>
      </w:r>
      <w:r w:rsidR="00482B7E">
        <w:t xml:space="preserve">efty tax increases look likely. The government appears keen to stick to </w:t>
      </w:r>
      <w:r w:rsidR="00482B7E" w:rsidRPr="00482B7E">
        <w:t>its 2024 election manifesto commitments not to increase national insurance</w:t>
      </w:r>
      <w:r w:rsidR="00C839EB">
        <w:t>;</w:t>
      </w:r>
      <w:r w:rsidR="00482B7E" w:rsidRPr="00482B7E">
        <w:t xml:space="preserve"> the basic, higher, or additional rates of income tax</w:t>
      </w:r>
      <w:r w:rsidR="00C839EB">
        <w:t>;</w:t>
      </w:r>
      <w:r w:rsidR="00482B7E" w:rsidRPr="00482B7E">
        <w:t xml:space="preserve"> and VAT.</w:t>
      </w:r>
      <w:r w:rsidR="00482B7E">
        <w:t xml:space="preserve"> </w:t>
      </w:r>
      <w:r>
        <w:t>It will probably blur the lines on those commitments by extending the freeze on most tax thresholds and allowances for another couple of years beyond 2027-2028 – a tax rise in all but name. But beyond that</w:t>
      </w:r>
      <w:r w:rsidR="00C839EB">
        <w:t>,</w:t>
      </w:r>
      <w:r>
        <w:t xml:space="preserve"> it will likely be forced to re-run the playbook from last year's Budget, </w:t>
      </w:r>
      <w:r w:rsidR="000B1040">
        <w:t xml:space="preserve">raising money by targeting a range of narrowly focused taxes. </w:t>
      </w:r>
    </w:p>
    <w:p w14:paraId="6357C852" w14:textId="1C5371EE" w:rsidR="00CB2471" w:rsidRDefault="000B1040" w:rsidP="00764C44">
      <w:r>
        <w:t xml:space="preserve">This combination </w:t>
      </w:r>
      <w:r w:rsidR="00EB4557">
        <w:t>might</w:t>
      </w:r>
      <w:r>
        <w:t xml:space="preserve"> limit the impact on near-term growth prospects</w:t>
      </w:r>
      <w:r w:rsidR="00EB4557">
        <w:t xml:space="preserve">. But we are sceptical that these types of measures would ultimately raise the type of money the Treasury thinks </w:t>
      </w:r>
      <w:r w:rsidR="00C839EB">
        <w:t xml:space="preserve">it </w:t>
      </w:r>
      <w:r w:rsidR="00EB4557">
        <w:t>will, and there's a high risk that markets will be similarly unconvinced. T</w:t>
      </w:r>
      <w:r>
        <w:t xml:space="preserve">he experience of last year suggests the approach could </w:t>
      </w:r>
      <w:r w:rsidR="00EB4557">
        <w:t xml:space="preserve">also </w:t>
      </w:r>
      <w:r>
        <w:t>cause the government substantial political challenges.</w:t>
      </w:r>
    </w:p>
    <w:p w14:paraId="28963133" w14:textId="73459AD2" w:rsidR="005E2629" w:rsidRDefault="005E2629" w:rsidP="00764C44">
      <w:r>
        <w:lastRenderedPageBreak/>
        <w:t>In a forthcoming series of notes ahead of the Budget, we plan to look at the fragility of the UK fiscal situation, what the government is likely to do in the Budget, and what the government should do to rectify the problems.</w:t>
      </w:r>
    </w:p>
    <w:p w14:paraId="2BE4A9ED" w14:textId="6CD3EACE" w:rsidR="009043C6" w:rsidRDefault="004C01B1" w:rsidP="00FE2F0D">
      <w:pPr>
        <w:pStyle w:val="Heading3"/>
      </w:pPr>
      <w:r>
        <w:t xml:space="preserve">We expect the MPC </w:t>
      </w:r>
      <w:r w:rsidR="00C839EB">
        <w:t>to</w:t>
      </w:r>
      <w:r>
        <w:t xml:space="preserve"> slow the pace of rate cuts</w:t>
      </w:r>
    </w:p>
    <w:p w14:paraId="02839707" w14:textId="222A1B60" w:rsidR="006D0491" w:rsidRDefault="004C01B1" w:rsidP="00764C44">
      <w:r>
        <w:t xml:space="preserve">Since the Monetary Policy Committee started to cut Bank Rate last summer, it has moved at a steady 'cut-hold' tempo. But its accompanying commentary has been far more erratic, particularly across the past three meetings. </w:t>
      </w:r>
      <w:r w:rsidR="005E308F">
        <w:t>Still, i</w:t>
      </w:r>
      <w:r w:rsidR="0026661A">
        <w:t xml:space="preserve">ts latest </w:t>
      </w:r>
      <w:r w:rsidR="00C839EB">
        <w:t xml:space="preserve">mood </w:t>
      </w:r>
      <w:r w:rsidR="0026661A">
        <w:t xml:space="preserve">switch seems to be more decisive, with concerns about the strength of growth and the labour market put on the back burner and the committee </w:t>
      </w:r>
      <w:r w:rsidR="00CC6E3E">
        <w:t>placing</w:t>
      </w:r>
      <w:r w:rsidR="0026661A">
        <w:t xml:space="preserve"> a renewed focus on the risk of above-target inflation persisting.</w:t>
      </w:r>
    </w:p>
    <w:p w14:paraId="4F035CF3" w14:textId="0334AD92" w:rsidR="00495FDC" w:rsidRDefault="00495FDC" w:rsidP="00764C44">
      <w:r>
        <w:t>The MPC's inflation concerns are two-fold</w:t>
      </w:r>
      <w:r w:rsidR="00C839EB">
        <w:t>:</w:t>
      </w:r>
      <w:r>
        <w:t xml:space="preserve"> evidence of weaker pay growth has yet to manifest itself in lower inflation, particularly in the services sector</w:t>
      </w:r>
      <w:r w:rsidR="00C839EB">
        <w:t>;</w:t>
      </w:r>
      <w:r>
        <w:t xml:space="preserve"> </w:t>
      </w:r>
      <w:r w:rsidR="00C839EB">
        <w:t>a</w:t>
      </w:r>
      <w:r>
        <w:t>nd high headline inflation this autumn might push up inflation expectations among households and firms, particularly given recent upward pressures from the food and fuel categories, which have high salience.</w:t>
      </w:r>
    </w:p>
    <w:p w14:paraId="413BDFE7" w14:textId="40F1A24B" w:rsidR="00495FDC" w:rsidRDefault="00495FDC" w:rsidP="00764C44">
      <w:r>
        <w:t>While the MPC has been clear that it still expects to cut Bank Rate further, the timing and pace of those cuts have become less certain.</w:t>
      </w:r>
      <w:r w:rsidR="00203086">
        <w:t xml:space="preserve"> We think it unlikely that the data will surprise in a way that encourages the four more hawkish members to </w:t>
      </w:r>
      <w:r w:rsidR="009958FA">
        <w:t xml:space="preserve">change tack and </w:t>
      </w:r>
      <w:r w:rsidR="00203086">
        <w:t>back a rate cut in November. So</w:t>
      </w:r>
      <w:r w:rsidR="00C839EB">
        <w:t>,</w:t>
      </w:r>
      <w:r w:rsidR="00203086">
        <w:t xml:space="preserve"> all five remaining members would need to vote for looser policy to secure another cut at that meeting. As things stand, market pricing </w:t>
      </w:r>
      <w:r w:rsidR="001A61BF">
        <w:t>implies</w:t>
      </w:r>
      <w:r w:rsidR="00203086">
        <w:t xml:space="preserve"> a probability of just </w:t>
      </w:r>
      <w:r w:rsidR="00D24888">
        <w:t>20</w:t>
      </w:r>
      <w:r w:rsidR="00203086">
        <w:t xml:space="preserve">% </w:t>
      </w:r>
      <w:r w:rsidR="00533027">
        <w:t xml:space="preserve">that </w:t>
      </w:r>
      <w:r w:rsidR="007A29A3">
        <w:t>rate</w:t>
      </w:r>
      <w:r w:rsidR="00533027">
        <w:t>s</w:t>
      </w:r>
      <w:r w:rsidR="007A29A3">
        <w:t xml:space="preserve"> </w:t>
      </w:r>
      <w:r w:rsidR="00533027">
        <w:t xml:space="preserve">will be cut </w:t>
      </w:r>
      <w:r w:rsidR="007A29A3">
        <w:t xml:space="preserve">by </w:t>
      </w:r>
      <w:r w:rsidR="00203086">
        <w:t>November. If that holds, we think it</w:t>
      </w:r>
      <w:r w:rsidR="00C839EB">
        <w:t>'s</w:t>
      </w:r>
      <w:r w:rsidR="00203086">
        <w:t xml:space="preserve"> unlikely that the Governor will be prepared to vote against market pricing, particularly given that any tightening of fiscal policy will not have been announced at that stage. </w:t>
      </w:r>
      <w:r w:rsidR="00C839EB">
        <w:t>O</w:t>
      </w:r>
      <w:r w:rsidR="00527D39">
        <w:t>ur new forecast</w:t>
      </w:r>
      <w:r w:rsidR="00203086">
        <w:t xml:space="preserve"> assume</w:t>
      </w:r>
      <w:r w:rsidR="00527D39">
        <w:t xml:space="preserve">s </w:t>
      </w:r>
      <w:r w:rsidR="00203086">
        <w:t xml:space="preserve">the MPC </w:t>
      </w:r>
      <w:r w:rsidR="00527D39">
        <w:t>won't</w:t>
      </w:r>
      <w:r w:rsidR="00203086">
        <w:t xml:space="preserve"> cut Bank Rate again this year, although the November and December decisions </w:t>
      </w:r>
      <w:r w:rsidR="007149D8">
        <w:t xml:space="preserve">will </w:t>
      </w:r>
      <w:r w:rsidR="000C1FD7">
        <w:t xml:space="preserve">likely </w:t>
      </w:r>
      <w:r w:rsidR="007149D8">
        <w:t>be close</w:t>
      </w:r>
      <w:r w:rsidR="007812EB">
        <w:t xml:space="preserve"> calls</w:t>
      </w:r>
      <w:r w:rsidR="00203086">
        <w:t>.</w:t>
      </w:r>
    </w:p>
    <w:p w14:paraId="43CA20F1" w14:textId="7113F4BF" w:rsidR="003C7159" w:rsidRDefault="005F6C6E" w:rsidP="00764C44">
      <w:r>
        <w:t xml:space="preserve">We expect rate cuts to resume in 2026. </w:t>
      </w:r>
      <w:r w:rsidR="00CA423D">
        <w:t>By then, t</w:t>
      </w:r>
      <w:r>
        <w:t xml:space="preserve">he MPC will likely have to factor in the prospect of tighter fiscal policy. We expect growth to disappoint the BoE's forecasts. And </w:t>
      </w:r>
      <w:hyperlink r:id="rId30" w:history="1">
        <w:r w:rsidRPr="005F6C6E">
          <w:rPr>
            <w:rStyle w:val="Hyperlink"/>
          </w:rPr>
          <w:t>we think there will be better news on wages and inflation</w:t>
        </w:r>
      </w:hyperlink>
      <w:r>
        <w:t xml:space="preserve">, with it becoming apparent </w:t>
      </w:r>
      <w:r w:rsidR="00D12F65">
        <w:t xml:space="preserve">to the MPC </w:t>
      </w:r>
      <w:r>
        <w:t xml:space="preserve">that the increase in NICs played a bigger role in this year's stickiness in services inflation. </w:t>
      </w:r>
    </w:p>
    <w:p w14:paraId="5D3AE1FD" w14:textId="19AB7C4C" w:rsidR="00203086" w:rsidRDefault="003C7324" w:rsidP="00764C44">
      <w:r>
        <w:t>Still, we think the MPC is likely to move slowly, particularly as it moves closer to the range that it considers to be equivalent to a neutral policy rate. We now expect just two 25bp rate cuts in 2026, taking Bank Rate to 3.5% at the end of the year</w:t>
      </w:r>
      <w:r w:rsidR="00540A42">
        <w:t xml:space="preserve">. This is 50bps higher than our August forecast but </w:t>
      </w:r>
      <w:r>
        <w:t>still a little below current market expectations (</w:t>
      </w:r>
      <w:r w:rsidR="00B41857" w:rsidRPr="00D16AB3">
        <w:rPr>
          <w:b/>
          <w:color w:val="003469"/>
        </w:rPr>
        <w:fldChar w:fldCharType="begin"/>
      </w:r>
      <w:r w:rsidR="00D16AB3" w:rsidRPr="00D16AB3">
        <w:rPr>
          <w:b/>
          <w:color w:val="003469"/>
        </w:rPr>
        <w:instrText xml:space="preserve">REF _Ref207888829 \h \* Charformat </w:instrText>
      </w:r>
      <w:r w:rsidR="00D16AB3" w:rsidRPr="00D16AB3">
        <w:rPr>
          <w:b/>
          <w:color w:val="003469"/>
        </w:rPr>
      </w:r>
      <w:r w:rsidR="00B41857" w:rsidRPr="00D16AB3">
        <w:rPr>
          <w:b/>
          <w:color w:val="003469"/>
        </w:rPr>
        <w:fldChar w:fldCharType="separate"/>
      </w:r>
      <w:r w:rsidR="00D16AB3" w:rsidRPr="00D16AB3">
        <w:rPr>
          <w:b/>
          <w:color w:val="003469"/>
        </w:rPr>
        <w:t>Chart 5</w:t>
      </w:r>
      <w:r w:rsidR="00B41857" w:rsidRPr="00D16AB3">
        <w:rPr>
          <w:b/>
          <w:color w:val="003469"/>
        </w:rPr>
        <w:fldChar w:fldCharType="end"/>
      </w:r>
      <w:r>
        <w:t>).</w:t>
      </w:r>
      <w:r w:rsidR="00067EB9">
        <w:t xml:space="preserve"> Nevertheless</w:t>
      </w:r>
      <w:r>
        <w:t>, if growth comes in even weaker than we anticipate,</w:t>
      </w:r>
      <w:r w:rsidR="00186489">
        <w:t xml:space="preserve"> or there's clearer evidence that weaker pay growth is pushing down on underlying inflationary pressures,</w:t>
      </w:r>
      <w:r>
        <w:t xml:space="preserve"> the MPC might opt to switch up the tempo of rate cuts again.</w:t>
      </w:r>
    </w:p>
    <w:p w14:paraId="39CCFAF1" w14:textId="31F7238B" w:rsidR="006D0491" w:rsidRDefault="006D0491" w:rsidP="00FE2F0D">
      <w:pPr>
        <w:pStyle w:val="ExhibitTitle"/>
      </w:pPr>
      <w:bookmarkStart w:id="4" w:name="_Ref207888829"/>
      <w:r>
        <w:t xml:space="preserve">Chart </w:t>
      </w:r>
      <w:r>
        <w:fldChar w:fldCharType="begin"/>
      </w:r>
      <w:r w:rsidR="0033481B">
        <w:instrText>SEQ CHART</w:instrText>
      </w:r>
      <w:r>
        <w:fldChar w:fldCharType="separate"/>
      </w:r>
      <w:r w:rsidR="00A12A9A">
        <w:rPr>
          <w:noProof/>
        </w:rPr>
        <w:t>5</w:t>
      </w:r>
      <w:r>
        <w:fldChar w:fldCharType="end"/>
      </w:r>
      <w:bookmarkEnd w:id="4"/>
      <w:r>
        <w:t xml:space="preserve">: </w:t>
      </w:r>
      <w:r w:rsidR="000F1EC7">
        <w:t>We expect the MPC to cut Bank Rate to 3.5% by the end of 2026, below market expectations</w:t>
      </w:r>
    </w:p>
    <w:p w14:paraId="1BABDC8E" w14:textId="44C5374A" w:rsidR="0033481B" w:rsidRDefault="0033481B" w:rsidP="00FE2F0D">
      <w:pPr>
        <w:spacing w:after="0"/>
        <w:rPr>
          <w:noProof/>
        </w:rPr>
      </w:pPr>
      <w:r>
        <w:rPr>
          <w:noProof/>
        </w:rPr>
        <w:drawing>
          <wp:inline distT="0" distB="0" distL="0" distR="0" wp14:anchorId="5CE6EFEB" wp14:editId="7D8A82DE">
            <wp:extent cx="3250933" cy="2548068"/>
            <wp:effectExtent l="0" t="0" r="6985" b="5080"/>
            <wp:docPr id="15647223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22351" name=""/>
                    <pic:cNvPicPr/>
                  </pic:nvPicPr>
                  <pic:blipFill>
                    <a:blip r:embed="rId31">
                      <a:extLst>
                        <a:ext uri="{96DAC541-7B7A-43D3-8B79-37D633B846F1}">
                          <asvg:svgBlip xmlns:asvg="http://schemas.microsoft.com/office/drawing/2016/SVG/main" r:embed="rId32"/>
                        </a:ext>
                      </a:extLst>
                    </a:blip>
                    <a:srcRect b="1886"/>
                    <a:stretch>
                      <a:fillRect/>
                    </a:stretch>
                  </pic:blipFill>
                  <pic:spPr>
                    <a:xfrm>
                      <a:off x="0" y="0"/>
                      <a:ext cx="3250933" cy="2548068"/>
                    </a:xfrm>
                    <a:prstGeom prst="rect">
                      <a:avLst/>
                    </a:prstGeom>
                  </pic:spPr>
                </pic:pic>
              </a:graphicData>
            </a:graphic>
          </wp:inline>
        </w:drawing>
      </w:r>
    </w:p>
    <w:p w14:paraId="273DA85C" w14:textId="1C2D50D6" w:rsidR="006D0491" w:rsidRDefault="0033481B" w:rsidP="00FE2F0D">
      <w:pPr>
        <w:pStyle w:val="ExhibitSource"/>
      </w:pPr>
      <w:r>
        <w:t>Sources: Oxford Economics, Haver Analytics</w:t>
      </w:r>
    </w:p>
    <w:p w14:paraId="766795BB" w14:textId="77777777" w:rsidR="007A39E6" w:rsidRPr="007A39E6" w:rsidRDefault="007A39E6" w:rsidP="00FE2F0D"/>
    <w:sectPr w:rsidR="007A39E6" w:rsidRPr="007A39E6" w:rsidSect="00784A9F">
      <w:pgSz w:w="11906" w:h="16838"/>
      <w:pgMar w:top="1417" w:right="1276" w:bottom="992" w:left="1134" w:header="198" w:footer="3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5AACB" w14:textId="77777777" w:rsidR="00AA5A08" w:rsidRDefault="00AA5A08" w:rsidP="00764C44">
      <w:pPr>
        <w:spacing w:before="0" w:after="0"/>
      </w:pPr>
      <w:r>
        <w:separator/>
      </w:r>
    </w:p>
  </w:endnote>
  <w:endnote w:type="continuationSeparator" w:id="0">
    <w:p w14:paraId="1BF5D337" w14:textId="77777777" w:rsidR="00AA5A08" w:rsidRDefault="00AA5A08" w:rsidP="00764C4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546DA" w14:textId="1F0970F4" w:rsidR="00764C44" w:rsidRPr="00764C44" w:rsidRDefault="00764C44" w:rsidP="00764C4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EC40" w14:textId="58EC06AD" w:rsidR="00764C44" w:rsidRDefault="00764C44" w:rsidP="001D3B4A">
    <w:pPr>
      <w:pStyle w:val="Author"/>
    </w:pPr>
    <w:r>
      <w:t>Andrew Goodwin</w:t>
    </w:r>
    <w:r w:rsidR="00FE2F0D">
      <w:t xml:space="preserve"> - </w:t>
    </w:r>
    <w:r>
      <w:t>Chief UK Economist</w:t>
    </w:r>
    <w:r w:rsidR="00FE2F0D">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653D8" w14:textId="77777777" w:rsidR="00AA5A08" w:rsidRDefault="00AA5A08" w:rsidP="00764C44">
      <w:pPr>
        <w:spacing w:before="0" w:after="0"/>
      </w:pPr>
      <w:r>
        <w:separator/>
      </w:r>
    </w:p>
  </w:footnote>
  <w:footnote w:type="continuationSeparator" w:id="0">
    <w:p w14:paraId="477D179A" w14:textId="77777777" w:rsidR="00AA5A08" w:rsidRDefault="00AA5A08" w:rsidP="00764C4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14B20" w14:textId="77777777" w:rsidR="00764C44" w:rsidRDefault="00764C44">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FDB4B" w14:textId="12D72F21" w:rsidR="00764C44" w:rsidRDefault="001D3B4A" w:rsidP="00764C44">
    <w:pPr>
      <w:pStyle w:val="Headline"/>
      <w:spacing w:before="120"/>
      <w:ind w:right="-1000"/>
    </w:pPr>
    <w:r w:rsidRPr="001D3B4A">
      <w:rPr>
        <w:noProof/>
      </w:rPr>
      <w:drawing>
        <wp:anchor distT="0" distB="0" distL="114300" distR="114300" simplePos="0" relativeHeight="251656189" behindDoc="1" locked="1" layoutInCell="1" allowOverlap="1" wp14:anchorId="3C832B71" wp14:editId="3F1DCEF7">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784A9F" w:rsidRPr="00784A9F">
      <w:t>Stagflation-lite as policy headwinds increase turbulence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FFE80" w14:textId="49203D26" w:rsidR="00764C44" w:rsidRDefault="001D3B4A" w:rsidP="001D3B4A">
    <w:r w:rsidRPr="001D3B4A">
      <w:rPr>
        <w:noProof/>
      </w:rPr>
      <w:drawing>
        <wp:anchor distT="0" distB="0" distL="114300" distR="114300" simplePos="0" relativeHeight="251657214" behindDoc="1" locked="1" layoutInCell="1" allowOverlap="1" wp14:anchorId="74D6AF05" wp14:editId="46ACDD9F">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2008395163"/>
      <w:lock w:val="sdtLocked"/>
      <w:placeholder>
        <w:docPart w:val="DefaultPlaceholder_-1854013437"/>
      </w:placeholder>
      <w:date w:fullDate="2025-09-09T00:00:00Z">
        <w:dateFormat w:val="d MMMM yyyy"/>
        <w:lid w:val="en-US"/>
        <w:storeMappedDataAs w:val="dateTime"/>
        <w:calendar w:val="gregorian"/>
      </w:date>
    </w:sdtPr>
    <w:sdtEndPr/>
    <w:sdtContent>
      <w:p w14:paraId="24D85639" w14:textId="07CD2690" w:rsidR="001D3B4A" w:rsidRPr="001D3B4A" w:rsidRDefault="00BB0FE5" w:rsidP="001D3B4A">
        <w:pPr>
          <w:pStyle w:val="PublishDate"/>
          <w:framePr w:w="2835" w:h="340" w:hRule="exact" w:hSpace="180" w:wrap="around" w:vAnchor="page" w:hAnchor="page" w:x="7801" w:y="601" w:anchorLock="1"/>
        </w:pPr>
        <w:r>
          <w:rPr>
            <w:lang w:val="en-US"/>
          </w:rPr>
          <w:t>9 September 2025</w:t>
        </w:r>
      </w:p>
    </w:sdtContent>
  </w:sdt>
  <w:p w14:paraId="6573C826" w14:textId="77777777" w:rsidR="001D3B4A" w:rsidRDefault="001D3B4A" w:rsidP="001D3B4A">
    <w:pPr>
      <w:pStyle w:val="ProductDescription"/>
      <w:framePr w:w="11339" w:h="1474" w:hRule="exact" w:hSpace="180" w:wrap="around" w:vAnchor="page" w:hAnchor="page" w:x="401" w:y="1141" w:anchorLock="1"/>
      <w:spacing w:after="200"/>
    </w:pPr>
    <w:r>
      <w:t>Research Briefing | UK</w:t>
    </w:r>
  </w:p>
  <w:p w14:paraId="68DD22CB" w14:textId="6B0E77A0" w:rsidR="001D3B4A" w:rsidRDefault="00784A9F" w:rsidP="001D3B4A">
    <w:pPr>
      <w:pStyle w:val="Headline"/>
      <w:framePr w:w="11339" w:h="1474" w:hRule="exact" w:hSpace="180" w:wrap="around" w:vAnchor="page" w:hAnchor="page" w:x="401" w:y="1141" w:anchorLock="1"/>
      <w:spacing w:line="200" w:lineRule="auto"/>
    </w:pPr>
    <w:r w:rsidRPr="00784A9F">
      <w:t>Stagflation-lite as policy headwinds increase turbulence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C44"/>
    <w:rsid w:val="00003BA7"/>
    <w:rsid w:val="00004E7B"/>
    <w:rsid w:val="000066CF"/>
    <w:rsid w:val="00014CDD"/>
    <w:rsid w:val="00022761"/>
    <w:rsid w:val="00022990"/>
    <w:rsid w:val="00032576"/>
    <w:rsid w:val="0005491E"/>
    <w:rsid w:val="00067EB9"/>
    <w:rsid w:val="000A2277"/>
    <w:rsid w:val="000A5586"/>
    <w:rsid w:val="000B1040"/>
    <w:rsid w:val="000B1262"/>
    <w:rsid w:val="000B34D6"/>
    <w:rsid w:val="000B3762"/>
    <w:rsid w:val="000B73D9"/>
    <w:rsid w:val="000C0ADF"/>
    <w:rsid w:val="000C1FD7"/>
    <w:rsid w:val="000D3139"/>
    <w:rsid w:val="000D3E43"/>
    <w:rsid w:val="000D5171"/>
    <w:rsid w:val="000D6C43"/>
    <w:rsid w:val="000E2BD3"/>
    <w:rsid w:val="000E461E"/>
    <w:rsid w:val="000E52C7"/>
    <w:rsid w:val="000F1EC7"/>
    <w:rsid w:val="000F3F52"/>
    <w:rsid w:val="000F4832"/>
    <w:rsid w:val="001018E9"/>
    <w:rsid w:val="00120D7A"/>
    <w:rsid w:val="00120FA7"/>
    <w:rsid w:val="00124E58"/>
    <w:rsid w:val="001304A0"/>
    <w:rsid w:val="00131CA1"/>
    <w:rsid w:val="00134612"/>
    <w:rsid w:val="00160F71"/>
    <w:rsid w:val="0016316B"/>
    <w:rsid w:val="0017078A"/>
    <w:rsid w:val="00174E4A"/>
    <w:rsid w:val="00180625"/>
    <w:rsid w:val="00186489"/>
    <w:rsid w:val="00190C04"/>
    <w:rsid w:val="00192CDF"/>
    <w:rsid w:val="00195F9A"/>
    <w:rsid w:val="001A5775"/>
    <w:rsid w:val="001A61BF"/>
    <w:rsid w:val="001A632A"/>
    <w:rsid w:val="001A6993"/>
    <w:rsid w:val="001A749F"/>
    <w:rsid w:val="001B2B67"/>
    <w:rsid w:val="001B2C32"/>
    <w:rsid w:val="001C1FF0"/>
    <w:rsid w:val="001D28D1"/>
    <w:rsid w:val="001D3B4A"/>
    <w:rsid w:val="001D4B18"/>
    <w:rsid w:val="001D7057"/>
    <w:rsid w:val="001E0785"/>
    <w:rsid w:val="001E0C4A"/>
    <w:rsid w:val="001E5EE3"/>
    <w:rsid w:val="001F3277"/>
    <w:rsid w:val="001F3317"/>
    <w:rsid w:val="001F5386"/>
    <w:rsid w:val="0020133E"/>
    <w:rsid w:val="00203086"/>
    <w:rsid w:val="002118C5"/>
    <w:rsid w:val="00232990"/>
    <w:rsid w:val="00242E5E"/>
    <w:rsid w:val="002615F6"/>
    <w:rsid w:val="00262D94"/>
    <w:rsid w:val="00263E48"/>
    <w:rsid w:val="0026661A"/>
    <w:rsid w:val="002745D6"/>
    <w:rsid w:val="00282A8A"/>
    <w:rsid w:val="00286042"/>
    <w:rsid w:val="00286754"/>
    <w:rsid w:val="0029566B"/>
    <w:rsid w:val="00296AB4"/>
    <w:rsid w:val="002C1955"/>
    <w:rsid w:val="002C21F8"/>
    <w:rsid w:val="002D00A1"/>
    <w:rsid w:val="002D0DC9"/>
    <w:rsid w:val="002E0DB7"/>
    <w:rsid w:val="002F1EC5"/>
    <w:rsid w:val="002F293A"/>
    <w:rsid w:val="002F68A1"/>
    <w:rsid w:val="003017D9"/>
    <w:rsid w:val="00305F17"/>
    <w:rsid w:val="003061F7"/>
    <w:rsid w:val="0031169C"/>
    <w:rsid w:val="00312DF2"/>
    <w:rsid w:val="00316CBE"/>
    <w:rsid w:val="00324D11"/>
    <w:rsid w:val="003341D3"/>
    <w:rsid w:val="0033481B"/>
    <w:rsid w:val="00343EAA"/>
    <w:rsid w:val="00370974"/>
    <w:rsid w:val="00374E02"/>
    <w:rsid w:val="0038743A"/>
    <w:rsid w:val="00392A9E"/>
    <w:rsid w:val="003B0CAB"/>
    <w:rsid w:val="003B424D"/>
    <w:rsid w:val="003B5567"/>
    <w:rsid w:val="003B715A"/>
    <w:rsid w:val="003B7560"/>
    <w:rsid w:val="003C1BB1"/>
    <w:rsid w:val="003C7159"/>
    <w:rsid w:val="003C7324"/>
    <w:rsid w:val="003E7F3C"/>
    <w:rsid w:val="003F0F4E"/>
    <w:rsid w:val="0040359C"/>
    <w:rsid w:val="00405A12"/>
    <w:rsid w:val="00405D65"/>
    <w:rsid w:val="00412F95"/>
    <w:rsid w:val="00416603"/>
    <w:rsid w:val="004258C9"/>
    <w:rsid w:val="004458BB"/>
    <w:rsid w:val="004602D9"/>
    <w:rsid w:val="0046292D"/>
    <w:rsid w:val="004677EA"/>
    <w:rsid w:val="004759CC"/>
    <w:rsid w:val="004827E3"/>
    <w:rsid w:val="00482B7E"/>
    <w:rsid w:val="00495DE7"/>
    <w:rsid w:val="00495FDC"/>
    <w:rsid w:val="0049703D"/>
    <w:rsid w:val="004A2A92"/>
    <w:rsid w:val="004B205A"/>
    <w:rsid w:val="004B3CAA"/>
    <w:rsid w:val="004B4F66"/>
    <w:rsid w:val="004C01B1"/>
    <w:rsid w:val="004C2ED4"/>
    <w:rsid w:val="004C7923"/>
    <w:rsid w:val="004D0117"/>
    <w:rsid w:val="004D4504"/>
    <w:rsid w:val="004D473F"/>
    <w:rsid w:val="004D5B83"/>
    <w:rsid w:val="004D650E"/>
    <w:rsid w:val="004D6FED"/>
    <w:rsid w:val="004D7603"/>
    <w:rsid w:val="004F108F"/>
    <w:rsid w:val="004F53C6"/>
    <w:rsid w:val="004F59BD"/>
    <w:rsid w:val="00502CAA"/>
    <w:rsid w:val="00512E9F"/>
    <w:rsid w:val="00516C0A"/>
    <w:rsid w:val="005176F2"/>
    <w:rsid w:val="00524103"/>
    <w:rsid w:val="00527D39"/>
    <w:rsid w:val="00533027"/>
    <w:rsid w:val="00535C71"/>
    <w:rsid w:val="00540A42"/>
    <w:rsid w:val="005414BA"/>
    <w:rsid w:val="0054280C"/>
    <w:rsid w:val="0054565F"/>
    <w:rsid w:val="0054606D"/>
    <w:rsid w:val="005473C6"/>
    <w:rsid w:val="00563FEB"/>
    <w:rsid w:val="00575045"/>
    <w:rsid w:val="00576CB8"/>
    <w:rsid w:val="00592138"/>
    <w:rsid w:val="00594F0C"/>
    <w:rsid w:val="005A3D5B"/>
    <w:rsid w:val="005B35E7"/>
    <w:rsid w:val="005E2629"/>
    <w:rsid w:val="005E308F"/>
    <w:rsid w:val="005E404F"/>
    <w:rsid w:val="005E4D1B"/>
    <w:rsid w:val="005F0616"/>
    <w:rsid w:val="005F1791"/>
    <w:rsid w:val="005F6C6E"/>
    <w:rsid w:val="005F7DDF"/>
    <w:rsid w:val="006002EE"/>
    <w:rsid w:val="006125A3"/>
    <w:rsid w:val="006154A2"/>
    <w:rsid w:val="006166EE"/>
    <w:rsid w:val="00633BE2"/>
    <w:rsid w:val="00636E39"/>
    <w:rsid w:val="0065040C"/>
    <w:rsid w:val="006554B7"/>
    <w:rsid w:val="0066208F"/>
    <w:rsid w:val="006631D3"/>
    <w:rsid w:val="006653DD"/>
    <w:rsid w:val="00670A56"/>
    <w:rsid w:val="00671564"/>
    <w:rsid w:val="006739BF"/>
    <w:rsid w:val="0067595A"/>
    <w:rsid w:val="00677D99"/>
    <w:rsid w:val="006A1630"/>
    <w:rsid w:val="006A676D"/>
    <w:rsid w:val="006B332D"/>
    <w:rsid w:val="006B6D73"/>
    <w:rsid w:val="006B76A5"/>
    <w:rsid w:val="006C3105"/>
    <w:rsid w:val="006C7C06"/>
    <w:rsid w:val="006C7C55"/>
    <w:rsid w:val="006D0491"/>
    <w:rsid w:val="006F60F1"/>
    <w:rsid w:val="007149D8"/>
    <w:rsid w:val="00716C07"/>
    <w:rsid w:val="00730E79"/>
    <w:rsid w:val="0074116D"/>
    <w:rsid w:val="00746028"/>
    <w:rsid w:val="00764C44"/>
    <w:rsid w:val="007723AE"/>
    <w:rsid w:val="00773DA3"/>
    <w:rsid w:val="007812EB"/>
    <w:rsid w:val="00784A9F"/>
    <w:rsid w:val="007943D0"/>
    <w:rsid w:val="007A0F18"/>
    <w:rsid w:val="007A1EBF"/>
    <w:rsid w:val="007A29A3"/>
    <w:rsid w:val="007A39E6"/>
    <w:rsid w:val="007B57CD"/>
    <w:rsid w:val="007D238A"/>
    <w:rsid w:val="007E35B0"/>
    <w:rsid w:val="007F5D5D"/>
    <w:rsid w:val="00806376"/>
    <w:rsid w:val="00811500"/>
    <w:rsid w:val="00817EE8"/>
    <w:rsid w:val="0083500F"/>
    <w:rsid w:val="008452D9"/>
    <w:rsid w:val="00847933"/>
    <w:rsid w:val="008515F3"/>
    <w:rsid w:val="0085477D"/>
    <w:rsid w:val="00855D68"/>
    <w:rsid w:val="0086090E"/>
    <w:rsid w:val="00873FEB"/>
    <w:rsid w:val="008742FC"/>
    <w:rsid w:val="00874B7C"/>
    <w:rsid w:val="0088455B"/>
    <w:rsid w:val="00885395"/>
    <w:rsid w:val="008B1072"/>
    <w:rsid w:val="008C3A37"/>
    <w:rsid w:val="008C417F"/>
    <w:rsid w:val="008C5F33"/>
    <w:rsid w:val="008D4F08"/>
    <w:rsid w:val="008E11F0"/>
    <w:rsid w:val="008E721D"/>
    <w:rsid w:val="008F1A70"/>
    <w:rsid w:val="008F4A2F"/>
    <w:rsid w:val="008F6492"/>
    <w:rsid w:val="00902FAA"/>
    <w:rsid w:val="009043C6"/>
    <w:rsid w:val="009148F6"/>
    <w:rsid w:val="00920D15"/>
    <w:rsid w:val="00933B30"/>
    <w:rsid w:val="009342AB"/>
    <w:rsid w:val="00942A07"/>
    <w:rsid w:val="00943CAD"/>
    <w:rsid w:val="0095072E"/>
    <w:rsid w:val="00957416"/>
    <w:rsid w:val="00962E8C"/>
    <w:rsid w:val="009634AC"/>
    <w:rsid w:val="00963AA5"/>
    <w:rsid w:val="00973624"/>
    <w:rsid w:val="009829A6"/>
    <w:rsid w:val="009958FA"/>
    <w:rsid w:val="00995E6B"/>
    <w:rsid w:val="009A3746"/>
    <w:rsid w:val="009A5634"/>
    <w:rsid w:val="009B5819"/>
    <w:rsid w:val="009B5DBD"/>
    <w:rsid w:val="009B723B"/>
    <w:rsid w:val="009C7C16"/>
    <w:rsid w:val="009E07F1"/>
    <w:rsid w:val="009E5F70"/>
    <w:rsid w:val="009E7739"/>
    <w:rsid w:val="009F37D1"/>
    <w:rsid w:val="009F3F01"/>
    <w:rsid w:val="00A03824"/>
    <w:rsid w:val="00A11328"/>
    <w:rsid w:val="00A12A9A"/>
    <w:rsid w:val="00A25234"/>
    <w:rsid w:val="00A266B2"/>
    <w:rsid w:val="00A332D4"/>
    <w:rsid w:val="00A37292"/>
    <w:rsid w:val="00A4607E"/>
    <w:rsid w:val="00A50835"/>
    <w:rsid w:val="00A52669"/>
    <w:rsid w:val="00A576A0"/>
    <w:rsid w:val="00A63323"/>
    <w:rsid w:val="00A66B32"/>
    <w:rsid w:val="00A72F5D"/>
    <w:rsid w:val="00A72FF3"/>
    <w:rsid w:val="00A77085"/>
    <w:rsid w:val="00A80356"/>
    <w:rsid w:val="00A8518D"/>
    <w:rsid w:val="00A90DB2"/>
    <w:rsid w:val="00A93ACD"/>
    <w:rsid w:val="00A9430E"/>
    <w:rsid w:val="00AA5A08"/>
    <w:rsid w:val="00AA608D"/>
    <w:rsid w:val="00AB24B7"/>
    <w:rsid w:val="00AB6B99"/>
    <w:rsid w:val="00AD00BC"/>
    <w:rsid w:val="00AD07ED"/>
    <w:rsid w:val="00AE76E6"/>
    <w:rsid w:val="00AF1591"/>
    <w:rsid w:val="00B04E07"/>
    <w:rsid w:val="00B061ED"/>
    <w:rsid w:val="00B158DF"/>
    <w:rsid w:val="00B16B5A"/>
    <w:rsid w:val="00B24FFD"/>
    <w:rsid w:val="00B3119C"/>
    <w:rsid w:val="00B36646"/>
    <w:rsid w:val="00B41857"/>
    <w:rsid w:val="00B624EA"/>
    <w:rsid w:val="00B6779B"/>
    <w:rsid w:val="00B711D0"/>
    <w:rsid w:val="00B72D3D"/>
    <w:rsid w:val="00B7343B"/>
    <w:rsid w:val="00B82A59"/>
    <w:rsid w:val="00B83441"/>
    <w:rsid w:val="00B846EA"/>
    <w:rsid w:val="00B85044"/>
    <w:rsid w:val="00B910EA"/>
    <w:rsid w:val="00BA279B"/>
    <w:rsid w:val="00BB0726"/>
    <w:rsid w:val="00BB0FE5"/>
    <w:rsid w:val="00BB48E6"/>
    <w:rsid w:val="00BB6195"/>
    <w:rsid w:val="00BE1485"/>
    <w:rsid w:val="00BE1CCD"/>
    <w:rsid w:val="00BF0BED"/>
    <w:rsid w:val="00BF63C1"/>
    <w:rsid w:val="00BF6A2A"/>
    <w:rsid w:val="00C01702"/>
    <w:rsid w:val="00C04BC2"/>
    <w:rsid w:val="00C17065"/>
    <w:rsid w:val="00C36639"/>
    <w:rsid w:val="00C37DBD"/>
    <w:rsid w:val="00C521BC"/>
    <w:rsid w:val="00C61173"/>
    <w:rsid w:val="00C61D6D"/>
    <w:rsid w:val="00C62565"/>
    <w:rsid w:val="00C65A69"/>
    <w:rsid w:val="00C71A9B"/>
    <w:rsid w:val="00C72052"/>
    <w:rsid w:val="00C75153"/>
    <w:rsid w:val="00C76458"/>
    <w:rsid w:val="00C83421"/>
    <w:rsid w:val="00C839EB"/>
    <w:rsid w:val="00C84AD7"/>
    <w:rsid w:val="00C90D41"/>
    <w:rsid w:val="00C93538"/>
    <w:rsid w:val="00C969AA"/>
    <w:rsid w:val="00C9768F"/>
    <w:rsid w:val="00CA2481"/>
    <w:rsid w:val="00CA423D"/>
    <w:rsid w:val="00CA4BF3"/>
    <w:rsid w:val="00CB23EC"/>
    <w:rsid w:val="00CB2471"/>
    <w:rsid w:val="00CB7716"/>
    <w:rsid w:val="00CC3321"/>
    <w:rsid w:val="00CC6E3E"/>
    <w:rsid w:val="00CD100C"/>
    <w:rsid w:val="00CE0B89"/>
    <w:rsid w:val="00CE2E7C"/>
    <w:rsid w:val="00CE3160"/>
    <w:rsid w:val="00CF1963"/>
    <w:rsid w:val="00D01861"/>
    <w:rsid w:val="00D01AEE"/>
    <w:rsid w:val="00D06C7F"/>
    <w:rsid w:val="00D07416"/>
    <w:rsid w:val="00D11AB0"/>
    <w:rsid w:val="00D12F65"/>
    <w:rsid w:val="00D16AB3"/>
    <w:rsid w:val="00D200A2"/>
    <w:rsid w:val="00D24888"/>
    <w:rsid w:val="00D341D3"/>
    <w:rsid w:val="00D361A8"/>
    <w:rsid w:val="00D379EC"/>
    <w:rsid w:val="00D37F59"/>
    <w:rsid w:val="00D44219"/>
    <w:rsid w:val="00D645EE"/>
    <w:rsid w:val="00D66E2A"/>
    <w:rsid w:val="00D7490E"/>
    <w:rsid w:val="00D82250"/>
    <w:rsid w:val="00DA1648"/>
    <w:rsid w:val="00DB0BE6"/>
    <w:rsid w:val="00DC3B6C"/>
    <w:rsid w:val="00DC4B74"/>
    <w:rsid w:val="00DD662A"/>
    <w:rsid w:val="00DE2B00"/>
    <w:rsid w:val="00DE568D"/>
    <w:rsid w:val="00DF68CB"/>
    <w:rsid w:val="00DF73F9"/>
    <w:rsid w:val="00E042BB"/>
    <w:rsid w:val="00E052D2"/>
    <w:rsid w:val="00E10235"/>
    <w:rsid w:val="00E176D8"/>
    <w:rsid w:val="00E17736"/>
    <w:rsid w:val="00E20C99"/>
    <w:rsid w:val="00E213A8"/>
    <w:rsid w:val="00E23560"/>
    <w:rsid w:val="00E24C3A"/>
    <w:rsid w:val="00E60491"/>
    <w:rsid w:val="00E63FF7"/>
    <w:rsid w:val="00E64350"/>
    <w:rsid w:val="00E72480"/>
    <w:rsid w:val="00EA0803"/>
    <w:rsid w:val="00EA2025"/>
    <w:rsid w:val="00EA4830"/>
    <w:rsid w:val="00EA50C8"/>
    <w:rsid w:val="00EB1364"/>
    <w:rsid w:val="00EB4557"/>
    <w:rsid w:val="00EB4898"/>
    <w:rsid w:val="00EC10CA"/>
    <w:rsid w:val="00ED14F6"/>
    <w:rsid w:val="00ED615F"/>
    <w:rsid w:val="00ED6FF0"/>
    <w:rsid w:val="00EE1C61"/>
    <w:rsid w:val="00EF1847"/>
    <w:rsid w:val="00F23937"/>
    <w:rsid w:val="00F2643F"/>
    <w:rsid w:val="00F317CB"/>
    <w:rsid w:val="00F52C66"/>
    <w:rsid w:val="00F60FED"/>
    <w:rsid w:val="00F65774"/>
    <w:rsid w:val="00F72F2A"/>
    <w:rsid w:val="00F801B3"/>
    <w:rsid w:val="00F82732"/>
    <w:rsid w:val="00F96453"/>
    <w:rsid w:val="00FA1255"/>
    <w:rsid w:val="00FC1EA7"/>
    <w:rsid w:val="00FE0EF6"/>
    <w:rsid w:val="00FE2F0D"/>
    <w:rsid w:val="00FE5C10"/>
    <w:rsid w:val="00FF18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872EAD"/>
  <w15:chartTrackingRefBased/>
  <w15:docId w15:val="{AC090131-8D75-478F-B4E4-0DC6A4102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C44"/>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764C44"/>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764C44"/>
    <w:pPr>
      <w:outlineLvl w:val="1"/>
    </w:pPr>
    <w:rPr>
      <w:sz w:val="28"/>
    </w:rPr>
  </w:style>
  <w:style w:type="paragraph" w:styleId="Heading3">
    <w:name w:val="heading 3"/>
    <w:basedOn w:val="Normal"/>
    <w:next w:val="Normal"/>
    <w:link w:val="Heading3Char"/>
    <w:uiPriority w:val="9"/>
    <w:unhideWhenUsed/>
    <w:qFormat/>
    <w:rsid w:val="00764C44"/>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764C44"/>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764C4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764C44"/>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764C44"/>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764C4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764C4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C44"/>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764C44"/>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764C44"/>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764C44"/>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764C44"/>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764C44"/>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764C44"/>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764C44"/>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764C44"/>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764C44"/>
    <w:pPr>
      <w:ind w:left="862" w:right="862"/>
      <w:jc w:val="center"/>
    </w:pPr>
    <w:rPr>
      <w:i/>
      <w:iCs/>
      <w:color w:val="404040" w:themeColor="text1" w:themeTint="BF"/>
    </w:rPr>
  </w:style>
  <w:style w:type="character" w:customStyle="1" w:styleId="QuoteChar">
    <w:name w:val="Quote Char"/>
    <w:basedOn w:val="DefaultParagraphFont"/>
    <w:link w:val="Quote"/>
    <w:uiPriority w:val="29"/>
    <w:rsid w:val="00764C44"/>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764C44"/>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764C44"/>
    <w:pPr>
      <w:tabs>
        <w:tab w:val="center" w:pos="4320"/>
        <w:tab w:val="right" w:pos="8640"/>
      </w:tabs>
    </w:pPr>
  </w:style>
  <w:style w:type="character" w:customStyle="1" w:styleId="HeaderChar">
    <w:name w:val="Header Char"/>
    <w:basedOn w:val="DefaultParagraphFont"/>
    <w:link w:val="Header"/>
    <w:uiPriority w:val="99"/>
    <w:rsid w:val="00764C44"/>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764C44"/>
    <w:pPr>
      <w:tabs>
        <w:tab w:val="center" w:pos="4320"/>
        <w:tab w:val="right" w:pos="8640"/>
      </w:tabs>
    </w:pPr>
  </w:style>
  <w:style w:type="character" w:customStyle="1" w:styleId="FooterChar">
    <w:name w:val="Footer Char"/>
    <w:basedOn w:val="DefaultParagraphFont"/>
    <w:link w:val="Footer"/>
    <w:uiPriority w:val="99"/>
    <w:rsid w:val="00764C44"/>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764C44"/>
    <w:rPr>
      <w:noProof w:val="0"/>
    </w:rPr>
  </w:style>
  <w:style w:type="character" w:styleId="Hyperlink">
    <w:name w:val="Hyperlink"/>
    <w:basedOn w:val="DefaultParagraphFont"/>
    <w:uiPriority w:val="99"/>
    <w:unhideWhenUsed/>
    <w:rsid w:val="00764C44"/>
    <w:rPr>
      <w:noProof w:val="0"/>
      <w:color w:val="467886" w:themeColor="hyperlink"/>
      <w:u w:val="single"/>
    </w:rPr>
  </w:style>
  <w:style w:type="paragraph" w:styleId="Revision">
    <w:name w:val="Revision"/>
    <w:hidden/>
    <w:uiPriority w:val="99"/>
    <w:semiHidden/>
    <w:rsid w:val="00764C44"/>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764C44"/>
    <w:pPr>
      <w:spacing w:after="120"/>
    </w:pPr>
    <w:rPr>
      <w:b/>
      <w:bCs/>
      <w:color w:val="FFFFFF"/>
      <w:sz w:val="32"/>
      <w:szCs w:val="32"/>
    </w:rPr>
  </w:style>
  <w:style w:type="paragraph" w:customStyle="1" w:styleId="Headline">
    <w:name w:val="Headline"/>
    <w:basedOn w:val="Normal"/>
    <w:next w:val="Normal"/>
    <w:link w:val="HeadlineChar"/>
    <w:qFormat/>
    <w:rsid w:val="00764C44"/>
    <w:rPr>
      <w:rFonts w:ascii="Segoe UI Semilight" w:hAnsi="Segoe UI Semilight" w:cs="Segoe UI Semilight"/>
      <w:b/>
      <w:bCs/>
      <w:color w:val="FFFFFF"/>
      <w:sz w:val="40"/>
      <w:szCs w:val="40"/>
    </w:rPr>
  </w:style>
  <w:style w:type="paragraph" w:customStyle="1" w:styleId="ExhibitTitle">
    <w:name w:val="Exhibit Title"/>
    <w:basedOn w:val="Normal"/>
    <w:qFormat/>
    <w:rsid w:val="00764C44"/>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764C44"/>
    <w:pPr>
      <w:shd w:val="clear" w:color="auto" w:fill="D6E2FA"/>
      <w:spacing w:after="0"/>
    </w:pPr>
    <w:rPr>
      <w:color w:val="595959" w:themeColor="text1" w:themeTint="A6"/>
      <w:sz w:val="18"/>
    </w:rPr>
  </w:style>
  <w:style w:type="paragraph" w:customStyle="1" w:styleId="ExhibitSource">
    <w:name w:val="Exhibit Source"/>
    <w:next w:val="Normal"/>
    <w:qFormat/>
    <w:rsid w:val="00764C44"/>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764C44"/>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764C44"/>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764C44"/>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764C44"/>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764C44"/>
    <w:rPr>
      <w:rFonts w:ascii="Segoe UI" w:hAnsi="Segoe UI" w:cs="Segoe UI"/>
      <w:noProof w:val="0"/>
      <w:color w:val="000000" w:themeColor="text1"/>
    </w:rPr>
  </w:style>
  <w:style w:type="paragraph" w:customStyle="1" w:styleId="Summary">
    <w:name w:val="Summary"/>
    <w:basedOn w:val="Normal"/>
    <w:link w:val="SummaryChar"/>
    <w:qFormat/>
    <w:rsid w:val="00764C44"/>
    <w:pPr>
      <w:numPr>
        <w:numId w:val="1"/>
      </w:numPr>
      <w:ind w:left="1797" w:hanging="357"/>
    </w:pPr>
    <w:rPr>
      <w:kern w:val="2"/>
      <w:sz w:val="22"/>
      <w14:ligatures w14:val="standardContextual"/>
    </w:rPr>
  </w:style>
  <w:style w:type="paragraph" w:customStyle="1" w:styleId="TableData">
    <w:name w:val="Table Data"/>
    <w:link w:val="TableDataChar"/>
    <w:qFormat/>
    <w:rsid w:val="00764C44"/>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764C44"/>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764C44"/>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764C44"/>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764C44"/>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764C44"/>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764C44"/>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764C44"/>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764C44"/>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764C44"/>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764C44"/>
    <w:rPr>
      <w:color w:val="003469"/>
    </w:rPr>
  </w:style>
  <w:style w:type="character" w:customStyle="1" w:styleId="RepeatingFooterChar">
    <w:name w:val="Repeating Footer Char"/>
    <w:basedOn w:val="FooterChar"/>
    <w:link w:val="RepeatingFooter"/>
    <w:rsid w:val="00764C44"/>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764C44"/>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764C44"/>
    <w:rPr>
      <w:b/>
      <w:bCs/>
      <w:noProof w:val="0"/>
    </w:rPr>
  </w:style>
  <w:style w:type="character" w:customStyle="1" w:styleId="Italics">
    <w:name w:val="Italics"/>
    <w:uiPriority w:val="1"/>
    <w:qFormat/>
    <w:rsid w:val="00764C44"/>
    <w:rPr>
      <w:i/>
      <w:iCs/>
      <w:noProof w:val="0"/>
    </w:rPr>
  </w:style>
  <w:style w:type="table" w:customStyle="1" w:styleId="TableGridHeader">
    <w:name w:val="Table Grid Header"/>
    <w:basedOn w:val="TableNormal"/>
    <w:uiPriority w:val="99"/>
    <w:rsid w:val="00764C44"/>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hyperlink" Target="https://my.oxfordeconomics.com/reportaction/135FD4E926344dD99967d8/Toc" TargetMode="External"/><Relationship Id="rId3" Type="http://schemas.openxmlformats.org/officeDocument/2006/relationships/settings" Target="settings.xml"/><Relationship Id="rId21" Type="http://schemas.openxmlformats.org/officeDocument/2006/relationships/hyperlink" Target="https://my.oxfordeconomics.com/reports/5e1F3c994307450aaDcBf6" TargetMode="External"/><Relationship Id="rId34"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6.svg"/><Relationship Id="rId25" Type="http://schemas.openxmlformats.org/officeDocument/2006/relationships/hyperlink" Target="https://my.oxfordeconomics.com/reports/2a96Ae262aD24bE09CfA1b"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my.oxfordeconomics.com/reportaction/652A5da6c83C44668d6800/Toc" TargetMode="External"/><Relationship Id="rId29" Type="http://schemas.openxmlformats.org/officeDocument/2006/relationships/hyperlink" Target="https://my.oxfordeconomics.com/reports/fffC2aF0d29940E59691e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www.telegraph.co.uk/business/2025/08/23/rachel-reeves-britain-debt-bailout-1970s-imf-economy/" TargetMode="External"/><Relationship Id="rId32" Type="http://schemas.openxmlformats.org/officeDocument/2006/relationships/image" Target="media/image12.svg"/><Relationship Id="rId5" Type="http://schemas.openxmlformats.org/officeDocument/2006/relationships/footnotes" Target="footnotes.xml"/><Relationship Id="rId15" Type="http://schemas.openxmlformats.org/officeDocument/2006/relationships/hyperlink" Target="https://www.bankofengland.co.uk/monetary-policy-report/2025/august-2025" TargetMode="External"/><Relationship Id="rId23" Type="http://schemas.openxmlformats.org/officeDocument/2006/relationships/hyperlink" Target="https://my.oxfordeconomics.com/reportaction/953a13e288B04693880540/Toc" TargetMode="External"/><Relationship Id="rId28" Type="http://schemas.openxmlformats.org/officeDocument/2006/relationships/image" Target="media/image10.svg"/><Relationship Id="rId10" Type="http://schemas.openxmlformats.org/officeDocument/2006/relationships/header" Target="header2.xml"/><Relationship Id="rId19" Type="http://schemas.openxmlformats.org/officeDocument/2006/relationships/image" Target="media/image8.svg"/><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assets.publishing.service.gov.uk/media/68a8760e2f185664821557c5/Forecasts_for_the_UK_Economy_August.pdf" TargetMode="External"/><Relationship Id="rId22" Type="http://schemas.openxmlformats.org/officeDocument/2006/relationships/hyperlink" Target="https://my.oxfordeconomics.com/reportaction/eb6E9413a37C4026818Abc/Toc" TargetMode="External"/><Relationship Id="rId27" Type="http://schemas.openxmlformats.org/officeDocument/2006/relationships/image" Target="media/image9.png"/><Relationship Id="rId30" Type="http://schemas.openxmlformats.org/officeDocument/2006/relationships/hyperlink" Target="https://my.oxfordeconomics.com/reportaction/907F7782263A4e4483eDef/Toc" TargetMode="External"/><Relationship Id="rId35" Type="http://schemas.openxmlformats.org/officeDocument/2006/relationships/theme" Target="theme/theme1.xml"/><Relationship Id="rId8" Type="http://schemas.openxmlformats.org/officeDocument/2006/relationships/image" Target="media/image2.sv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0D71B6D-7B89-43F2-BF0A-ACB86A722691}"/>
      </w:docPartPr>
      <w:docPartBody>
        <w:p w:rsidR="001F09DA" w:rsidRDefault="001F09DA">
          <w:r w:rsidRPr="002213D8">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9DA"/>
    <w:rsid w:val="000F4832"/>
    <w:rsid w:val="00174E4A"/>
    <w:rsid w:val="001C6443"/>
    <w:rsid w:val="001F09DA"/>
    <w:rsid w:val="0020133E"/>
    <w:rsid w:val="00286042"/>
    <w:rsid w:val="003B7560"/>
    <w:rsid w:val="004759CC"/>
    <w:rsid w:val="0054606D"/>
    <w:rsid w:val="00594F0C"/>
    <w:rsid w:val="007A1EBF"/>
    <w:rsid w:val="00902FAA"/>
    <w:rsid w:val="00BF63C1"/>
    <w:rsid w:val="00CF1963"/>
    <w:rsid w:val="00EE1C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5</Pages>
  <Words>2601</Words>
  <Characters>13037</Characters>
  <Application>Microsoft Office Word</Application>
  <DocSecurity>0</DocSecurity>
  <Lines>178</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19</cp:revision>
  <dcterms:created xsi:type="dcterms:W3CDTF">2025-09-08T19:00:00Z</dcterms:created>
  <dcterms:modified xsi:type="dcterms:W3CDTF">2025-09-09T08:51:00Z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2025-09-09T07:09:26.000Z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v0.8.1.1</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Team\Data\GDP.xlsx,Z:\UK Team\Data\Forecast charts.xlsx,Z:\UK Team\Data\Market interest rate expectations.xlsx,Z:\UK Team\Data\Financial markets.xlsx</vt:lpwstr>
  </property>
  <property fmtid="{D5CDD505-2E9C-101B-9397-08002B2CF9AE}" pid="15" name="OEP_CATEGORIES">
    <vt:lpwstr>AnalysisbyRegion-Europe-UnitedKingdom,Macro-ResearchBriefings-UnitedKingdom</vt:lpwstr>
  </property>
  <property fmtid="{D5CDD505-2E9C-101B-9397-08002B2CF9AE}" pid="16" name="OEP_TAGS">
    <vt:lpwstr>Key Themes:growth,forecast,interest rates,fiscal policy</vt:lpwstr>
  </property>
  <property fmtid="{D5CDD505-2E9C-101B-9397-08002B2CF9AE}" pid="17" name="OEP_KEY_THEMES">
    <vt:lpwstr>growth,forecast,interest rates,fiscal policy</vt:lpwstr>
  </property>
  <property fmtid="{D5CDD505-2E9C-101B-9397-08002B2CF9AE}" pid="18" name="OEP_CHART3">
    <vt:lpwstr>CPI &amp; AWE (2),Z:\UK Team\Data\Forecast charts.xlsx</vt:lpwstr>
  </property>
  <property fmtid="{D5CDD505-2E9C-101B-9397-08002B2CF9AE}" pid="19" name="OEP_DATA_FILEPATH">
    <vt:lpwstr>Z:\UK Team\UK Research Briefing\20250909 RB UK September update.xlsx</vt:lpwstr>
  </property>
  <property fmtid="{D5CDD505-2E9C-101B-9397-08002B2CF9AE}" pid="20" name="OEP_CHART3_DATA">
    <vt:lpwstr>CPI &amp; AWE (2),Z:\UK Team\Data\Forecast charts.xlsx</vt:lpwstr>
  </property>
  <property fmtid="{D5CDD505-2E9C-101B-9397-08002B2CF9AE}" pid="21" name="OEP_CHART2">
    <vt:lpwstr>Fiscal impulse exc GDIP,Z:\UK Team\Data\Forecast charts.xlsx</vt:lpwstr>
  </property>
  <property fmtid="{D5CDD505-2E9C-101B-9397-08002B2CF9AE}" pid="22" name="OEP_CHART2_DATA">
    <vt:lpwstr>Fiscal impulse exc GDIP,Z:\UK Team\Data\Forecast charts.xlsx</vt:lpwstr>
  </property>
  <property fmtid="{D5CDD505-2E9C-101B-9397-08002B2CF9AE}" pid="23" name="OEP_PRODUCT_CODE">
    <vt:lpwstr>7a7D8cAc27C449F9873D4c</vt:lpwstr>
  </property>
  <property fmtid="{D5CDD505-2E9C-101B-9397-08002B2CF9AE}" pid="24" name="OEP_PUBLISH_DATE">
    <vt:lpwstr/>
  </property>
</Properties>
</file>