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A9ED8" w14:textId="57228DFD" w:rsidR="001E4A26" w:rsidRPr="00846A5B" w:rsidRDefault="00022C60" w:rsidP="001E4A26">
      <w:pPr>
        <w:pStyle w:val="Bullet"/>
      </w:pPr>
      <w:r w:rsidRPr="00846A5B">
        <w:t xml:space="preserve">The Bank of England's Monetary Policy Committee held Bank Rate at 4% </w:t>
      </w:r>
      <w:r w:rsidR="000157BB" w:rsidRPr="00846A5B">
        <w:t xml:space="preserve">at today's </w:t>
      </w:r>
      <w:r w:rsidRPr="00846A5B">
        <w:t>meeting</w:t>
      </w:r>
      <w:r w:rsidR="001E4A26" w:rsidRPr="00846A5B">
        <w:t>.</w:t>
      </w:r>
      <w:r w:rsidRPr="00846A5B">
        <w:t xml:space="preserve"> </w:t>
      </w:r>
      <w:r w:rsidR="000157BB" w:rsidRPr="00846A5B">
        <w:t xml:space="preserve">Additionally, it decided </w:t>
      </w:r>
      <w:r w:rsidRPr="00846A5B">
        <w:t xml:space="preserve">to reduce the stock of gilts held in the </w:t>
      </w:r>
      <w:r w:rsidR="00846A5B">
        <w:t>a</w:t>
      </w:r>
      <w:r w:rsidR="00846A5B" w:rsidRPr="00846A5B">
        <w:t xml:space="preserve">sset </w:t>
      </w:r>
      <w:r w:rsidR="00846A5B">
        <w:t>p</w:t>
      </w:r>
      <w:r w:rsidR="00846A5B" w:rsidRPr="00846A5B">
        <w:t xml:space="preserve">urchase </w:t>
      </w:r>
      <w:r w:rsidR="00846A5B">
        <w:t>f</w:t>
      </w:r>
      <w:r w:rsidR="00846A5B" w:rsidRPr="00846A5B">
        <w:t xml:space="preserve">acility </w:t>
      </w:r>
      <w:r w:rsidRPr="00846A5B">
        <w:t>by £</w:t>
      </w:r>
      <w:r w:rsidR="00EC661F" w:rsidRPr="00846A5B">
        <w:t>70</w:t>
      </w:r>
      <w:r w:rsidRPr="00846A5B">
        <w:t>bn over the next year, down from £100bn</w:t>
      </w:r>
      <w:r w:rsidR="000157BB" w:rsidRPr="00846A5B">
        <w:t xml:space="preserve"> in the previous </w:t>
      </w:r>
      <w:r w:rsidRPr="00846A5B">
        <w:t>year.</w:t>
      </w:r>
    </w:p>
    <w:p w14:paraId="41DD557B" w14:textId="2F7C79AA" w:rsidR="009C1647" w:rsidRPr="00846A5B" w:rsidRDefault="00FC3E90" w:rsidP="001E4A26">
      <w:pPr>
        <w:pStyle w:val="Bullet"/>
      </w:pPr>
      <w:r w:rsidRPr="00846A5B">
        <w:t>The reduction in the pace of quantitative tightening was</w:t>
      </w:r>
      <w:r w:rsidR="002304FF" w:rsidRPr="00846A5B">
        <w:t xml:space="preserve"> broadly</w:t>
      </w:r>
      <w:r w:rsidRPr="00846A5B">
        <w:t xml:space="preserve"> in line with our expectations</w:t>
      </w:r>
      <w:r w:rsidR="001E4A26" w:rsidRPr="00846A5B">
        <w:t>.</w:t>
      </w:r>
      <w:r w:rsidRPr="00846A5B">
        <w:t xml:space="preserve"> The MPC appears to have been keen to avoid </w:t>
      </w:r>
      <w:r w:rsidR="009C1647" w:rsidRPr="00846A5B">
        <w:t xml:space="preserve">causing any market </w:t>
      </w:r>
      <w:r w:rsidR="006655A2" w:rsidRPr="00846A5B">
        <w:t>stress</w:t>
      </w:r>
      <w:r w:rsidR="00846A5B">
        <w:t xml:space="preserve"> in arriving at</w:t>
      </w:r>
      <w:r w:rsidR="009C1647" w:rsidRPr="00846A5B">
        <w:t xml:space="preserve"> a number close to what market participants had expected.</w:t>
      </w:r>
    </w:p>
    <w:p w14:paraId="22F73FC1" w14:textId="52459013" w:rsidR="001E4A26" w:rsidRPr="00846A5B" w:rsidRDefault="009C1647" w:rsidP="001E4A26">
      <w:pPr>
        <w:pStyle w:val="Bullet"/>
      </w:pPr>
      <w:r w:rsidRPr="00846A5B">
        <w:t xml:space="preserve">The BoE's announcement </w:t>
      </w:r>
      <w:r w:rsidR="00846A5B">
        <w:t xml:space="preserve">that </w:t>
      </w:r>
      <w:r w:rsidRPr="00846A5B">
        <w:t xml:space="preserve">it would focus sales more on shorter maturities also </w:t>
      </w:r>
      <w:r w:rsidR="00846A5B" w:rsidRPr="00846A5B">
        <w:t>reflect</w:t>
      </w:r>
      <w:r w:rsidR="00846A5B">
        <w:t>s</w:t>
      </w:r>
      <w:r w:rsidR="00846A5B" w:rsidRPr="00846A5B">
        <w:t xml:space="preserve"> </w:t>
      </w:r>
      <w:r w:rsidRPr="00846A5B">
        <w:t>a desire to avoid adding to recent upward pressure on yields at the longer end of the curve.</w:t>
      </w:r>
    </w:p>
    <w:p w14:paraId="30E3E9BC" w14:textId="7DE6A437" w:rsidR="001E4A26" w:rsidRPr="00846A5B" w:rsidRDefault="009C1647" w:rsidP="001E4A26">
      <w:pPr>
        <w:pStyle w:val="Bullet"/>
      </w:pPr>
      <w:r w:rsidRPr="00846A5B">
        <w:t xml:space="preserve">The minutes </w:t>
      </w:r>
      <w:r w:rsidR="00817625" w:rsidRPr="00846A5B">
        <w:t xml:space="preserve">made no effort to prepare the ground for a November rate cut. </w:t>
      </w:r>
      <w:r w:rsidR="00D82E87" w:rsidRPr="00846A5B">
        <w:t xml:space="preserve">Concerns </w:t>
      </w:r>
      <w:r w:rsidR="00846A5B">
        <w:t>that</w:t>
      </w:r>
      <w:r w:rsidR="00D82E87" w:rsidRPr="00846A5B">
        <w:t xml:space="preserve"> inflation expectations </w:t>
      </w:r>
      <w:r w:rsidR="00846A5B">
        <w:t>may</w:t>
      </w:r>
      <w:r w:rsidR="00846A5B" w:rsidRPr="00846A5B">
        <w:t xml:space="preserve"> </w:t>
      </w:r>
      <w:r w:rsidR="00D82E87" w:rsidRPr="00846A5B">
        <w:t xml:space="preserve">rise </w:t>
      </w:r>
      <w:r w:rsidR="00846A5B">
        <w:t>seem to be</w:t>
      </w:r>
      <w:r w:rsidR="00846A5B" w:rsidRPr="00846A5B">
        <w:t xml:space="preserve"> </w:t>
      </w:r>
      <w:r w:rsidR="00D82E87" w:rsidRPr="00846A5B">
        <w:t xml:space="preserve">dominating the MPC's </w:t>
      </w:r>
      <w:r w:rsidR="00846A5B">
        <w:t>thinking</w:t>
      </w:r>
      <w:r w:rsidR="00D82E87" w:rsidRPr="00846A5B">
        <w:t>. So w</w:t>
      </w:r>
      <w:r w:rsidR="000157BB" w:rsidRPr="00846A5B">
        <w:t xml:space="preserve">e expect </w:t>
      </w:r>
      <w:r w:rsidR="00846A5B">
        <w:t>it</w:t>
      </w:r>
      <w:r w:rsidR="0058343F" w:rsidRPr="00846A5B">
        <w:t xml:space="preserve"> </w:t>
      </w:r>
      <w:r w:rsidR="000157BB" w:rsidRPr="00846A5B">
        <w:t>to</w:t>
      </w:r>
      <w:r w:rsidR="008C6B21" w:rsidRPr="00846A5B">
        <w:t xml:space="preserve"> </w:t>
      </w:r>
      <w:r w:rsidR="00846A5B">
        <w:t>extend the</w:t>
      </w:r>
      <w:r w:rsidR="000157BB" w:rsidRPr="00846A5B">
        <w:t xml:space="preserve"> </w:t>
      </w:r>
      <w:r w:rsidR="00817625" w:rsidRPr="00846A5B">
        <w:t>pause for the rest of this year</w:t>
      </w:r>
      <w:r w:rsidR="00846A5B">
        <w:t>,</w:t>
      </w:r>
      <w:r w:rsidR="00817625" w:rsidRPr="00846A5B">
        <w:t xml:space="preserve"> </w:t>
      </w:r>
      <w:r w:rsidR="00846A5B">
        <w:t>before</w:t>
      </w:r>
      <w:r w:rsidR="0058343F" w:rsidRPr="00846A5B">
        <w:t xml:space="preserve"> resum</w:t>
      </w:r>
      <w:r w:rsidR="00846A5B">
        <w:t>ing</w:t>
      </w:r>
      <w:r w:rsidR="0058343F" w:rsidRPr="00846A5B">
        <w:t xml:space="preserve"> loosening policy in</w:t>
      </w:r>
      <w:r w:rsidR="000157BB" w:rsidRPr="00846A5B">
        <w:t xml:space="preserve"> early 2026</w:t>
      </w:r>
      <w:r w:rsidR="0058343F" w:rsidRPr="00846A5B">
        <w:t>.</w:t>
      </w:r>
    </w:p>
    <w:p w14:paraId="23DCC55B" w14:textId="65AD1E42" w:rsidR="001E4A26" w:rsidRPr="00846A5B" w:rsidRDefault="009C1647" w:rsidP="001E4A26">
      <w:r w:rsidRPr="00846A5B">
        <w:t xml:space="preserve">The Monetary Policy Committee voted </w:t>
      </w:r>
      <w:r w:rsidR="00EC661F" w:rsidRPr="00846A5B">
        <w:t>7-2</w:t>
      </w:r>
      <w:r w:rsidRPr="00846A5B">
        <w:t xml:space="preserve"> to keep Bank Rate at 4% today. But the interest rate decision was a sideshow to the </w:t>
      </w:r>
      <w:r w:rsidR="000157BB" w:rsidRPr="00846A5B">
        <w:t>quantitative tightening decision</w:t>
      </w:r>
      <w:r w:rsidRPr="00846A5B">
        <w:t xml:space="preserve">. The committee voted </w:t>
      </w:r>
      <w:r w:rsidR="003A518F" w:rsidRPr="00846A5B">
        <w:t>7-2</w:t>
      </w:r>
      <w:r w:rsidRPr="00846A5B">
        <w:t xml:space="preserve"> to reduce the stock of gilts held in the </w:t>
      </w:r>
      <w:r w:rsidR="00846A5B">
        <w:t>a</w:t>
      </w:r>
      <w:r w:rsidR="00846A5B" w:rsidRPr="00846A5B">
        <w:t xml:space="preserve">sset </w:t>
      </w:r>
      <w:r w:rsidR="00846A5B">
        <w:t>p</w:t>
      </w:r>
      <w:r w:rsidR="00846A5B" w:rsidRPr="00846A5B">
        <w:t xml:space="preserve">urchase </w:t>
      </w:r>
      <w:r w:rsidR="00846A5B">
        <w:t>f</w:t>
      </w:r>
      <w:r w:rsidR="00846A5B" w:rsidRPr="00846A5B">
        <w:t xml:space="preserve">acility </w:t>
      </w:r>
      <w:r w:rsidR="003A518F" w:rsidRPr="00846A5B">
        <w:t xml:space="preserve">by £70bn </w:t>
      </w:r>
      <w:r w:rsidR="000157BB" w:rsidRPr="00846A5B">
        <w:t xml:space="preserve">from </w:t>
      </w:r>
      <w:r w:rsidRPr="00846A5B">
        <w:t xml:space="preserve">October 2025 </w:t>
      </w:r>
      <w:r w:rsidR="000157BB" w:rsidRPr="00846A5B">
        <w:t xml:space="preserve">to </w:t>
      </w:r>
      <w:r w:rsidRPr="00846A5B">
        <w:t>September 2026.</w:t>
      </w:r>
    </w:p>
    <w:p w14:paraId="643E23B4" w14:textId="07EBD51A" w:rsidR="006E5D30" w:rsidRPr="00846A5B" w:rsidRDefault="004A2514" w:rsidP="001E4A26">
      <w:r w:rsidRPr="00846A5B">
        <w:t xml:space="preserve">This </w:t>
      </w:r>
      <w:r w:rsidR="00846A5B">
        <w:t>is</w:t>
      </w:r>
      <w:r w:rsidR="00846A5B" w:rsidRPr="00846A5B">
        <w:t xml:space="preserve"> </w:t>
      </w:r>
      <w:r w:rsidRPr="00846A5B">
        <w:t>a slower pace of QT than</w:t>
      </w:r>
      <w:r w:rsidR="00846A5B">
        <w:t xml:space="preserve"> in</w:t>
      </w:r>
      <w:r w:rsidRPr="00846A5B">
        <w:t xml:space="preserve"> </w:t>
      </w:r>
      <w:r w:rsidR="000157BB" w:rsidRPr="00846A5B">
        <w:t xml:space="preserve">the previous </w:t>
      </w:r>
      <w:r w:rsidRPr="00846A5B">
        <w:t xml:space="preserve">year, when the stock of gilts was lowered by £100bn. </w:t>
      </w:r>
      <w:r w:rsidR="00846A5B" w:rsidRPr="00846A5B">
        <w:t>Th</w:t>
      </w:r>
      <w:r w:rsidR="00846A5B">
        <w:t>e decision</w:t>
      </w:r>
      <w:r w:rsidR="00846A5B" w:rsidRPr="00846A5B">
        <w:t xml:space="preserve"> </w:t>
      </w:r>
      <w:r w:rsidRPr="00846A5B">
        <w:t>largely reflects the fact that redemptions</w:t>
      </w:r>
      <w:r w:rsidR="000157BB" w:rsidRPr="00846A5B">
        <w:t xml:space="preserve"> are expected to </w:t>
      </w:r>
      <w:r w:rsidRPr="00846A5B">
        <w:t>be smaller over the next year</w:t>
      </w:r>
      <w:r w:rsidR="00907496" w:rsidRPr="00846A5B">
        <w:t>, and a</w:t>
      </w:r>
      <w:r w:rsidRPr="00846A5B">
        <w:t>ctive sales will be a little higher than before, at £</w:t>
      </w:r>
      <w:r w:rsidR="006E5D30" w:rsidRPr="00846A5B">
        <w:t>21</w:t>
      </w:r>
      <w:r w:rsidRPr="00846A5B">
        <w:t>bn</w:t>
      </w:r>
      <w:r w:rsidR="00907496" w:rsidRPr="00846A5B">
        <w:t xml:space="preserve"> (</w:t>
      </w:r>
      <w:r w:rsidR="005B0989" w:rsidRPr="00B979D5">
        <w:rPr>
          <w:b/>
          <w:color w:val="003469"/>
        </w:rPr>
        <w:fldChar w:fldCharType="begin"/>
      </w:r>
      <w:r w:rsidR="00B979D5" w:rsidRPr="00B979D5">
        <w:rPr>
          <w:b/>
          <w:color w:val="003469"/>
        </w:rPr>
        <w:instrText xml:space="preserve">REF _Ref209092858 \h \* Charformat </w:instrText>
      </w:r>
      <w:r w:rsidR="00B979D5" w:rsidRPr="00B979D5">
        <w:rPr>
          <w:b/>
          <w:color w:val="003469"/>
        </w:rPr>
      </w:r>
      <w:r w:rsidR="005B0989" w:rsidRPr="00B979D5">
        <w:rPr>
          <w:b/>
          <w:color w:val="003469"/>
        </w:rPr>
        <w:fldChar w:fldCharType="separate"/>
      </w:r>
      <w:r w:rsidR="00B979D5" w:rsidRPr="00B979D5">
        <w:rPr>
          <w:b/>
          <w:color w:val="003469"/>
        </w:rPr>
        <w:t>Chart 1</w:t>
      </w:r>
      <w:r w:rsidR="005B0989" w:rsidRPr="00B979D5">
        <w:rPr>
          <w:b/>
          <w:color w:val="003469"/>
        </w:rPr>
        <w:fldChar w:fldCharType="end"/>
      </w:r>
      <w:r w:rsidR="00907496" w:rsidRPr="00846A5B">
        <w:t xml:space="preserve">). </w:t>
      </w:r>
      <w:r w:rsidR="000157BB" w:rsidRPr="00846A5B">
        <w:t xml:space="preserve">However, </w:t>
      </w:r>
      <w:r w:rsidR="00907496" w:rsidRPr="00846A5B">
        <w:t xml:space="preserve">given the volatility in financial markets in recent months, the MPC was keen to avoid surprising markets with a large number and stuck </w:t>
      </w:r>
      <w:r w:rsidR="000157BB" w:rsidRPr="00846A5B">
        <w:t xml:space="preserve">closely </w:t>
      </w:r>
      <w:r w:rsidR="00907496" w:rsidRPr="00846A5B">
        <w:t>to the results of the</w:t>
      </w:r>
      <w:r w:rsidR="00783201" w:rsidRPr="00846A5B">
        <w:t xml:space="preserve"> Bank of England's</w:t>
      </w:r>
      <w:r w:rsidR="00907496" w:rsidRPr="00846A5B">
        <w:t xml:space="preserve"> recent </w:t>
      </w:r>
      <w:hyperlink r:id="rId10" w:history="1">
        <w:r w:rsidR="00846A5B">
          <w:rPr>
            <w:rStyle w:val="Hyperlink"/>
          </w:rPr>
          <w:t>m</w:t>
        </w:r>
        <w:r w:rsidR="00846A5B" w:rsidRPr="00846A5B">
          <w:rPr>
            <w:rStyle w:val="Hyperlink"/>
          </w:rPr>
          <w:t xml:space="preserve">arket </w:t>
        </w:r>
        <w:r w:rsidR="00846A5B">
          <w:rPr>
            <w:rStyle w:val="Hyperlink"/>
          </w:rPr>
          <w:t>p</w:t>
        </w:r>
        <w:r w:rsidR="00846A5B" w:rsidRPr="00846A5B">
          <w:rPr>
            <w:rStyle w:val="Hyperlink"/>
          </w:rPr>
          <w:t xml:space="preserve">articipants </w:t>
        </w:r>
        <w:r w:rsidR="00846A5B">
          <w:rPr>
            <w:rStyle w:val="Hyperlink"/>
          </w:rPr>
          <w:t>s</w:t>
        </w:r>
        <w:r w:rsidR="00846A5B" w:rsidRPr="00846A5B">
          <w:rPr>
            <w:rStyle w:val="Hyperlink"/>
          </w:rPr>
          <w:t>urvey (MaPS)</w:t>
        </w:r>
      </w:hyperlink>
      <w:r w:rsidR="00907496" w:rsidRPr="00846A5B">
        <w:t>.</w:t>
      </w:r>
    </w:p>
    <w:p w14:paraId="08133E51" w14:textId="37BC959D" w:rsidR="006E5D30" w:rsidRPr="00846A5B" w:rsidRDefault="00D5591E" w:rsidP="006E5D30">
      <w:r w:rsidRPr="00846A5B">
        <w:t xml:space="preserve">The </w:t>
      </w:r>
      <w:r w:rsidR="00783201" w:rsidRPr="00846A5B">
        <w:t>BoE</w:t>
      </w:r>
      <w:r w:rsidRPr="00846A5B">
        <w:t xml:space="preserve"> announced active sales </w:t>
      </w:r>
      <w:r w:rsidR="000157BB" w:rsidRPr="00846A5B">
        <w:t xml:space="preserve">of </w:t>
      </w:r>
      <w:r w:rsidR="008B2EAE" w:rsidRPr="00846A5B">
        <w:t xml:space="preserve">40%-40%-20% across short-, medium-, and long-dated gilts, </w:t>
      </w:r>
      <w:r w:rsidR="000157BB" w:rsidRPr="00846A5B">
        <w:t xml:space="preserve">diverging from </w:t>
      </w:r>
      <w:r w:rsidR="008B2EAE" w:rsidRPr="00846A5B">
        <w:t>the</w:t>
      </w:r>
      <w:r w:rsidR="000157BB" w:rsidRPr="00846A5B">
        <w:t xml:space="preserve"> previous </w:t>
      </w:r>
      <w:r w:rsidR="008B2EAE" w:rsidRPr="00846A5B">
        <w:t xml:space="preserve">even split. This </w:t>
      </w:r>
      <w:r w:rsidR="000157BB" w:rsidRPr="00846A5B">
        <w:t xml:space="preserve">adjustment acknowledges </w:t>
      </w:r>
      <w:r w:rsidR="004D0B0E" w:rsidRPr="00846A5B">
        <w:t xml:space="preserve">challenging </w:t>
      </w:r>
      <w:r w:rsidR="00655407" w:rsidRPr="00846A5B">
        <w:t xml:space="preserve">market </w:t>
      </w:r>
      <w:r w:rsidR="008A0D6D" w:rsidRPr="00846A5B">
        <w:t>conditions and</w:t>
      </w:r>
      <w:r w:rsidR="00655407" w:rsidRPr="00846A5B">
        <w:t xml:space="preserve"> </w:t>
      </w:r>
      <w:r w:rsidR="000157BB" w:rsidRPr="00846A5B">
        <w:t xml:space="preserve">aims to prevent further </w:t>
      </w:r>
      <w:r w:rsidR="00655407" w:rsidRPr="00846A5B">
        <w:t xml:space="preserve">upward </w:t>
      </w:r>
      <w:r w:rsidR="000157BB" w:rsidRPr="00846A5B">
        <w:t xml:space="preserve">pressure </w:t>
      </w:r>
      <w:r w:rsidR="00655407" w:rsidRPr="00846A5B">
        <w:t xml:space="preserve">on </w:t>
      </w:r>
      <w:r w:rsidR="000157BB" w:rsidRPr="00846A5B">
        <w:t>long-dated gilt yields</w:t>
      </w:r>
      <w:r w:rsidR="00655407" w:rsidRPr="00846A5B">
        <w:t>.</w:t>
      </w:r>
    </w:p>
    <w:p w14:paraId="227D433F" w14:textId="79839B95" w:rsidR="001E4A26" w:rsidRPr="00846A5B" w:rsidRDefault="001E4A26" w:rsidP="006E5D30">
      <w:pPr>
        <w:pStyle w:val="ExhibitTitle"/>
        <w:jc w:val="center"/>
      </w:pPr>
      <w:bookmarkStart w:id="0" w:name="_Ref209092858"/>
      <w:r w:rsidRPr="00846A5B">
        <w:t xml:space="preserve">Chart </w:t>
      </w:r>
      <w:r w:rsidRPr="00846A5B">
        <w:fldChar w:fldCharType="begin"/>
      </w:r>
      <w:r w:rsidR="005B0989" w:rsidRPr="00846A5B">
        <w:instrText>SEQ CHART</w:instrText>
      </w:r>
      <w:r w:rsidRPr="00846A5B">
        <w:fldChar w:fldCharType="separate"/>
      </w:r>
      <w:r w:rsidR="005B0989" w:rsidRPr="00846A5B">
        <w:t>1</w:t>
      </w:r>
      <w:r w:rsidRPr="00846A5B">
        <w:fldChar w:fldCharType="end"/>
      </w:r>
      <w:bookmarkEnd w:id="0"/>
      <w:r w:rsidRPr="00846A5B">
        <w:t xml:space="preserve">: </w:t>
      </w:r>
      <w:r w:rsidR="00AE3729" w:rsidRPr="00846A5B">
        <w:t>The MPC's QT decision stuck closely to market expectations</w:t>
      </w:r>
    </w:p>
    <w:p w14:paraId="605E597F" w14:textId="6D34A11D" w:rsidR="006E5D30" w:rsidRPr="00846A5B" w:rsidRDefault="006E5D30" w:rsidP="006E5D30">
      <w:pPr>
        <w:spacing w:after="0"/>
        <w:jc w:val="center"/>
      </w:pPr>
      <w:r w:rsidRPr="00846A5B">
        <w:rPr>
          <w:noProof/>
        </w:rPr>
        <w:drawing>
          <wp:inline distT="0" distB="0" distL="0" distR="0" wp14:anchorId="1715D391" wp14:editId="0191AF72">
            <wp:extent cx="4006964" cy="3144367"/>
            <wp:effectExtent l="0" t="0" r="0" b="0"/>
            <wp:docPr id="584395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9588" name=""/>
                    <pic:cNvPicPr/>
                  </pic:nvPicPr>
                  <pic:blipFill>
                    <a:blip r:embed="rId11">
                      <a:extLst>
                        <a:ext uri="{96DAC541-7B7A-43D3-8B79-37D633B846F1}">
                          <asvg:svgBlip xmlns:asvg="http://schemas.microsoft.com/office/drawing/2016/SVG/main" r:embed="rId12"/>
                        </a:ext>
                      </a:extLst>
                    </a:blip>
                    <a:srcRect b="1886"/>
                    <a:stretch>
                      <a:fillRect/>
                    </a:stretch>
                  </pic:blipFill>
                  <pic:spPr>
                    <a:xfrm>
                      <a:off x="0" y="0"/>
                      <a:ext cx="4006964" cy="3144367"/>
                    </a:xfrm>
                    <a:prstGeom prst="rect">
                      <a:avLst/>
                    </a:prstGeom>
                  </pic:spPr>
                </pic:pic>
              </a:graphicData>
            </a:graphic>
          </wp:inline>
        </w:drawing>
      </w:r>
    </w:p>
    <w:p w14:paraId="11F8D7D0" w14:textId="285E85F8" w:rsidR="001E4A26" w:rsidRPr="00846A5B" w:rsidRDefault="006E5D30" w:rsidP="006E5D30">
      <w:pPr>
        <w:pStyle w:val="ExhibitSource"/>
        <w:jc w:val="center"/>
      </w:pPr>
      <w:r w:rsidRPr="00846A5B">
        <w:t>Sources: Oxford Economics calculations using data from Haver Analytics &amp; Bank of England</w:t>
      </w:r>
    </w:p>
    <w:p w14:paraId="45A86C6E" w14:textId="44D09BE1" w:rsidR="001E4A26" w:rsidRPr="00846A5B" w:rsidRDefault="001E4A26" w:rsidP="001E4A26">
      <w:pPr>
        <w:pStyle w:val="ExhibitSource"/>
        <w:jc w:val="center"/>
        <w:sectPr w:rsidR="001E4A26" w:rsidRPr="00846A5B" w:rsidSect="006E5D30">
          <w:headerReference w:type="even" r:id="rId13"/>
          <w:headerReference w:type="default" r:id="rId14"/>
          <w:footerReference w:type="default" r:id="rId15"/>
          <w:headerReference w:type="first" r:id="rId16"/>
          <w:footerReference w:type="first" r:id="rId17"/>
          <w:pgSz w:w="11906" w:h="16838"/>
          <w:pgMar w:top="2665" w:right="1276" w:bottom="838" w:left="1134" w:header="708" w:footer="300" w:gutter="0"/>
          <w:cols w:space="708"/>
          <w:titlePg/>
          <w:docGrid w:linePitch="360"/>
        </w:sectPr>
      </w:pPr>
    </w:p>
    <w:p w14:paraId="35A5E361" w14:textId="524BC57C" w:rsidR="00732BE6" w:rsidRPr="00846A5B" w:rsidRDefault="00970766" w:rsidP="001E4A26">
      <w:r w:rsidRPr="00846A5B">
        <w:lastRenderedPageBreak/>
        <w:t>The MaPS reports that market participants expect the pace of QT to slow further from October 2026, largely because there will be fewer redemptions that year. W</w:t>
      </w:r>
      <w:r w:rsidR="00173352" w:rsidRPr="00846A5B">
        <w:t xml:space="preserve">hether that happens will likely depend on </w:t>
      </w:r>
      <w:r w:rsidRPr="00846A5B">
        <w:t>prevailing market conditions</w:t>
      </w:r>
      <w:r w:rsidR="00173352" w:rsidRPr="00846A5B">
        <w:t>. But today's decision suggest</w:t>
      </w:r>
      <w:r w:rsidR="00D059EF" w:rsidRPr="00846A5B">
        <w:t>s</w:t>
      </w:r>
      <w:r w:rsidR="00173352" w:rsidRPr="00846A5B">
        <w:t xml:space="preserve"> that while the MPC believes that QT has had </w:t>
      </w:r>
      <w:r w:rsidR="00846A5B" w:rsidRPr="00846A5B">
        <w:t xml:space="preserve">only </w:t>
      </w:r>
      <w:r w:rsidR="00173352" w:rsidRPr="00846A5B">
        <w:t xml:space="preserve">a </w:t>
      </w:r>
      <w:r w:rsidR="00846A5B">
        <w:t>minor</w:t>
      </w:r>
      <w:r w:rsidR="00846A5B" w:rsidRPr="00846A5B">
        <w:t xml:space="preserve"> </w:t>
      </w:r>
      <w:r w:rsidR="00173352" w:rsidRPr="00846A5B">
        <w:t xml:space="preserve">impact on markets, the </w:t>
      </w:r>
      <w:r w:rsidR="00846A5B">
        <w:t>c</w:t>
      </w:r>
      <w:r w:rsidR="00846A5B" w:rsidRPr="00846A5B">
        <w:t xml:space="preserve">ommittee </w:t>
      </w:r>
      <w:r w:rsidR="00173352" w:rsidRPr="00846A5B">
        <w:t xml:space="preserve">is </w:t>
      </w:r>
      <w:r w:rsidR="00207830" w:rsidRPr="00846A5B">
        <w:t xml:space="preserve">sensitive to the bigger picture and – </w:t>
      </w:r>
      <w:r w:rsidR="001B1CA3" w:rsidRPr="00846A5B">
        <w:t xml:space="preserve">BoE Chief Economist </w:t>
      </w:r>
      <w:r w:rsidR="00207830" w:rsidRPr="00846A5B">
        <w:t>Huw Pill apart – is no longer wedded to keeping the pace of QT the same each year.</w:t>
      </w:r>
    </w:p>
    <w:p w14:paraId="6D308E38" w14:textId="27E5815F" w:rsidR="001E4A26" w:rsidRPr="00846A5B" w:rsidRDefault="00D059EF" w:rsidP="007C0F04">
      <w:pPr>
        <w:pStyle w:val="Heading3"/>
      </w:pPr>
      <w:r w:rsidRPr="00846A5B">
        <w:t xml:space="preserve">The </w:t>
      </w:r>
      <w:r w:rsidR="00732BE6" w:rsidRPr="00846A5B">
        <w:t xml:space="preserve">MPC </w:t>
      </w:r>
      <w:r w:rsidRPr="00846A5B">
        <w:t>made no attempt to prepare the ground for a November rate cut</w:t>
      </w:r>
    </w:p>
    <w:p w14:paraId="4A82DD24" w14:textId="6C37E729" w:rsidR="002B2937" w:rsidRPr="00846A5B" w:rsidRDefault="00631F04" w:rsidP="002B2937">
      <w:r w:rsidRPr="00846A5B">
        <w:t xml:space="preserve">On interest rates, the story was largely as expected. The two dissenters – Alan Taylor and Swati Dhingra – preferred another 25bps cut. The majority continued to balance upside risks from </w:t>
      </w:r>
      <w:r w:rsidR="004A3801" w:rsidRPr="00846A5B">
        <w:t xml:space="preserve">high headline and food price </w:t>
      </w:r>
      <w:r w:rsidRPr="00846A5B">
        <w:t xml:space="preserve">inflation </w:t>
      </w:r>
      <w:r w:rsidR="004A3801" w:rsidRPr="00846A5B">
        <w:t xml:space="preserve">driving up inflation expectations </w:t>
      </w:r>
      <w:r w:rsidRPr="00846A5B">
        <w:t xml:space="preserve">with downside risks from growth and employment. </w:t>
      </w:r>
    </w:p>
    <w:p w14:paraId="5F4946F8" w14:textId="6D5DA39A" w:rsidR="00C234E6" w:rsidRPr="00846A5B" w:rsidRDefault="006E69C5" w:rsidP="002B2937">
      <w:r w:rsidRPr="00846A5B">
        <w:t>W</w:t>
      </w:r>
      <w:r w:rsidR="002B2937" w:rsidRPr="00846A5B">
        <w:t xml:space="preserve">e think the minutes </w:t>
      </w:r>
      <w:r w:rsidR="0070121F" w:rsidRPr="00846A5B">
        <w:t>support our view</w:t>
      </w:r>
      <w:r w:rsidR="002B2937" w:rsidRPr="00846A5B">
        <w:t xml:space="preserve"> that the cut-hold tempo to loosening </w:t>
      </w:r>
      <w:r w:rsidR="000246D6" w:rsidRPr="00846A5B">
        <w:t xml:space="preserve">policy </w:t>
      </w:r>
      <w:r w:rsidR="0070121F" w:rsidRPr="00846A5B">
        <w:t>will</w:t>
      </w:r>
      <w:r w:rsidR="002B2937" w:rsidRPr="00846A5B">
        <w:t xml:space="preserve"> end in November. Coming into today's meeting, market pricing implied just an 11% chance of rates being cut by the November meeting. There was no attempt to push back on this</w:t>
      </w:r>
      <w:r w:rsidR="00381D97" w:rsidRPr="00846A5B">
        <w:t xml:space="preserve">, and as </w:t>
      </w:r>
      <w:hyperlink r:id="rId18" w:history="1">
        <w:r w:rsidR="00381D97" w:rsidRPr="00846A5B">
          <w:rPr>
            <w:rStyle w:val="Hyperlink"/>
          </w:rPr>
          <w:t>we've previously argued</w:t>
        </w:r>
      </w:hyperlink>
      <w:r w:rsidR="00381D97" w:rsidRPr="00846A5B">
        <w:t xml:space="preserve"> it's hard to see key MPC members, including Governor Andrew Bailey, voting for a cut in the face of such a clear steer from markets.</w:t>
      </w:r>
      <w:r w:rsidR="00534893" w:rsidRPr="00846A5B">
        <w:t xml:space="preserve"> The inclusion of </w:t>
      </w:r>
      <w:r w:rsidR="002B2937" w:rsidRPr="00846A5B">
        <w:t xml:space="preserve">the statement that "upside risks around medium-term inflationary pressures remain prominent in the </w:t>
      </w:r>
      <w:r w:rsidR="00846A5B">
        <w:t>c</w:t>
      </w:r>
      <w:r w:rsidR="00846A5B" w:rsidRPr="00846A5B">
        <w:t xml:space="preserve">ommittee's </w:t>
      </w:r>
      <w:r w:rsidR="002B2937" w:rsidRPr="00846A5B">
        <w:t xml:space="preserve">assessment of the outlook" </w:t>
      </w:r>
      <w:r w:rsidR="00534893" w:rsidRPr="00846A5B">
        <w:t xml:space="preserve">also </w:t>
      </w:r>
      <w:r w:rsidR="00846A5B" w:rsidRPr="00846A5B">
        <w:t>g</w:t>
      </w:r>
      <w:r w:rsidR="00846A5B">
        <w:t>ives</w:t>
      </w:r>
      <w:r w:rsidR="00846A5B" w:rsidRPr="00846A5B">
        <w:t xml:space="preserve"> </w:t>
      </w:r>
      <w:r w:rsidR="00534893" w:rsidRPr="00846A5B">
        <w:t xml:space="preserve">the impression that </w:t>
      </w:r>
      <w:r w:rsidR="00437388" w:rsidRPr="00846A5B">
        <w:t xml:space="preserve">most members are more worried about cutting too </w:t>
      </w:r>
      <w:r w:rsidR="001260A3" w:rsidRPr="00846A5B">
        <w:t>quickly</w:t>
      </w:r>
      <w:r w:rsidR="00437388" w:rsidRPr="00846A5B">
        <w:t xml:space="preserve"> than too slow</w:t>
      </w:r>
      <w:r w:rsidR="001260A3" w:rsidRPr="00846A5B">
        <w:t>ly</w:t>
      </w:r>
      <w:r w:rsidR="00437388" w:rsidRPr="00846A5B">
        <w:t xml:space="preserve">, and that </w:t>
      </w:r>
      <w:r w:rsidR="00534893" w:rsidRPr="00846A5B">
        <w:t>a hold is the default</w:t>
      </w:r>
      <w:r w:rsidR="00FB2858" w:rsidRPr="00846A5B">
        <w:t xml:space="preserve"> outcome for November</w:t>
      </w:r>
      <w:r w:rsidR="00534893" w:rsidRPr="00846A5B">
        <w:t>.</w:t>
      </w:r>
    </w:p>
    <w:p w14:paraId="7469020B" w14:textId="090D87C2" w:rsidR="00C63023" w:rsidRDefault="00FD3784" w:rsidP="002B2937">
      <w:r w:rsidRPr="00846A5B">
        <w:t xml:space="preserve">So we </w:t>
      </w:r>
      <w:r w:rsidR="00846A5B">
        <w:t>are</w:t>
      </w:r>
      <w:r w:rsidR="00846A5B" w:rsidRPr="00846A5B">
        <w:t xml:space="preserve"> </w:t>
      </w:r>
      <w:r w:rsidRPr="00846A5B">
        <w:t>stick</w:t>
      </w:r>
      <w:r w:rsidR="00846A5B">
        <w:t>ing</w:t>
      </w:r>
      <w:r w:rsidRPr="00846A5B">
        <w:t xml:space="preserve"> with our forecast that Bank Rate </w:t>
      </w:r>
      <w:r w:rsidR="00846A5B">
        <w:t xml:space="preserve">will </w:t>
      </w:r>
      <w:r w:rsidRPr="00846A5B">
        <w:t xml:space="preserve">remain at 4% for the rest of this year. We expect rate cuts to resume in 2026. By then, the MPC will likely have to factor in the prospect of tighter fiscal policy. We expect growth to </w:t>
      </w:r>
      <w:r w:rsidR="00846A5B">
        <w:t>miss</w:t>
      </w:r>
      <w:r w:rsidR="00846A5B" w:rsidRPr="00846A5B">
        <w:t xml:space="preserve"> </w:t>
      </w:r>
      <w:r w:rsidRPr="00846A5B">
        <w:t xml:space="preserve">the BoE's forecasts. </w:t>
      </w:r>
      <w:r w:rsidRPr="00846A5B">
        <w:t xml:space="preserve">And </w:t>
      </w:r>
      <w:hyperlink r:id="rId19" w:history="1">
        <w:r w:rsidRPr="00846A5B">
          <w:rPr>
            <w:rStyle w:val="Hyperlink"/>
          </w:rPr>
          <w:t>we think there will be better news on wages and inflation</w:t>
        </w:r>
      </w:hyperlink>
      <w:r w:rsidRPr="00846A5B">
        <w:t xml:space="preserve">, with it becoming apparent to the MPC that the increase in NICs </w:t>
      </w:r>
      <w:r w:rsidR="00C63023">
        <w:t xml:space="preserve">has </w:t>
      </w:r>
      <w:r w:rsidRPr="00846A5B">
        <w:t xml:space="preserve">played a bigger role in this year's stickiness in services inflation. </w:t>
      </w:r>
    </w:p>
    <w:p w14:paraId="35E6B85D" w14:textId="2014BDAF" w:rsidR="00294B7B" w:rsidRPr="00846A5B" w:rsidRDefault="00C63023" w:rsidP="002B2937">
      <w:r>
        <w:t>Overall, though,</w:t>
      </w:r>
      <w:r w:rsidR="00FD3784" w:rsidRPr="00846A5B">
        <w:t xml:space="preserve"> we think the MPC is likely to </w:t>
      </w:r>
      <w:r>
        <w:t>proceed</w:t>
      </w:r>
      <w:r w:rsidRPr="00846A5B">
        <w:t xml:space="preserve"> </w:t>
      </w:r>
      <w:r w:rsidR="00FD3784" w:rsidRPr="00846A5B">
        <w:t xml:space="preserve">slowly, particularly as </w:t>
      </w:r>
      <w:r>
        <w:t>Bank Rate</w:t>
      </w:r>
      <w:r w:rsidRPr="00846A5B">
        <w:t xml:space="preserve"> </w:t>
      </w:r>
      <w:r w:rsidR="00FD3784" w:rsidRPr="00846A5B">
        <w:t>moves closer to the range that it considers to be equivalent to a neutral policy rate. So we expect just two 25bp rate cuts in 2026, taking Bank Rate to 3.5% at the end of the year.</w:t>
      </w:r>
    </w:p>
    <w:p w14:paraId="458E2815" w14:textId="6AD98596" w:rsidR="001E4A26" w:rsidRPr="00846A5B" w:rsidRDefault="001E4A26">
      <w:pPr>
        <w:spacing w:before="0" w:after="160" w:line="259" w:lineRule="auto"/>
      </w:pPr>
      <w:r w:rsidRPr="00846A5B">
        <w:br w:type="page"/>
      </w:r>
    </w:p>
    <w:p w14:paraId="35F47063" w14:textId="77777777" w:rsidR="001E4A26" w:rsidRPr="00846A5B" w:rsidRDefault="001E4A26" w:rsidP="007C0F04">
      <w:pPr>
        <w:pStyle w:val="Heading2"/>
      </w:pPr>
      <w:r w:rsidRPr="00846A5B">
        <w:lastRenderedPageBreak/>
        <w:t>Key passages from the MPC minutes</w:t>
      </w:r>
    </w:p>
    <w:p w14:paraId="04439D7C" w14:textId="2B57DCF5" w:rsidR="00E958FC" w:rsidRPr="00846A5B" w:rsidRDefault="00E958FC" w:rsidP="001E4A26">
      <w:pPr>
        <w:rPr>
          <w:i/>
        </w:rPr>
      </w:pPr>
      <w:r w:rsidRPr="00846A5B">
        <w:rPr>
          <w:i/>
        </w:rPr>
        <w:t>"In general, upside risks around medium-term inflationary pressures remained prominent in the Committee’s assessment."</w:t>
      </w:r>
    </w:p>
    <w:p w14:paraId="609A4047" w14:textId="6EBD759E" w:rsidR="00E958FC" w:rsidRPr="00846A5B" w:rsidRDefault="00E958FC" w:rsidP="001E4A26">
      <w:pPr>
        <w:rPr>
          <w:i/>
        </w:rPr>
      </w:pPr>
      <w:r w:rsidRPr="00846A5B">
        <w:rPr>
          <w:b/>
          <w:color w:val="003469"/>
        </w:rPr>
        <w:t>Our interpretation:</w:t>
      </w:r>
      <w:r w:rsidRPr="00846A5B">
        <w:t xml:space="preserve"> This was a new addition to the minutes, clarifying that inflation persistence is currently the MPC's key concern. This implies that a hold is the default outcome for November's meeting.</w:t>
      </w:r>
    </w:p>
    <w:p w14:paraId="7D884460" w14:textId="4E88FC9C" w:rsidR="001E4A26" w:rsidRPr="00846A5B" w:rsidRDefault="001E4A26" w:rsidP="001E4A26">
      <w:pPr>
        <w:rPr>
          <w:i/>
        </w:rPr>
      </w:pPr>
      <w:r w:rsidRPr="00846A5B">
        <w:rPr>
          <w:i/>
        </w:rPr>
        <w:t>“</w:t>
      </w:r>
      <w:r w:rsidR="00E958FC" w:rsidRPr="00846A5B">
        <w:rPr>
          <w:i/>
        </w:rPr>
        <w:t>Seven members preferred to maintain Bank Rate at 4% at this meeting. Alongside a small tightening in financial conditions, there had been limited economic news since the previous MPC meeting, and these members’ views on the main risks and the required strategy to achieve the 2% target sustainably in the medium term had not changed materially. The key question for monetary policy remained whether upside risks to the continuing process of disinflation, from elevated inflation expectations and possible structural changes in price and wage-setting behaviour, could be outweighed by downside risks stemming from the potential for a more substantial weakening in demand. There remained a range of views among these members about the balance of risks to inflation, and the most important factors contributing to it</w:t>
      </w:r>
      <w:r w:rsidRPr="00846A5B">
        <w:rPr>
          <w:i/>
        </w:rPr>
        <w:t>."</w:t>
      </w:r>
    </w:p>
    <w:p w14:paraId="6FB422D7" w14:textId="6AF1246F" w:rsidR="001E4A26" w:rsidRPr="00846A5B" w:rsidRDefault="001E4A26" w:rsidP="001E4A26">
      <w:r w:rsidRPr="00846A5B">
        <w:rPr>
          <w:b/>
          <w:color w:val="003469"/>
        </w:rPr>
        <w:t>Our interpretation:</w:t>
      </w:r>
      <w:r w:rsidRPr="00846A5B">
        <w:t xml:space="preserve"> </w:t>
      </w:r>
      <w:r w:rsidR="00C63023">
        <w:t>Committee</w:t>
      </w:r>
      <w:r w:rsidR="00E958FC" w:rsidRPr="00846A5B">
        <w:t xml:space="preserve"> views about the outlook for inflation</w:t>
      </w:r>
      <w:r w:rsidR="00C63023">
        <w:t xml:space="preserve"> range widely</w:t>
      </w:r>
      <w:r w:rsidR="00E958FC" w:rsidRPr="00846A5B">
        <w:t>, with the relative lack of data meaning the story hadn't moved on since the August meeting</w:t>
      </w:r>
      <w:r w:rsidRPr="00846A5B">
        <w:t>.</w:t>
      </w:r>
    </w:p>
    <w:p w14:paraId="6CA977A2" w14:textId="5C11FB4C" w:rsidR="001E4A26" w:rsidRPr="00846A5B" w:rsidRDefault="001E4A26" w:rsidP="001E4A26">
      <w:pPr>
        <w:rPr>
          <w:i/>
        </w:rPr>
      </w:pPr>
      <w:r w:rsidRPr="00846A5B">
        <w:rPr>
          <w:i/>
        </w:rPr>
        <w:t>"</w:t>
      </w:r>
      <w:r w:rsidR="00E958FC" w:rsidRPr="00846A5B">
        <w:rPr>
          <w:i/>
        </w:rPr>
        <w:t>Two members preferred a 0.25 percentage point reduction in Bank Rate. The disinflation process was continuing. The inflation hump was expected to normalise, with the most significant contributions coming from one-off changes in administered prices and global food inflation in a limited set of items, neither related to demand pressure. Consumer spending and investment remained subdued, while wage settlements had fallen further from around 3.5% in the first half of 2025. Along with domestic demand weakness and emerging slack, recent developments pointed to downward risks to global growth. Given this balance of risks, a less restrictive policy path was warranted to insure against an increased risk of recession, below-target inflation and a further deterioration in supply capacity</w:t>
      </w:r>
      <w:r w:rsidRPr="00846A5B">
        <w:rPr>
          <w:i/>
        </w:rPr>
        <w:t>."</w:t>
      </w:r>
    </w:p>
    <w:p w14:paraId="3C5F607D" w14:textId="5745A4FA" w:rsidR="001E4A26" w:rsidRPr="00846A5B" w:rsidRDefault="001E4A26" w:rsidP="001E4A26">
      <w:r w:rsidRPr="00846A5B">
        <w:rPr>
          <w:b/>
          <w:color w:val="003469"/>
        </w:rPr>
        <w:t>Our interpretation:</w:t>
      </w:r>
      <w:r w:rsidRPr="00846A5B">
        <w:t xml:space="preserve"> </w:t>
      </w:r>
      <w:r w:rsidR="000833E6" w:rsidRPr="00846A5B">
        <w:t>Alan Taylor and Swati Dhingra have consistently advocated t</w:t>
      </w:r>
      <w:r w:rsidRPr="00846A5B">
        <w:t>his risk management approach.</w:t>
      </w:r>
      <w:r w:rsidR="000833E6" w:rsidRPr="00846A5B">
        <w:t xml:space="preserve"> They appear likely to continue to vote for cuts at upcoming meetings, but as things stand it's hard to see where the other three votes for a cut </w:t>
      </w:r>
      <w:r w:rsidR="00C63023">
        <w:t>would</w:t>
      </w:r>
      <w:r w:rsidR="00C63023" w:rsidRPr="00846A5B">
        <w:t xml:space="preserve"> </w:t>
      </w:r>
      <w:r w:rsidR="000833E6" w:rsidRPr="00846A5B">
        <w:t>come from.</w:t>
      </w:r>
    </w:p>
    <w:p w14:paraId="6B22B41C" w14:textId="09BDBBCE" w:rsidR="000833E6" w:rsidRPr="00846A5B" w:rsidRDefault="000833E6" w:rsidP="000833E6">
      <w:pPr>
        <w:rPr>
          <w:i/>
        </w:rPr>
      </w:pPr>
      <w:r w:rsidRPr="00846A5B">
        <w:rPr>
          <w:i/>
        </w:rPr>
        <w:t>"The Committee judged that a gradual and careful approach to the further withdrawal of monetary policy restraint remained appropriate. The restrictiveness of monetary policy had fallen as Bank Rate had been reduced. The timing and pace of future reductions in the restrictiveness of policy would depend on the extent to which underlying disinflationary pressures would continue to ease. Monetary policy was not on a pre-set path, and the Committee would remain responsive to the accumulation of evidence."</w:t>
      </w:r>
    </w:p>
    <w:p w14:paraId="131190B9" w14:textId="3A888F79" w:rsidR="001E4A26" w:rsidRPr="001E4A26" w:rsidRDefault="001E4A26" w:rsidP="001E4A26">
      <w:r w:rsidRPr="00846A5B">
        <w:rPr>
          <w:b/>
          <w:color w:val="003469"/>
        </w:rPr>
        <w:t>Our interpretation:</w:t>
      </w:r>
      <w:r w:rsidRPr="00846A5B">
        <w:t xml:space="preserve"> </w:t>
      </w:r>
      <w:r w:rsidR="000833E6" w:rsidRPr="00846A5B">
        <w:t xml:space="preserve">The committee's broad guidance was identical to last month. The big picture is that the majority expect to cut interest rates further over the coming months, but they </w:t>
      </w:r>
      <w:r w:rsidR="00C63023">
        <w:t>are</w:t>
      </w:r>
      <w:r w:rsidR="00C63023" w:rsidRPr="00846A5B">
        <w:t xml:space="preserve"> </w:t>
      </w:r>
      <w:r w:rsidR="00C63023">
        <w:t>unsure</w:t>
      </w:r>
      <w:r w:rsidR="00C63023" w:rsidRPr="00846A5B">
        <w:t xml:space="preserve"> </w:t>
      </w:r>
      <w:r w:rsidR="000833E6" w:rsidRPr="00846A5B">
        <w:t>about the pace of cuts or the terminal rate.</w:t>
      </w:r>
    </w:p>
    <w:sectPr w:rsidR="001E4A26" w:rsidRPr="001E4A26" w:rsidSect="006E5D30">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3F3D2" w14:textId="77777777" w:rsidR="001E4A26" w:rsidRPr="00846A5B" w:rsidRDefault="001E4A26" w:rsidP="001E4A26">
      <w:pPr>
        <w:spacing w:before="0" w:after="0"/>
      </w:pPr>
      <w:r w:rsidRPr="00846A5B">
        <w:separator/>
      </w:r>
    </w:p>
  </w:endnote>
  <w:endnote w:type="continuationSeparator" w:id="0">
    <w:p w14:paraId="11C04AD8" w14:textId="77777777" w:rsidR="001E4A26" w:rsidRPr="00846A5B" w:rsidRDefault="001E4A26" w:rsidP="001E4A26">
      <w:pPr>
        <w:spacing w:before="0" w:after="0"/>
      </w:pPr>
      <w:r w:rsidRPr="00846A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7CDC8" w14:textId="1C8EA629" w:rsidR="001E4A26" w:rsidRPr="00846A5B" w:rsidRDefault="001E4A26" w:rsidP="001E4A26">
    <w:pPr>
      <w:pStyle w:val="RepeatingFooter"/>
      <w:tabs>
        <w:tab w:val="clear" w:pos="4320"/>
        <w:tab w:val="center" w:pos="3685"/>
      </w:tabs>
    </w:pPr>
    <w:r w:rsidRPr="00846A5B">
      <w:t xml:space="preserve">Page </w:t>
    </w:r>
    <w:r w:rsidRPr="00846A5B">
      <w:fldChar w:fldCharType="begin"/>
    </w:r>
    <w:r w:rsidRPr="00846A5B">
      <w:instrText xml:space="preserve"> PAGE </w:instrText>
    </w:r>
    <w:r w:rsidRPr="00846A5B">
      <w:fldChar w:fldCharType="separate"/>
    </w:r>
    <w:r w:rsidRPr="00846A5B">
      <w:t>2</w:t>
    </w:r>
    <w:r w:rsidRPr="00846A5B">
      <w:fldChar w:fldCharType="end"/>
    </w:r>
    <w:r w:rsidRPr="00846A5B">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26AD8" w14:textId="221683B7" w:rsidR="001E4A26" w:rsidRPr="00846A5B" w:rsidRDefault="001E4A26" w:rsidP="001E4A26">
    <w:pPr>
      <w:pStyle w:val="Author"/>
    </w:pPr>
    <w:r w:rsidRPr="00846A5B">
      <w:t>Andrew Goodwin</w:t>
    </w:r>
    <w:r w:rsidR="007C0F04">
      <w:t xml:space="preserve"> - </w:t>
    </w:r>
    <w:r w:rsidRPr="00846A5B">
      <w:t>Chief UK Economist</w:t>
    </w:r>
    <w:r w:rsidR="007C0F04">
      <w:t xml:space="preserve"> - </w:t>
    </w:r>
    <w:r w:rsidRPr="00846A5B">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BE223" w14:textId="77777777" w:rsidR="001E4A26" w:rsidRPr="00846A5B" w:rsidRDefault="001E4A26" w:rsidP="001E4A26">
      <w:pPr>
        <w:spacing w:before="0" w:after="0"/>
      </w:pPr>
      <w:r w:rsidRPr="00846A5B">
        <w:separator/>
      </w:r>
    </w:p>
  </w:footnote>
  <w:footnote w:type="continuationSeparator" w:id="0">
    <w:p w14:paraId="65672B9E" w14:textId="77777777" w:rsidR="001E4A26" w:rsidRPr="00846A5B" w:rsidRDefault="001E4A26" w:rsidP="001E4A26">
      <w:pPr>
        <w:spacing w:before="0" w:after="0"/>
      </w:pPr>
      <w:r w:rsidRPr="00846A5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310AF" w14:textId="77777777" w:rsidR="001E4A26" w:rsidRPr="00846A5B" w:rsidRDefault="001E4A26">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E8869" w14:textId="1B580B58" w:rsidR="001E4A26" w:rsidRPr="00846A5B" w:rsidRDefault="001E4A26" w:rsidP="001E4A26">
    <w:pPr>
      <w:pStyle w:val="Headline"/>
      <w:spacing w:before="120"/>
      <w:ind w:right="-1000"/>
    </w:pPr>
    <w:r w:rsidRPr="00846A5B">
      <w:rPr>
        <w:noProof/>
      </w:rPr>
      <w:drawing>
        <wp:anchor distT="0" distB="0" distL="114300" distR="114300" simplePos="0" relativeHeight="251658239" behindDoc="1" locked="1" layoutInCell="1" allowOverlap="1" wp14:anchorId="22C8100B" wp14:editId="11434925">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5B0989" w:rsidRPr="00846A5B">
      <w:t>MPC follows path of least resistance on QT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5EBF5" w14:textId="088EACC3" w:rsidR="001E4A26" w:rsidRPr="00846A5B" w:rsidRDefault="001E4A26" w:rsidP="001E4A26">
    <w:r w:rsidRPr="00846A5B">
      <w:rPr>
        <w:noProof/>
      </w:rPr>
      <w:drawing>
        <wp:anchor distT="0" distB="0" distL="114300" distR="114300" simplePos="0" relativeHeight="251659264" behindDoc="1" locked="1" layoutInCell="1" allowOverlap="1" wp14:anchorId="64867D25" wp14:editId="439A6864">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701779916"/>
      <w:lock w:val="sdtLocked"/>
      <w:placeholder>
        <w:docPart w:val="DefaultPlaceholder_-1854013437"/>
      </w:placeholder>
      <w:date w:fullDate="2025-09-18T00:00:00Z">
        <w:dateFormat w:val="d MMMM yyyy"/>
        <w:lid w:val="en-GB"/>
        <w:storeMappedDataAs w:val="dateTime"/>
        <w:calendar w:val="gregorian"/>
      </w:date>
    </w:sdtPr>
    <w:sdtEndPr/>
    <w:sdtContent>
      <w:p w14:paraId="1D140838" w14:textId="2F0FED67" w:rsidR="001E4A26" w:rsidRPr="00846A5B" w:rsidRDefault="001E4A26" w:rsidP="001E4A26">
        <w:pPr>
          <w:pStyle w:val="PublishDate"/>
          <w:framePr w:w="2835" w:h="340" w:hRule="exact" w:hSpace="180" w:wrap="around" w:vAnchor="page" w:hAnchor="page" w:x="7801" w:y="601" w:anchorLock="1"/>
        </w:pPr>
        <w:r w:rsidRPr="00846A5B">
          <w:t>18 September 2025</w:t>
        </w:r>
      </w:p>
    </w:sdtContent>
  </w:sdt>
  <w:p w14:paraId="2F5153CA" w14:textId="7BC813E5" w:rsidR="001E4A26" w:rsidRPr="00846A5B" w:rsidRDefault="001E4A26" w:rsidP="001E4A26">
    <w:pPr>
      <w:pStyle w:val="ProductDescription"/>
      <w:framePr w:w="11339" w:h="1474" w:hRule="exact" w:hSpace="180" w:wrap="around" w:vAnchor="page" w:hAnchor="page" w:x="401" w:y="1141" w:anchorLock="1"/>
      <w:spacing w:after="200"/>
    </w:pPr>
    <w:r w:rsidRPr="00846A5B">
      <w:t>Research Briefing | UK</w:t>
    </w:r>
  </w:p>
  <w:p w14:paraId="2CC4ABBA" w14:textId="7DAE1B3E" w:rsidR="001E4A26" w:rsidRPr="00846A5B" w:rsidRDefault="002304FF" w:rsidP="001E4A26">
    <w:pPr>
      <w:pStyle w:val="Headline"/>
      <w:framePr w:w="11339" w:h="1474" w:hRule="exact" w:hSpace="180" w:wrap="around" w:vAnchor="page" w:hAnchor="page" w:x="401" w:y="1141" w:anchorLock="1"/>
      <w:spacing w:line="200" w:lineRule="auto"/>
    </w:pPr>
    <w:r w:rsidRPr="00846A5B">
      <w:t xml:space="preserve">MPC follows path of least resistance on </w:t>
    </w:r>
    <w:r w:rsidR="00611EE4">
      <w:t>quantitative tightening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EAAA1E9E"/>
    <w:lvl w:ilvl="0" w:tplc="F766AABE">
      <w:start w:val="1"/>
      <w:numFmt w:val="bullet"/>
      <w:lvlText w:val=""/>
      <w:lvlJc w:val="left"/>
      <w:pPr>
        <w:ind w:left="360" w:hanging="360"/>
      </w:pPr>
      <w:rPr>
        <w:rFonts w:ascii="Wingdings" w:hAnsi="Wingdings" w:hint="default"/>
        <w:color w:val="D86DCB"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8D3E6D"/>
    <w:multiLevelType w:val="hybridMultilevel"/>
    <w:tmpl w:val="9370A748"/>
    <w:lvl w:ilvl="0" w:tplc="5528530E">
      <w:start w:val="1"/>
      <w:numFmt w:val="bullet"/>
      <w:pStyle w:val="Bullet"/>
      <w:lvlText w:val=""/>
      <w:lvlJc w:val="left"/>
      <w:pPr>
        <w:ind w:left="360" w:hanging="360"/>
      </w:pPr>
      <w:rPr>
        <w:rFonts w:ascii="Wingdings" w:hAnsi="Wingdings" w:hint="default"/>
        <w:color w:val="92CDDC"/>
        <w:sz w:val="20"/>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3"/>
  </w:num>
  <w:num w:numId="2" w16cid:durableId="2074311132">
    <w:abstractNumId w:val="1"/>
  </w:num>
  <w:num w:numId="3" w16cid:durableId="1590693657">
    <w:abstractNumId w:val="4"/>
  </w:num>
  <w:num w:numId="4" w16cid:durableId="1590037850">
    <w:abstractNumId w:val="0"/>
  </w:num>
  <w:num w:numId="5" w16cid:durableId="554319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A26"/>
    <w:rsid w:val="00003BA7"/>
    <w:rsid w:val="00014CDD"/>
    <w:rsid w:val="000157BB"/>
    <w:rsid w:val="000209B6"/>
    <w:rsid w:val="00022761"/>
    <w:rsid w:val="00022C60"/>
    <w:rsid w:val="000246D6"/>
    <w:rsid w:val="00045A03"/>
    <w:rsid w:val="0005491E"/>
    <w:rsid w:val="000636B8"/>
    <w:rsid w:val="000759F5"/>
    <w:rsid w:val="000833E6"/>
    <w:rsid w:val="000B0D4D"/>
    <w:rsid w:val="000C0ADF"/>
    <w:rsid w:val="000C22D9"/>
    <w:rsid w:val="000D3E43"/>
    <w:rsid w:val="000D6C43"/>
    <w:rsid w:val="000E2BD3"/>
    <w:rsid w:val="000F3F52"/>
    <w:rsid w:val="001018E9"/>
    <w:rsid w:val="00120D7A"/>
    <w:rsid w:val="00124E58"/>
    <w:rsid w:val="001260A3"/>
    <w:rsid w:val="00127370"/>
    <w:rsid w:val="00160F71"/>
    <w:rsid w:val="0016316B"/>
    <w:rsid w:val="0017078A"/>
    <w:rsid w:val="00173352"/>
    <w:rsid w:val="00180625"/>
    <w:rsid w:val="00190C04"/>
    <w:rsid w:val="001920F4"/>
    <w:rsid w:val="00192CDF"/>
    <w:rsid w:val="00195F9A"/>
    <w:rsid w:val="001A5775"/>
    <w:rsid w:val="001A6993"/>
    <w:rsid w:val="001A749F"/>
    <w:rsid w:val="001B1CA3"/>
    <w:rsid w:val="001B2B67"/>
    <w:rsid w:val="001B2C32"/>
    <w:rsid w:val="001D4B18"/>
    <w:rsid w:val="001D7057"/>
    <w:rsid w:val="001E0785"/>
    <w:rsid w:val="001E0C4A"/>
    <w:rsid w:val="001E4A26"/>
    <w:rsid w:val="001F3317"/>
    <w:rsid w:val="001F5624"/>
    <w:rsid w:val="00207830"/>
    <w:rsid w:val="002304FF"/>
    <w:rsid w:val="00242E5E"/>
    <w:rsid w:val="002615F6"/>
    <w:rsid w:val="00262D94"/>
    <w:rsid w:val="00263E48"/>
    <w:rsid w:val="002745D6"/>
    <w:rsid w:val="00282A8A"/>
    <w:rsid w:val="00286754"/>
    <w:rsid w:val="00294B7B"/>
    <w:rsid w:val="0029566B"/>
    <w:rsid w:val="002B2937"/>
    <w:rsid w:val="002C1955"/>
    <w:rsid w:val="002C3511"/>
    <w:rsid w:val="002D0DC9"/>
    <w:rsid w:val="002E0DB7"/>
    <w:rsid w:val="002F50B4"/>
    <w:rsid w:val="002F68A1"/>
    <w:rsid w:val="003017D9"/>
    <w:rsid w:val="0031169C"/>
    <w:rsid w:val="00316CBE"/>
    <w:rsid w:val="00370974"/>
    <w:rsid w:val="00374E02"/>
    <w:rsid w:val="00381D97"/>
    <w:rsid w:val="00395664"/>
    <w:rsid w:val="003A518F"/>
    <w:rsid w:val="003B0CAB"/>
    <w:rsid w:val="003B715A"/>
    <w:rsid w:val="003C1BB1"/>
    <w:rsid w:val="003E7F3C"/>
    <w:rsid w:val="003F0F4E"/>
    <w:rsid w:val="003F6941"/>
    <w:rsid w:val="0040359C"/>
    <w:rsid w:val="00405A12"/>
    <w:rsid w:val="00405D65"/>
    <w:rsid w:val="00407126"/>
    <w:rsid w:val="004258C9"/>
    <w:rsid w:val="0043004B"/>
    <w:rsid w:val="00437388"/>
    <w:rsid w:val="004458BB"/>
    <w:rsid w:val="00456330"/>
    <w:rsid w:val="004602D9"/>
    <w:rsid w:val="0046292D"/>
    <w:rsid w:val="004677EA"/>
    <w:rsid w:val="004827E3"/>
    <w:rsid w:val="00495DE7"/>
    <w:rsid w:val="004A2514"/>
    <w:rsid w:val="004A2A92"/>
    <w:rsid w:val="004A3801"/>
    <w:rsid w:val="004B205A"/>
    <w:rsid w:val="004B4E46"/>
    <w:rsid w:val="004B4F66"/>
    <w:rsid w:val="004C7923"/>
    <w:rsid w:val="004D0B0E"/>
    <w:rsid w:val="004D473F"/>
    <w:rsid w:val="004D5B83"/>
    <w:rsid w:val="004D650E"/>
    <w:rsid w:val="004D6FED"/>
    <w:rsid w:val="004F108F"/>
    <w:rsid w:val="00516C0A"/>
    <w:rsid w:val="005176F2"/>
    <w:rsid w:val="00524103"/>
    <w:rsid w:val="00525B06"/>
    <w:rsid w:val="00534893"/>
    <w:rsid w:val="00535C71"/>
    <w:rsid w:val="005414BA"/>
    <w:rsid w:val="0054280C"/>
    <w:rsid w:val="0054606D"/>
    <w:rsid w:val="005473C6"/>
    <w:rsid w:val="00563FEB"/>
    <w:rsid w:val="00574696"/>
    <w:rsid w:val="00575045"/>
    <w:rsid w:val="00576CB8"/>
    <w:rsid w:val="0058343F"/>
    <w:rsid w:val="00592138"/>
    <w:rsid w:val="005B0989"/>
    <w:rsid w:val="005B48C6"/>
    <w:rsid w:val="005E404F"/>
    <w:rsid w:val="005F0616"/>
    <w:rsid w:val="005F1791"/>
    <w:rsid w:val="005F7DDF"/>
    <w:rsid w:val="00611EE4"/>
    <w:rsid w:val="006125A3"/>
    <w:rsid w:val="006154A2"/>
    <w:rsid w:val="006166EE"/>
    <w:rsid w:val="00631F04"/>
    <w:rsid w:val="00633BE2"/>
    <w:rsid w:val="00655407"/>
    <w:rsid w:val="0066208F"/>
    <w:rsid w:val="006655A2"/>
    <w:rsid w:val="00671564"/>
    <w:rsid w:val="006739BF"/>
    <w:rsid w:val="0067595A"/>
    <w:rsid w:val="00677C47"/>
    <w:rsid w:val="00681BC5"/>
    <w:rsid w:val="006A1630"/>
    <w:rsid w:val="006A676D"/>
    <w:rsid w:val="006B6D73"/>
    <w:rsid w:val="006B76A5"/>
    <w:rsid w:val="006C7879"/>
    <w:rsid w:val="006C7C06"/>
    <w:rsid w:val="006C7C55"/>
    <w:rsid w:val="006E5D30"/>
    <w:rsid w:val="006E69C5"/>
    <w:rsid w:val="006F60F1"/>
    <w:rsid w:val="0070121F"/>
    <w:rsid w:val="00716C07"/>
    <w:rsid w:val="00730E79"/>
    <w:rsid w:val="00732BE6"/>
    <w:rsid w:val="0074116D"/>
    <w:rsid w:val="007723AE"/>
    <w:rsid w:val="00783201"/>
    <w:rsid w:val="00794372"/>
    <w:rsid w:val="007A0F18"/>
    <w:rsid w:val="007B57CD"/>
    <w:rsid w:val="007C0F04"/>
    <w:rsid w:val="007D283E"/>
    <w:rsid w:val="007F5D5D"/>
    <w:rsid w:val="00817625"/>
    <w:rsid w:val="00846A5B"/>
    <w:rsid w:val="00847933"/>
    <w:rsid w:val="00855D52"/>
    <w:rsid w:val="00855D68"/>
    <w:rsid w:val="0086090E"/>
    <w:rsid w:val="008742FC"/>
    <w:rsid w:val="00874B7C"/>
    <w:rsid w:val="0088455B"/>
    <w:rsid w:val="008A0D6D"/>
    <w:rsid w:val="008B2EAE"/>
    <w:rsid w:val="008C6B21"/>
    <w:rsid w:val="008D4F08"/>
    <w:rsid w:val="008E11F0"/>
    <w:rsid w:val="008E721D"/>
    <w:rsid w:val="008F1A70"/>
    <w:rsid w:val="00907496"/>
    <w:rsid w:val="009148F6"/>
    <w:rsid w:val="00914983"/>
    <w:rsid w:val="00920D15"/>
    <w:rsid w:val="00933B30"/>
    <w:rsid w:val="009634AC"/>
    <w:rsid w:val="00963AA5"/>
    <w:rsid w:val="00970766"/>
    <w:rsid w:val="00973624"/>
    <w:rsid w:val="00995E6B"/>
    <w:rsid w:val="009A584B"/>
    <w:rsid w:val="009B723B"/>
    <w:rsid w:val="009C1647"/>
    <w:rsid w:val="009C1A84"/>
    <w:rsid w:val="009C7C16"/>
    <w:rsid w:val="009E07F1"/>
    <w:rsid w:val="009E5F70"/>
    <w:rsid w:val="009F37D1"/>
    <w:rsid w:val="009F3F01"/>
    <w:rsid w:val="00A25234"/>
    <w:rsid w:val="00A31F53"/>
    <w:rsid w:val="00A332D4"/>
    <w:rsid w:val="00A50835"/>
    <w:rsid w:val="00A52669"/>
    <w:rsid w:val="00A576A0"/>
    <w:rsid w:val="00A63323"/>
    <w:rsid w:val="00A66B32"/>
    <w:rsid w:val="00A77085"/>
    <w:rsid w:val="00A9430E"/>
    <w:rsid w:val="00AB24B7"/>
    <w:rsid w:val="00AB6B99"/>
    <w:rsid w:val="00AD07ED"/>
    <w:rsid w:val="00AE3729"/>
    <w:rsid w:val="00AE76E6"/>
    <w:rsid w:val="00B04E07"/>
    <w:rsid w:val="00B16B5A"/>
    <w:rsid w:val="00B35DBB"/>
    <w:rsid w:val="00B711D0"/>
    <w:rsid w:val="00B7343B"/>
    <w:rsid w:val="00B846EA"/>
    <w:rsid w:val="00B85044"/>
    <w:rsid w:val="00B910EA"/>
    <w:rsid w:val="00B979D5"/>
    <w:rsid w:val="00BB6195"/>
    <w:rsid w:val="00BE1485"/>
    <w:rsid w:val="00BF0BED"/>
    <w:rsid w:val="00BF6A2A"/>
    <w:rsid w:val="00C17065"/>
    <w:rsid w:val="00C234E6"/>
    <w:rsid w:val="00C51B0E"/>
    <w:rsid w:val="00C63023"/>
    <w:rsid w:val="00C65A5E"/>
    <w:rsid w:val="00C65A69"/>
    <w:rsid w:val="00C71A9B"/>
    <w:rsid w:val="00C72052"/>
    <w:rsid w:val="00C75153"/>
    <w:rsid w:val="00C76458"/>
    <w:rsid w:val="00C82D7C"/>
    <w:rsid w:val="00C83421"/>
    <w:rsid w:val="00C84AD7"/>
    <w:rsid w:val="00C90D41"/>
    <w:rsid w:val="00C93538"/>
    <w:rsid w:val="00C9768F"/>
    <w:rsid w:val="00CA2481"/>
    <w:rsid w:val="00CA4BF3"/>
    <w:rsid w:val="00CB23EC"/>
    <w:rsid w:val="00CB7716"/>
    <w:rsid w:val="00CC0F42"/>
    <w:rsid w:val="00CC3321"/>
    <w:rsid w:val="00CE3160"/>
    <w:rsid w:val="00D01861"/>
    <w:rsid w:val="00D01AEE"/>
    <w:rsid w:val="00D059EF"/>
    <w:rsid w:val="00D07416"/>
    <w:rsid w:val="00D341D3"/>
    <w:rsid w:val="00D361A8"/>
    <w:rsid w:val="00D379EC"/>
    <w:rsid w:val="00D44219"/>
    <w:rsid w:val="00D4557B"/>
    <w:rsid w:val="00D5591E"/>
    <w:rsid w:val="00D645EE"/>
    <w:rsid w:val="00D82250"/>
    <w:rsid w:val="00D82E87"/>
    <w:rsid w:val="00DB0BE6"/>
    <w:rsid w:val="00DC3B6C"/>
    <w:rsid w:val="00DE568D"/>
    <w:rsid w:val="00DF68CB"/>
    <w:rsid w:val="00DF73F9"/>
    <w:rsid w:val="00E10235"/>
    <w:rsid w:val="00E168F9"/>
    <w:rsid w:val="00E176D8"/>
    <w:rsid w:val="00E213A8"/>
    <w:rsid w:val="00E23560"/>
    <w:rsid w:val="00E60491"/>
    <w:rsid w:val="00E958FC"/>
    <w:rsid w:val="00EA0803"/>
    <w:rsid w:val="00EA2025"/>
    <w:rsid w:val="00EB4898"/>
    <w:rsid w:val="00EC10CA"/>
    <w:rsid w:val="00EC661F"/>
    <w:rsid w:val="00ED4942"/>
    <w:rsid w:val="00ED615F"/>
    <w:rsid w:val="00ED6FF0"/>
    <w:rsid w:val="00F11FAA"/>
    <w:rsid w:val="00F23937"/>
    <w:rsid w:val="00F2643F"/>
    <w:rsid w:val="00F30CC2"/>
    <w:rsid w:val="00F52C66"/>
    <w:rsid w:val="00F72F2A"/>
    <w:rsid w:val="00F77440"/>
    <w:rsid w:val="00F90065"/>
    <w:rsid w:val="00F96453"/>
    <w:rsid w:val="00FB2858"/>
    <w:rsid w:val="00FC1EA7"/>
    <w:rsid w:val="00FC3E90"/>
    <w:rsid w:val="00FD3784"/>
    <w:rsid w:val="00FE0EF6"/>
    <w:rsid w:val="00FE5C10"/>
    <w:rsid w:val="00FF69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6B9B8F2E"/>
  <w15:chartTrackingRefBased/>
  <w15:docId w15:val="{75863DF1-A368-45E3-BF8B-960E86FE4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A26"/>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1E4A26"/>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E4A26"/>
    <w:pPr>
      <w:outlineLvl w:val="1"/>
    </w:pPr>
    <w:rPr>
      <w:sz w:val="28"/>
    </w:rPr>
  </w:style>
  <w:style w:type="paragraph" w:styleId="Heading3">
    <w:name w:val="heading 3"/>
    <w:basedOn w:val="Normal"/>
    <w:next w:val="Normal"/>
    <w:link w:val="Heading3Char"/>
    <w:uiPriority w:val="9"/>
    <w:unhideWhenUsed/>
    <w:qFormat/>
    <w:rsid w:val="001E4A26"/>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E4A26"/>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1E4A2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1E4A26"/>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1E4A26"/>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1E4A2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1E4A2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A26"/>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1E4A26"/>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1E4A26"/>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1E4A26"/>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1E4A26"/>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1E4A26"/>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1E4A26"/>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1E4A26"/>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1E4A26"/>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1E4A26"/>
    <w:pPr>
      <w:ind w:left="862" w:right="862"/>
      <w:jc w:val="center"/>
    </w:pPr>
    <w:rPr>
      <w:i/>
      <w:iCs/>
      <w:color w:val="404040" w:themeColor="text1" w:themeTint="BF"/>
    </w:rPr>
  </w:style>
  <w:style w:type="character" w:customStyle="1" w:styleId="QuoteChar">
    <w:name w:val="Quote Char"/>
    <w:basedOn w:val="DefaultParagraphFont"/>
    <w:link w:val="Quote"/>
    <w:uiPriority w:val="29"/>
    <w:rsid w:val="001E4A26"/>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1E4A26"/>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1E4A26"/>
    <w:pPr>
      <w:tabs>
        <w:tab w:val="center" w:pos="4320"/>
        <w:tab w:val="right" w:pos="8640"/>
      </w:tabs>
    </w:pPr>
  </w:style>
  <w:style w:type="character" w:customStyle="1" w:styleId="HeaderChar">
    <w:name w:val="Header Char"/>
    <w:basedOn w:val="DefaultParagraphFont"/>
    <w:link w:val="Header"/>
    <w:uiPriority w:val="99"/>
    <w:rsid w:val="001E4A26"/>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1E4A26"/>
    <w:pPr>
      <w:tabs>
        <w:tab w:val="center" w:pos="4320"/>
        <w:tab w:val="right" w:pos="8640"/>
      </w:tabs>
    </w:pPr>
  </w:style>
  <w:style w:type="character" w:customStyle="1" w:styleId="FooterChar">
    <w:name w:val="Footer Char"/>
    <w:basedOn w:val="DefaultParagraphFont"/>
    <w:link w:val="Footer"/>
    <w:uiPriority w:val="99"/>
    <w:rsid w:val="001E4A26"/>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1E4A26"/>
    <w:rPr>
      <w:noProof w:val="0"/>
    </w:rPr>
  </w:style>
  <w:style w:type="character" w:styleId="Hyperlink">
    <w:name w:val="Hyperlink"/>
    <w:basedOn w:val="DefaultParagraphFont"/>
    <w:uiPriority w:val="99"/>
    <w:unhideWhenUsed/>
    <w:rsid w:val="001E4A26"/>
    <w:rPr>
      <w:noProof w:val="0"/>
      <w:color w:val="467886" w:themeColor="hyperlink"/>
      <w:u w:val="single"/>
    </w:rPr>
  </w:style>
  <w:style w:type="paragraph" w:styleId="Revision">
    <w:name w:val="Revision"/>
    <w:hidden/>
    <w:uiPriority w:val="99"/>
    <w:semiHidden/>
    <w:rsid w:val="001E4A26"/>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1E4A26"/>
    <w:pPr>
      <w:spacing w:after="120"/>
    </w:pPr>
    <w:rPr>
      <w:b/>
      <w:bCs/>
      <w:color w:val="FFFFFF"/>
      <w:sz w:val="32"/>
      <w:szCs w:val="32"/>
    </w:rPr>
  </w:style>
  <w:style w:type="paragraph" w:customStyle="1" w:styleId="Headline">
    <w:name w:val="Headline"/>
    <w:basedOn w:val="Normal"/>
    <w:next w:val="Normal"/>
    <w:link w:val="HeadlineChar"/>
    <w:qFormat/>
    <w:rsid w:val="001E4A26"/>
    <w:rPr>
      <w:rFonts w:ascii="Segoe UI Semilight" w:hAnsi="Segoe UI Semilight" w:cs="Segoe UI Semilight"/>
      <w:b/>
      <w:bCs/>
      <w:color w:val="FFFFFF"/>
      <w:sz w:val="40"/>
      <w:szCs w:val="40"/>
    </w:rPr>
  </w:style>
  <w:style w:type="paragraph" w:customStyle="1" w:styleId="ExhibitTitle">
    <w:name w:val="Exhibit Title"/>
    <w:basedOn w:val="Normal"/>
    <w:qFormat/>
    <w:rsid w:val="001E4A26"/>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1E4A26"/>
    <w:pPr>
      <w:shd w:val="clear" w:color="auto" w:fill="D6E2FA"/>
      <w:spacing w:after="0"/>
    </w:pPr>
    <w:rPr>
      <w:color w:val="595959" w:themeColor="text1" w:themeTint="A6"/>
      <w:sz w:val="18"/>
    </w:rPr>
  </w:style>
  <w:style w:type="paragraph" w:customStyle="1" w:styleId="ExhibitSource">
    <w:name w:val="Exhibit Source"/>
    <w:next w:val="Normal"/>
    <w:qFormat/>
    <w:rsid w:val="001E4A26"/>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1E4A26"/>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1E4A26"/>
    <w:pPr>
      <w:numPr>
        <w:numId w:val="5"/>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1E4A26"/>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1E4A26"/>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1E4A26"/>
    <w:rPr>
      <w:rFonts w:ascii="Segoe UI" w:hAnsi="Segoe UI" w:cs="Segoe UI"/>
      <w:noProof w:val="0"/>
      <w:color w:val="000000" w:themeColor="text1"/>
    </w:rPr>
  </w:style>
  <w:style w:type="paragraph" w:customStyle="1" w:styleId="Summary">
    <w:name w:val="Summary"/>
    <w:basedOn w:val="Normal"/>
    <w:link w:val="SummaryChar"/>
    <w:qFormat/>
    <w:rsid w:val="001E4A26"/>
    <w:pPr>
      <w:numPr>
        <w:numId w:val="1"/>
      </w:numPr>
      <w:ind w:left="1797" w:hanging="357"/>
    </w:pPr>
    <w:rPr>
      <w:kern w:val="2"/>
      <w:sz w:val="22"/>
      <w14:ligatures w14:val="standardContextual"/>
    </w:rPr>
  </w:style>
  <w:style w:type="paragraph" w:customStyle="1" w:styleId="TableData">
    <w:name w:val="Table Data"/>
    <w:link w:val="TableDataChar"/>
    <w:qFormat/>
    <w:rsid w:val="001E4A26"/>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1E4A26"/>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1E4A26"/>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1E4A26"/>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1E4A26"/>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1E4A26"/>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1E4A26"/>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1E4A26"/>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1E4A26"/>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1E4A26"/>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1E4A26"/>
    <w:rPr>
      <w:color w:val="003469"/>
    </w:rPr>
  </w:style>
  <w:style w:type="character" w:customStyle="1" w:styleId="RepeatingFooterChar">
    <w:name w:val="Repeating Footer Char"/>
    <w:basedOn w:val="FooterChar"/>
    <w:link w:val="RepeatingFooter"/>
    <w:rsid w:val="001E4A26"/>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1E4A26"/>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1E4A26"/>
    <w:rPr>
      <w:b/>
      <w:bCs/>
      <w:noProof w:val="0"/>
    </w:rPr>
  </w:style>
  <w:style w:type="character" w:customStyle="1" w:styleId="Italics">
    <w:name w:val="Italics"/>
    <w:uiPriority w:val="1"/>
    <w:qFormat/>
    <w:rsid w:val="001E4A26"/>
    <w:rPr>
      <w:i/>
      <w:iCs/>
      <w:noProof w:val="0"/>
    </w:rPr>
  </w:style>
  <w:style w:type="table" w:customStyle="1" w:styleId="TableGridHeader">
    <w:name w:val="Table Grid Header"/>
    <w:basedOn w:val="TableNormal"/>
    <w:uiPriority w:val="99"/>
    <w:rsid w:val="001E4A26"/>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https://my.oxfordeconomics.com/reports/29eB902339AB4fE097d733" TargetMode="Externa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image" Target="media/image2.sv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www.bankofengland.co.uk/markets/market-intelligence/survey-results/2025/market-participants-survey-results-august-2025" TargetMode="External"/><Relationship Id="rId19" Type="http://schemas.openxmlformats.org/officeDocument/2006/relationships/hyperlink" Target="https://my.oxfordeconomics.com/reportaction/907F7782263A4e4483eDef/Toc"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0E3C527-FDDF-4611-B2C6-369772541145}"/>
      </w:docPartPr>
      <w:docPartBody>
        <w:p w:rsidR="007E4678" w:rsidRDefault="007E4678">
          <w:r w:rsidRPr="00D11298">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678"/>
    <w:rsid w:val="000636B8"/>
    <w:rsid w:val="007E4678"/>
    <w:rsid w:val="009A584B"/>
    <w:rsid w:val="00A31F53"/>
    <w:rsid w:val="00C65A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1D90BBD1-1814-4C0B-8CB7-A82C3B0AF0AF}">
  <ds:schemaRefs>
    <ds:schemaRef ds:uri="http://schemas.microsoft.com/sharepoint/v3/contenttype/forms"/>
  </ds:schemaRefs>
</ds:datastoreItem>
</file>

<file path=customXml/itemProps2.xml><?xml version="1.0" encoding="utf-8"?>
<ds:datastoreItem xmlns:ds="http://schemas.openxmlformats.org/officeDocument/2006/customXml" ds:itemID="{9278BA96-7F70-4176-990F-6DEE14ABD2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0D8D00-143F-45A5-9BCC-CB81B1CE711A}">
  <ds:schemaRefs>
    <ds:schemaRef ds:uri="http://schemas.microsoft.com/office/2006/metadata/properties"/>
    <ds:schemaRef ds:uri="http://www.w3.org/XML/1998/namespace"/>
    <ds:schemaRef ds:uri="http://purl.org/dc/elements/1.1/"/>
    <ds:schemaRef ds:uri="http://schemas.openxmlformats.org/package/2006/metadata/core-properties"/>
    <ds:schemaRef ds:uri="6ec33f61-c765-4e3b-9958-53c32fd1fd0b"/>
    <ds:schemaRef ds:uri="http://purl.org/dc/dcmitype/"/>
    <ds:schemaRef ds:uri="http://schemas.microsoft.com/office/2006/documentManagement/types"/>
    <ds:schemaRef ds:uri="http://schemas.microsoft.com/office/infopath/2007/PartnerControls"/>
    <ds:schemaRef ds:uri="6c77b332-7df6-4eff-997f-266963d55fc4"/>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1320</Words>
  <Characters>6719</Characters>
  <Application>Microsoft Office Word</Application>
  <DocSecurity>0</DocSecurity>
  <Lines>90</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11</cp:revision>
  <dcterms:created xsi:type="dcterms:W3CDTF">2025-09-18T13:17:00Z</dcterms:created>
  <dcterms:modified xsi:type="dcterms:W3CDTF">2025-09-18T13:41:00Z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2025-09-18T13:31:46.000Z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v0.8.1.1</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Team\UK Research Briefing\20250918 RB UK MPC reaction - Charts.xlsx</vt:lpwstr>
  </property>
  <property fmtid="{D5CDD505-2E9C-101B-9397-08002B2CF9AE}" pid="15" name="OEP_CATEGORIES">
    <vt:lpwstr>AnalysisbyRegion-Europe-UnitedKingdom,Macro-ResearchBriefings-UnitedKingdom</vt:lpwstr>
  </property>
  <property fmtid="{D5CDD505-2E9C-101B-9397-08002B2CF9AE}" pid="16" name="OEP_TAGS">
    <vt:lpwstr>Key Themes:interest rates,monetary policy,quantitative easing</vt:lpwstr>
  </property>
  <property fmtid="{D5CDD505-2E9C-101B-9397-08002B2CF9AE}" pid="17" name="OEP_KEY_THEMES">
    <vt:lpwstr>interest rates,monetary policy,quantitative easing</vt:lpwstr>
  </property>
  <property fmtid="{D5CDD505-2E9C-101B-9397-08002B2CF9AE}" pid="18" name="ContentTypeId">
    <vt:lpwstr>0x01010009401BB7205AF745BAD4FA98BDE0B98F</vt:lpwstr>
  </property>
  <property fmtid="{D5CDD505-2E9C-101B-9397-08002B2CF9AE}" pid="19" name="OEP_PRODUCT_CODE">
    <vt:lpwstr>9693E7C18870424f8D2C56</vt:lpwstr>
  </property>
  <property fmtid="{D5CDD505-2E9C-101B-9397-08002B2CF9AE}" pid="20" name="OEP_PUBLISH_DATE">
    <vt:lpwstr/>
  </property>
</Properties>
</file>