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475AA" w14:textId="0DDB9F66" w:rsidR="00AF640C" w:rsidRDefault="00701E10" w:rsidP="00AF640C">
      <w:pPr>
        <w:pStyle w:val="Bullet"/>
      </w:pPr>
      <w:r w:rsidRPr="00D52949">
        <w:t>The recent strength of the pound is more a reflection of dollar weakness than a favourable reassessment of the UK's economic fundamentals</w:t>
      </w:r>
      <w:r w:rsidR="008023DA">
        <w:t>, in our view</w:t>
      </w:r>
      <w:r w:rsidRPr="00D52949">
        <w:t xml:space="preserve">. </w:t>
      </w:r>
      <w:r w:rsidR="008023DA">
        <w:t>Some signals suggest</w:t>
      </w:r>
      <w:r w:rsidRPr="00D52949">
        <w:t xml:space="preserve"> the appreciation is overdone and the pound is vulnerable to a depreciation.</w:t>
      </w:r>
    </w:p>
    <w:p w14:paraId="6BF24734" w14:textId="67876DE5" w:rsidR="006912AE" w:rsidRPr="00D52949" w:rsidRDefault="006912AE" w:rsidP="00AF640C">
      <w:pPr>
        <w:pStyle w:val="Bullet"/>
      </w:pPr>
      <w:r>
        <w:t xml:space="preserve">Our current forecast projects that the pound </w:t>
      </w:r>
      <w:r w:rsidR="008023DA">
        <w:t xml:space="preserve">will </w:t>
      </w:r>
      <w:r>
        <w:t>hold steady against the dollar in a 1.33-1.34 range</w:t>
      </w:r>
      <w:r w:rsidR="008023DA">
        <w:t>,</w:t>
      </w:r>
      <w:r>
        <w:t xml:space="preserve"> as </w:t>
      </w:r>
      <w:r w:rsidR="00E74A65">
        <w:t xml:space="preserve">we expect </w:t>
      </w:r>
      <w:r>
        <w:t xml:space="preserve">the recent </w:t>
      </w:r>
      <w:r w:rsidR="008023DA">
        <w:t>weak-</w:t>
      </w:r>
      <w:r>
        <w:t xml:space="preserve">dollar narrative </w:t>
      </w:r>
      <w:r w:rsidR="008023DA">
        <w:t>will extend</w:t>
      </w:r>
      <w:r>
        <w:t xml:space="preserve"> </w:t>
      </w:r>
      <w:r w:rsidR="00E74A65">
        <w:t>into next</w:t>
      </w:r>
      <w:r>
        <w:t xml:space="preserve"> year. </w:t>
      </w:r>
    </w:p>
    <w:p w14:paraId="79DA3E29" w14:textId="3BDDE709" w:rsidR="00AF640C" w:rsidRPr="00D52949" w:rsidRDefault="006912AE" w:rsidP="00AF640C">
      <w:pPr>
        <w:pStyle w:val="Bullet"/>
      </w:pPr>
      <w:r>
        <w:t>But t</w:t>
      </w:r>
      <w:r w:rsidR="00D47F2D" w:rsidRPr="00D52949">
        <w:t xml:space="preserve">he UK's </w:t>
      </w:r>
      <w:r>
        <w:t>challenging</w:t>
      </w:r>
      <w:r w:rsidR="00D47F2D" w:rsidRPr="00D52949">
        <w:t xml:space="preserve"> fiscal position has </w:t>
      </w:r>
      <w:r w:rsidR="008023DA">
        <w:t>kept</w:t>
      </w:r>
      <w:r w:rsidR="008023DA" w:rsidRPr="00D52949">
        <w:t xml:space="preserve"> </w:t>
      </w:r>
      <w:r w:rsidR="00D47F2D" w:rsidRPr="00D52949">
        <w:t>markets volatile in recent months</w:t>
      </w:r>
      <w:r w:rsidR="008023DA">
        <w:t>,</w:t>
      </w:r>
      <w:r w:rsidR="00D47F2D" w:rsidRPr="00D52949">
        <w:t xml:space="preserve"> and the upcoming Budget could provide </w:t>
      </w:r>
      <w:r w:rsidR="008023DA">
        <w:t>a</w:t>
      </w:r>
      <w:r w:rsidR="008023DA" w:rsidRPr="00D52949">
        <w:t xml:space="preserve"> </w:t>
      </w:r>
      <w:r w:rsidR="00D47F2D" w:rsidRPr="00D52949">
        <w:t xml:space="preserve">catalyst for sterling to reprice if the government is </w:t>
      </w:r>
      <w:r w:rsidR="008023DA">
        <w:t>un</w:t>
      </w:r>
      <w:r w:rsidR="00D47F2D" w:rsidRPr="00D52949">
        <w:t xml:space="preserve">able to convince investors that its plans will </w:t>
      </w:r>
      <w:r w:rsidR="0062427A">
        <w:t>restore the public finances to a sustainable path</w:t>
      </w:r>
      <w:r w:rsidR="00D47F2D" w:rsidRPr="00D52949">
        <w:t xml:space="preserve">. </w:t>
      </w:r>
    </w:p>
    <w:p w14:paraId="4778C8E1" w14:textId="57F7EA53" w:rsidR="00AF640C" w:rsidRPr="00D52949" w:rsidRDefault="00123B04" w:rsidP="00AF640C">
      <w:pPr>
        <w:pStyle w:val="Bullet"/>
      </w:pPr>
      <w:r w:rsidRPr="00D52949">
        <w:t>While there is scope for large move</w:t>
      </w:r>
      <w:r w:rsidR="00690CF1" w:rsidRPr="00D52949">
        <w:t>s</w:t>
      </w:r>
      <w:r w:rsidRPr="00D52949">
        <w:t xml:space="preserve"> in currency markets</w:t>
      </w:r>
      <w:r w:rsidR="008023DA">
        <w:t>,</w:t>
      </w:r>
      <w:r w:rsidR="000C73AC">
        <w:t xml:space="preserve"> by itself </w:t>
      </w:r>
      <w:r w:rsidR="008023DA">
        <w:t>a repricing</w:t>
      </w:r>
      <w:r w:rsidR="000C73AC">
        <w:t xml:space="preserve"> would have a relatively small bearing on the </w:t>
      </w:r>
      <w:r w:rsidR="008023DA">
        <w:t>UK's growth prospects</w:t>
      </w:r>
      <w:r w:rsidR="000C73AC">
        <w:t>. But it would likely prompt</w:t>
      </w:r>
      <w:r w:rsidR="00733EDE">
        <w:t xml:space="preserve"> policymakers to </w:t>
      </w:r>
      <w:r w:rsidR="008023DA">
        <w:t>adjust</w:t>
      </w:r>
      <w:r w:rsidR="00733EDE">
        <w:t xml:space="preserve"> </w:t>
      </w:r>
      <w:r w:rsidRPr="00D52949">
        <w:t>fiscal policy</w:t>
      </w:r>
      <w:r w:rsidR="008023DA">
        <w:t>,</w:t>
      </w:r>
      <w:r w:rsidRPr="00D52949">
        <w:t xml:space="preserve"> </w:t>
      </w:r>
      <w:r w:rsidR="008023DA">
        <w:t>which</w:t>
      </w:r>
      <w:r w:rsidR="00733EDE">
        <w:t xml:space="preserve"> </w:t>
      </w:r>
      <w:r w:rsidR="00DA6CF4">
        <w:t>c</w:t>
      </w:r>
      <w:r w:rsidR="00733EDE">
        <w:t xml:space="preserve">ould have a more </w:t>
      </w:r>
      <w:r w:rsidR="008023DA">
        <w:t xml:space="preserve">substantial </w:t>
      </w:r>
      <w:r w:rsidR="00733EDE">
        <w:t>impact on the economic outlook.</w:t>
      </w:r>
    </w:p>
    <w:p w14:paraId="33CDDF1E" w14:textId="2642D1DF" w:rsidR="00CD2A6D" w:rsidRPr="00D52949" w:rsidRDefault="00BF6A7A" w:rsidP="006B35F4">
      <w:r w:rsidRPr="00D52949">
        <w:t xml:space="preserve">Since launching </w:t>
      </w:r>
      <w:hyperlink r:id="rId10" w:history="1">
        <w:r w:rsidRPr="00D52949">
          <w:rPr>
            <w:rStyle w:val="Hyperlink"/>
          </w:rPr>
          <w:t>AskOE</w:t>
        </w:r>
      </w:hyperlink>
      <w:r w:rsidRPr="00D52949">
        <w:t xml:space="preserve"> </w:t>
      </w:r>
      <w:r w:rsidR="008023DA">
        <w:t>–</w:t>
      </w:r>
      <w:r w:rsidR="008023DA" w:rsidRPr="00D52949">
        <w:t xml:space="preserve"> </w:t>
      </w:r>
      <w:r w:rsidRPr="00D52949">
        <w:t xml:space="preserve">our AI assistant that clients can use to </w:t>
      </w:r>
      <w:r w:rsidR="008023DA">
        <w:t>interrogate our data and research banks</w:t>
      </w:r>
      <w:r w:rsidRPr="00D52949">
        <w:t xml:space="preserve"> </w:t>
      </w:r>
      <w:r w:rsidR="008023DA">
        <w:t>–</w:t>
      </w:r>
      <w:r w:rsidRPr="00D52949">
        <w:t xml:space="preserve"> earlier this year, one question has cropp</w:t>
      </w:r>
      <w:r w:rsidR="008023DA">
        <w:t>ed</w:t>
      </w:r>
      <w:r w:rsidR="00CD2A6D" w:rsidRPr="00D52949">
        <w:t xml:space="preserve"> up</w:t>
      </w:r>
      <w:r w:rsidR="008023DA">
        <w:t xml:space="preserve"> regularly:</w:t>
      </w:r>
      <w:r w:rsidRPr="00D52949">
        <w:t xml:space="preserve"> </w:t>
      </w:r>
      <w:r w:rsidR="008023DA">
        <w:t>C</w:t>
      </w:r>
      <w:r w:rsidRPr="00D52949">
        <w:t xml:space="preserve">an the pound's strength be sustained and </w:t>
      </w:r>
      <w:r w:rsidR="001F2A6F" w:rsidRPr="00D52949">
        <w:t xml:space="preserve">what might cause it to reverse? </w:t>
      </w:r>
    </w:p>
    <w:p w14:paraId="36714F78" w14:textId="1046746B" w:rsidR="00743730" w:rsidRDefault="0001071B" w:rsidP="003025AC">
      <w:r w:rsidRPr="00D52949">
        <w:t>On a trade-weighted basis, t</w:t>
      </w:r>
      <w:r w:rsidR="006B35F4" w:rsidRPr="00D52949">
        <w:t>he pound</w:t>
      </w:r>
      <w:r w:rsidR="0062427A">
        <w:t xml:space="preserve">'s move has been relatively small </w:t>
      </w:r>
      <w:r w:rsidRPr="00D52949">
        <w:t xml:space="preserve">over the last year or so. </w:t>
      </w:r>
      <w:r w:rsidR="009A4C13">
        <w:t xml:space="preserve">But </w:t>
      </w:r>
      <w:r w:rsidR="0062427A">
        <w:t xml:space="preserve">looking at currency moves since the middle of last year </w:t>
      </w:r>
      <w:r w:rsidR="008023DA">
        <w:t>shows</w:t>
      </w:r>
      <w:r w:rsidR="0062427A">
        <w:t xml:space="preserve"> several moving parts under the hood</w:t>
      </w:r>
      <w:r w:rsidR="00280F03">
        <w:t xml:space="preserve">. </w:t>
      </w:r>
      <w:r w:rsidR="008F2538">
        <w:t xml:space="preserve">On one </w:t>
      </w:r>
      <w:r w:rsidR="00743730">
        <w:t>side</w:t>
      </w:r>
      <w:r w:rsidR="008F2538">
        <w:t xml:space="preserve">, </w:t>
      </w:r>
      <w:r w:rsidR="00743730">
        <w:t xml:space="preserve">the path of </w:t>
      </w:r>
      <w:r w:rsidR="008023DA">
        <w:t>Eurozone</w:t>
      </w:r>
      <w:r w:rsidR="00262FAD">
        <w:t xml:space="preserve"> inflation </w:t>
      </w:r>
      <w:r w:rsidR="00743730">
        <w:t xml:space="preserve">back </w:t>
      </w:r>
      <w:r w:rsidR="00262FAD">
        <w:t xml:space="preserve">to target and </w:t>
      </w:r>
      <w:r w:rsidR="00743730">
        <w:t xml:space="preserve">stabilised </w:t>
      </w:r>
      <w:r w:rsidR="00262FAD">
        <w:t xml:space="preserve">market expectations of </w:t>
      </w:r>
      <w:r w:rsidR="008023DA">
        <w:t xml:space="preserve">Eurozone </w:t>
      </w:r>
      <w:r w:rsidR="00262FAD">
        <w:t>performance</w:t>
      </w:r>
      <w:r w:rsidR="00743730">
        <w:t xml:space="preserve"> has increased investment flows into the single market, weighing on</w:t>
      </w:r>
      <w:r w:rsidR="00262FAD">
        <w:t xml:space="preserve"> the pound against the euro</w:t>
      </w:r>
      <w:r w:rsidR="0062427A">
        <w:t>.</w:t>
      </w:r>
      <w:r w:rsidR="00F0297D" w:rsidRPr="00D52949">
        <w:t xml:space="preserve"> </w:t>
      </w:r>
      <w:r w:rsidR="00743730">
        <w:t>O</w:t>
      </w:r>
      <w:r w:rsidR="0062427A">
        <w:t xml:space="preserve">n the other, </w:t>
      </w:r>
      <w:r w:rsidR="008F2538">
        <w:t>since</w:t>
      </w:r>
      <w:r w:rsidR="00F0297D" w:rsidRPr="00D52949">
        <w:t xml:space="preserve"> </w:t>
      </w:r>
      <w:r w:rsidR="00CC4CCB" w:rsidRPr="00D52949">
        <w:t>early-2025</w:t>
      </w:r>
      <w:r w:rsidR="00AE38C3" w:rsidRPr="00D52949">
        <w:t xml:space="preserve"> </w:t>
      </w:r>
      <w:r w:rsidR="0062427A">
        <w:t xml:space="preserve">the pound has strengthened against the dollar </w:t>
      </w:r>
      <w:r w:rsidR="00694BF1" w:rsidRPr="00D52949">
        <w:t>(</w:t>
      </w:r>
      <w:r w:rsidR="00694BF1" w:rsidRPr="00D52949">
        <w:rPr>
          <w:b/>
          <w:color w:val="003469"/>
        </w:rPr>
        <w:t>Chart 1</w:t>
      </w:r>
      <w:r w:rsidR="00694BF1" w:rsidRPr="00D52949">
        <w:t>)</w:t>
      </w:r>
      <w:r w:rsidR="00AE38C3" w:rsidRPr="00D52949">
        <w:t>.</w:t>
      </w:r>
      <w:r w:rsidR="00BF6A7A" w:rsidRPr="00D52949">
        <w:t xml:space="preserve"> </w:t>
      </w:r>
    </w:p>
    <w:p w14:paraId="01FE9736" w14:textId="22BE1913" w:rsidR="00FF5897" w:rsidRDefault="008F2538" w:rsidP="003025AC">
      <w:r w:rsidRPr="00D52949">
        <w:t>So,</w:t>
      </w:r>
      <w:r w:rsidR="00E80110" w:rsidRPr="00D52949">
        <w:t xml:space="preserve"> the question </w:t>
      </w:r>
      <w:r w:rsidR="009A4C13">
        <w:t>on sterling</w:t>
      </w:r>
      <w:r w:rsidR="00BB1512">
        <w:t xml:space="preserve">'s recent </w:t>
      </w:r>
      <w:r w:rsidR="0062427A">
        <w:t>performance</w:t>
      </w:r>
      <w:r w:rsidR="009A4C13">
        <w:t xml:space="preserve"> </w:t>
      </w:r>
      <w:r w:rsidR="00E80110" w:rsidRPr="00D52949">
        <w:t>boils down to</w:t>
      </w:r>
      <w:r w:rsidR="00743730">
        <w:t>:</w:t>
      </w:r>
      <w:r w:rsidR="00E80110" w:rsidRPr="00D52949">
        <w:t xml:space="preserve"> </w:t>
      </w:r>
      <w:r w:rsidR="00743730">
        <w:t>C</w:t>
      </w:r>
      <w:r w:rsidR="00E80110" w:rsidRPr="00D52949">
        <w:t>an the pound</w:t>
      </w:r>
      <w:r w:rsidR="00743730">
        <w:t xml:space="preserve"> sustain its</w:t>
      </w:r>
      <w:r w:rsidR="00E80110" w:rsidRPr="00D52949">
        <w:t xml:space="preserve"> strength against the dollar, particularly given the fiscal challenges </w:t>
      </w:r>
      <w:r w:rsidR="0062427A">
        <w:t>the UK</w:t>
      </w:r>
      <w:r w:rsidR="00743730" w:rsidRPr="00743730">
        <w:t xml:space="preserve"> </w:t>
      </w:r>
      <w:r w:rsidR="00743730">
        <w:t>faces</w:t>
      </w:r>
      <w:r w:rsidR="00690CF1" w:rsidRPr="00D52949">
        <w:t>?</w:t>
      </w:r>
      <w:r w:rsidR="00501873">
        <w:t xml:space="preserve"> </w:t>
      </w:r>
      <w:r w:rsidR="00743730">
        <w:t>Sterling</w:t>
      </w:r>
      <w:r w:rsidR="00501873">
        <w:t>'s sharp depreciation a</w:t>
      </w:r>
      <w:r w:rsidR="00DA6CF4">
        <w:t>fter</w:t>
      </w:r>
      <w:r w:rsidR="00501873">
        <w:t xml:space="preserve"> </w:t>
      </w:r>
      <w:hyperlink r:id="rId11" w:history="1">
        <w:r w:rsidR="00743730" w:rsidRPr="00EE6970">
          <w:rPr>
            <w:rStyle w:val="Hyperlink"/>
          </w:rPr>
          <w:t>weak</w:t>
        </w:r>
        <w:r w:rsidR="00501873" w:rsidRPr="00EE6970">
          <w:rPr>
            <w:rStyle w:val="Hyperlink"/>
          </w:rPr>
          <w:t xml:space="preserve"> public finance data </w:t>
        </w:r>
        <w:r w:rsidR="00743730" w:rsidRPr="00EE6970">
          <w:rPr>
            <w:rStyle w:val="Hyperlink"/>
          </w:rPr>
          <w:t>in August</w:t>
        </w:r>
      </w:hyperlink>
      <w:r w:rsidR="00743730">
        <w:t xml:space="preserve"> </w:t>
      </w:r>
      <w:r w:rsidR="00501873">
        <w:t>only serve</w:t>
      </w:r>
      <w:r w:rsidR="00743730">
        <w:t>s</w:t>
      </w:r>
      <w:r w:rsidR="00501873">
        <w:t xml:space="preserve"> to illustrate the currency's sensitivity to the fiscal outlook.</w:t>
      </w:r>
    </w:p>
    <w:p w14:paraId="2F58E329" w14:textId="5B5E6540" w:rsidR="00AF640C" w:rsidRPr="00D52949" w:rsidRDefault="00AF640C" w:rsidP="00FF5897">
      <w:pPr>
        <w:pStyle w:val="ExhibitTitle"/>
        <w:jc w:val="center"/>
      </w:pPr>
      <w:r w:rsidRPr="00D52949">
        <w:t xml:space="preserve">Chart </w:t>
      </w:r>
      <w:r w:rsidRPr="00D52949">
        <w:fldChar w:fldCharType="begin"/>
      </w:r>
      <w:r w:rsidR="0018284E">
        <w:instrText>SEQ CHART</w:instrText>
      </w:r>
      <w:r w:rsidRPr="00D52949">
        <w:fldChar w:fldCharType="separate"/>
      </w:r>
      <w:r w:rsidR="00141DBE">
        <w:rPr>
          <w:noProof/>
        </w:rPr>
        <w:t>1</w:t>
      </w:r>
      <w:r w:rsidRPr="00D52949">
        <w:fldChar w:fldCharType="end"/>
      </w:r>
      <w:r w:rsidRPr="00D52949">
        <w:t xml:space="preserve">: </w:t>
      </w:r>
      <w:r w:rsidR="00580523" w:rsidRPr="00D52949">
        <w:t>S</w:t>
      </w:r>
      <w:r w:rsidR="006B35F4" w:rsidRPr="00D52949">
        <w:t>terling's performance has been mixed over the last year</w:t>
      </w:r>
    </w:p>
    <w:p w14:paraId="541E8D16" w14:textId="23169D9F" w:rsidR="00FF5897" w:rsidRDefault="00FF5897" w:rsidP="00FF5897">
      <w:pPr>
        <w:spacing w:after="0"/>
        <w:jc w:val="center"/>
        <w:rPr>
          <w:noProof/>
        </w:rPr>
      </w:pPr>
      <w:r>
        <w:rPr>
          <w:noProof/>
        </w:rPr>
        <w:drawing>
          <wp:inline distT="0" distB="0" distL="0" distR="0" wp14:anchorId="35A9A285" wp14:editId="41562816">
            <wp:extent cx="4006964" cy="3162836"/>
            <wp:effectExtent l="0" t="0" r="0" b="0"/>
            <wp:docPr id="377772269" name="Graphic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772269" name="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4006964" cy="316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B0041" w14:textId="2DBC51F5" w:rsidR="00AF640C" w:rsidRPr="00D52949" w:rsidRDefault="00FF5897" w:rsidP="00FF5897">
      <w:pPr>
        <w:pStyle w:val="ExhibitSource"/>
        <w:jc w:val="center"/>
      </w:pPr>
      <w:r>
        <w:t>Sources: Oxford Economics, Haver Analytics, *TWI = trade-weighted sterling</w:t>
      </w:r>
    </w:p>
    <w:p w14:paraId="3FA572CC" w14:textId="05035185" w:rsidR="00AF640C" w:rsidRPr="00D52949" w:rsidRDefault="00AF640C" w:rsidP="00AF640C">
      <w:pPr>
        <w:pStyle w:val="ExhibitSource"/>
        <w:jc w:val="center"/>
        <w:sectPr w:rsidR="00AF640C" w:rsidRPr="00D52949" w:rsidSect="00FF5897">
          <w:headerReference w:type="even" r:id="rId14"/>
          <w:headerReference w:type="default" r:id="rId15"/>
          <w:footerReference w:type="default" r:id="rId16"/>
          <w:headerReference w:type="first" r:id="rId17"/>
          <w:footerReference w:type="first" r:id="rId18"/>
          <w:pgSz w:w="11906" w:h="16838"/>
          <w:pgMar w:top="2665" w:right="1276" w:bottom="838" w:left="1134" w:header="708" w:footer="300" w:gutter="0"/>
          <w:cols w:space="708"/>
          <w:titlePg/>
          <w:docGrid w:linePitch="360"/>
        </w:sectPr>
      </w:pPr>
    </w:p>
    <w:p w14:paraId="723539E5" w14:textId="1246FCA7" w:rsidR="00ED5D25" w:rsidRPr="00D52949" w:rsidRDefault="00ED5D25" w:rsidP="00115441">
      <w:pPr>
        <w:pStyle w:val="Heading3"/>
      </w:pPr>
      <w:r w:rsidRPr="00D52949">
        <w:lastRenderedPageBreak/>
        <w:t>Improved UK fundamentals are not the cause of pound strength against the dollar</w:t>
      </w:r>
    </w:p>
    <w:p w14:paraId="4081FF0B" w14:textId="0DD6D11E" w:rsidR="00743730" w:rsidRDefault="00054052" w:rsidP="00AF640C">
      <w:r w:rsidRPr="00D52949">
        <w:t>Since the end of January</w:t>
      </w:r>
      <w:r w:rsidR="0031454F" w:rsidRPr="00D52949">
        <w:t>, real</w:t>
      </w:r>
      <w:r w:rsidR="002078F2" w:rsidRPr="00D52949">
        <w:t xml:space="preserve"> market</w:t>
      </w:r>
      <w:r w:rsidR="0031454F" w:rsidRPr="00D52949">
        <w:t xml:space="preserve"> interest rates </w:t>
      </w:r>
      <w:r w:rsidR="00743730">
        <w:t xml:space="preserve">in </w:t>
      </w:r>
      <w:r w:rsidR="00743730" w:rsidRPr="00D52949">
        <w:t xml:space="preserve">the UK </w:t>
      </w:r>
      <w:r w:rsidR="00743730">
        <w:t>have</w:t>
      </w:r>
      <w:r w:rsidR="00743730" w:rsidRPr="00D52949">
        <w:t xml:space="preserve"> </w:t>
      </w:r>
      <w:r w:rsidR="0031454F" w:rsidRPr="00D52949">
        <w:t>rise</w:t>
      </w:r>
      <w:r w:rsidR="00743730">
        <w:t>n</w:t>
      </w:r>
      <w:r w:rsidR="0031454F" w:rsidRPr="00D52949">
        <w:t xml:space="preserve"> more quickly than in either the US or Europe</w:t>
      </w:r>
      <w:r w:rsidR="00354679" w:rsidRPr="00D52949">
        <w:t xml:space="preserve">, with the </w:t>
      </w:r>
      <w:r w:rsidR="00BB1512" w:rsidRPr="00D52949">
        <w:t>10</w:t>
      </w:r>
      <w:r w:rsidR="00BB1512">
        <w:t>-year</w:t>
      </w:r>
      <w:r w:rsidR="00354679" w:rsidRPr="00D52949">
        <w:t xml:space="preserve"> </w:t>
      </w:r>
      <w:r w:rsidR="00BB1512">
        <w:t xml:space="preserve">real </w:t>
      </w:r>
      <w:r w:rsidR="00354679" w:rsidRPr="00D52949">
        <w:t>gilt spread</w:t>
      </w:r>
      <w:r w:rsidR="0031454F" w:rsidRPr="00D52949">
        <w:t xml:space="preserve"> </w:t>
      </w:r>
      <w:r w:rsidR="00354679" w:rsidRPr="00D52949">
        <w:t xml:space="preserve">to US Treasuries rising by </w:t>
      </w:r>
      <w:r w:rsidR="007C3C0C">
        <w:t xml:space="preserve">more than </w:t>
      </w:r>
      <w:r w:rsidR="002078F2" w:rsidRPr="00D52949">
        <w:t>100</w:t>
      </w:r>
      <w:r w:rsidR="00354679" w:rsidRPr="00D52949">
        <w:t>bp</w:t>
      </w:r>
      <w:r w:rsidR="00743730">
        <w:t>s</w:t>
      </w:r>
      <w:r w:rsidR="00354679" w:rsidRPr="00D52949">
        <w:t xml:space="preserve"> and </w:t>
      </w:r>
      <w:r w:rsidR="00743730">
        <w:t>to</w:t>
      </w:r>
      <w:r w:rsidR="00743730" w:rsidRPr="00D52949">
        <w:t xml:space="preserve"> German Bunds </w:t>
      </w:r>
      <w:r w:rsidR="00743730">
        <w:t xml:space="preserve">by </w:t>
      </w:r>
      <w:r w:rsidR="007C3C0C">
        <w:t xml:space="preserve">more than </w:t>
      </w:r>
      <w:r w:rsidR="002078F2" w:rsidRPr="00D52949">
        <w:t>4</w:t>
      </w:r>
      <w:r w:rsidRPr="00D52949">
        <w:t>0</w:t>
      </w:r>
      <w:r w:rsidR="00354679" w:rsidRPr="00D52949">
        <w:t>bp</w:t>
      </w:r>
      <w:r w:rsidR="00743730">
        <w:t>s</w:t>
      </w:r>
      <w:r w:rsidR="00C41F0C" w:rsidRPr="00D52949">
        <w:t xml:space="preserve"> (</w:t>
      </w:r>
      <w:r w:rsidR="00C41F0C" w:rsidRPr="00D52949">
        <w:rPr>
          <w:b/>
          <w:color w:val="003469"/>
        </w:rPr>
        <w:t>Chart 2</w:t>
      </w:r>
      <w:r w:rsidR="00C41F0C" w:rsidRPr="00D52949">
        <w:t>)</w:t>
      </w:r>
      <w:r w:rsidR="00354679" w:rsidRPr="00D52949">
        <w:t xml:space="preserve">. </w:t>
      </w:r>
      <w:r w:rsidR="00E42751" w:rsidRPr="00E42751">
        <w:t>On the face of it, the markets' reappraisal of UK interest rates should have been positive for the currency across the board. But the rise in real rates does not reflect a more bullish outlook for the UK economy's real growth</w:t>
      </w:r>
      <w:r w:rsidR="00E42751">
        <w:t>. R</w:t>
      </w:r>
      <w:r w:rsidR="00081633" w:rsidRPr="00D52949">
        <w:t xml:space="preserve">ather </w:t>
      </w:r>
      <w:r w:rsidR="00E42751" w:rsidRPr="00E42751">
        <w:t>it reflects the prospect of a higher path for short-rates in the next few years to return inflation to target</w:t>
      </w:r>
      <w:r w:rsidR="00743730">
        <w:t>,</w:t>
      </w:r>
      <w:r w:rsidR="00E42751" w:rsidRPr="00E42751">
        <w:t xml:space="preserve"> and </w:t>
      </w:r>
      <w:r w:rsidR="00081633" w:rsidRPr="00D52949">
        <w:t xml:space="preserve">it is </w:t>
      </w:r>
      <w:hyperlink r:id="rId19" w:history="1">
        <w:r w:rsidR="00081633" w:rsidRPr="00D52949">
          <w:rPr>
            <w:rStyle w:val="Hyperlink"/>
          </w:rPr>
          <w:t xml:space="preserve">investors demanding </w:t>
        </w:r>
        <w:r w:rsidR="00081633" w:rsidRPr="00D52949">
          <w:rPr>
            <w:rStyle w:val="Hyperlink"/>
          </w:rPr>
          <w:t>a</w:t>
        </w:r>
        <w:r w:rsidR="00081633" w:rsidRPr="00D52949">
          <w:rPr>
            <w:rStyle w:val="Hyperlink"/>
          </w:rPr>
          <w:t xml:space="preserve"> greater return for holding UK government debt</w:t>
        </w:r>
      </w:hyperlink>
      <w:r w:rsidR="00743730">
        <w:t xml:space="preserve"> </w:t>
      </w:r>
      <w:r w:rsidR="00743730" w:rsidRPr="00743730">
        <w:t>amid growing concerns over the sustainability of the UK's fiscal position</w:t>
      </w:r>
      <w:r w:rsidR="00081633" w:rsidRPr="00D52949">
        <w:t xml:space="preserve">. </w:t>
      </w:r>
    </w:p>
    <w:p w14:paraId="7B283BC3" w14:textId="0C21867D" w:rsidR="003F2044" w:rsidRPr="00D52949" w:rsidRDefault="00081633" w:rsidP="00AF640C">
      <w:r w:rsidRPr="00D52949">
        <w:t>Consequently, the pound's pe</w:t>
      </w:r>
      <w:r w:rsidR="00354679" w:rsidRPr="00D52949">
        <w:t>rformance has been a mixed bag</w:t>
      </w:r>
      <w:r w:rsidR="00743730">
        <w:t>,</w:t>
      </w:r>
      <w:r w:rsidR="00A1465B">
        <w:t xml:space="preserve"> with the </w:t>
      </w:r>
      <w:r w:rsidR="00743730">
        <w:t>policy shift by</w:t>
      </w:r>
      <w:r w:rsidR="00A1465B">
        <w:t xml:space="preserve"> the </w:t>
      </w:r>
      <w:r w:rsidR="00C207B3">
        <w:t xml:space="preserve">new </w:t>
      </w:r>
      <w:r w:rsidR="00A1465B">
        <w:t xml:space="preserve">US administration also </w:t>
      </w:r>
      <w:r w:rsidR="00743730">
        <w:t>affecting</w:t>
      </w:r>
      <w:r w:rsidR="00A1465B">
        <w:t xml:space="preserve"> currency markets</w:t>
      </w:r>
      <w:r w:rsidR="00E42751">
        <w:t xml:space="preserve"> over the last few months</w:t>
      </w:r>
      <w:r w:rsidR="00354679" w:rsidRPr="00D52949">
        <w:t xml:space="preserve">. </w:t>
      </w:r>
      <w:r w:rsidR="00C207B3">
        <w:t>Indeed, s</w:t>
      </w:r>
      <w:r w:rsidR="0004728E" w:rsidRPr="00D52949">
        <w:t xml:space="preserve">ince </w:t>
      </w:r>
      <w:r w:rsidR="00C207B3" w:rsidRPr="00D52949">
        <w:t>July</w:t>
      </w:r>
      <w:r w:rsidR="00C207B3">
        <w:t xml:space="preserve"> 2024, when </w:t>
      </w:r>
      <w:r w:rsidR="0004728E" w:rsidRPr="00D52949">
        <w:t>t</w:t>
      </w:r>
      <w:r w:rsidR="001E0A10" w:rsidRPr="00D52949">
        <w:t xml:space="preserve">he US </w:t>
      </w:r>
      <w:r w:rsidR="00743730">
        <w:t>p</w:t>
      </w:r>
      <w:r w:rsidR="00743730" w:rsidRPr="00D52949">
        <w:t xml:space="preserve">residential </w:t>
      </w:r>
      <w:r w:rsidR="001E0A10" w:rsidRPr="00D52949">
        <w:t xml:space="preserve">race kicked off in earnest </w:t>
      </w:r>
      <w:r w:rsidR="00C207B3">
        <w:t>after</w:t>
      </w:r>
      <w:r w:rsidR="001E0A10" w:rsidRPr="00D52949">
        <w:t xml:space="preserve"> Vice President Kamala Harris t</w:t>
      </w:r>
      <w:r w:rsidR="007D3F06" w:rsidRPr="00D52949">
        <w:t>ook</w:t>
      </w:r>
      <w:r w:rsidR="001E0A10" w:rsidRPr="00D52949">
        <w:t xml:space="preserve"> up the Democratic nomination</w:t>
      </w:r>
      <w:r w:rsidR="007D3F06" w:rsidRPr="00D52949">
        <w:t>,</w:t>
      </w:r>
      <w:r w:rsidR="0004728E" w:rsidRPr="00D52949">
        <w:t xml:space="preserve"> th</w:t>
      </w:r>
      <w:r w:rsidR="001E0A10" w:rsidRPr="00D52949">
        <w:t xml:space="preserve">e pound has strengthened against the dollar. </w:t>
      </w:r>
      <w:r w:rsidR="0004728E" w:rsidRPr="00D52949">
        <w:t xml:space="preserve">But </w:t>
      </w:r>
      <w:r w:rsidR="00354679" w:rsidRPr="00D52949">
        <w:t>it has weakened against the euro, yen</w:t>
      </w:r>
      <w:r w:rsidR="00860B26" w:rsidRPr="00D52949">
        <w:t>,</w:t>
      </w:r>
      <w:r w:rsidR="00354679" w:rsidRPr="00D52949">
        <w:t xml:space="preserve"> and </w:t>
      </w:r>
      <w:r w:rsidR="00ED5D25" w:rsidRPr="00D52949">
        <w:t>Nordic</w:t>
      </w:r>
      <w:r w:rsidR="00354679" w:rsidRPr="00D52949">
        <w:t xml:space="preserve"> currencies. </w:t>
      </w:r>
    </w:p>
    <w:p w14:paraId="2B95A220" w14:textId="50B6A48E" w:rsidR="00AF640C" w:rsidRPr="00D52949" w:rsidRDefault="00AF640C" w:rsidP="00115441">
      <w:pPr>
        <w:pStyle w:val="ExhibitTitle"/>
      </w:pPr>
      <w:r w:rsidRPr="00D52949">
        <w:t xml:space="preserve">Chart </w:t>
      </w:r>
      <w:r w:rsidRPr="00D52949">
        <w:fldChar w:fldCharType="begin"/>
      </w:r>
      <w:r w:rsidR="00C93A05">
        <w:instrText>SEQ CHART</w:instrText>
      </w:r>
      <w:r w:rsidRPr="00D52949">
        <w:fldChar w:fldCharType="separate"/>
      </w:r>
      <w:r w:rsidR="00141DBE">
        <w:rPr>
          <w:noProof/>
        </w:rPr>
        <w:t>2</w:t>
      </w:r>
      <w:r w:rsidRPr="00D52949">
        <w:fldChar w:fldCharType="end"/>
      </w:r>
      <w:r w:rsidRPr="00D52949">
        <w:t xml:space="preserve">: </w:t>
      </w:r>
      <w:r w:rsidR="0031454F" w:rsidRPr="00D52949">
        <w:t>Real rates have increased more in the UK than in other major economies</w:t>
      </w:r>
    </w:p>
    <w:p w14:paraId="5173333A" w14:textId="30D2923E" w:rsidR="00C93A05" w:rsidRDefault="00C93A05" w:rsidP="0011544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1941175D" wp14:editId="145405F6">
            <wp:extent cx="3250933" cy="2566074"/>
            <wp:effectExtent l="0" t="0" r="6985" b="5715"/>
            <wp:docPr id="142440740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40740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3C628" w14:textId="470B2673" w:rsidR="00AF640C" w:rsidRPr="00D52949" w:rsidRDefault="00C93A05" w:rsidP="00115441">
      <w:pPr>
        <w:pStyle w:val="ExhibitSource"/>
      </w:pPr>
      <w:r>
        <w:t>Sources: Oxford Economics, Haver Analytics</w:t>
      </w:r>
    </w:p>
    <w:p w14:paraId="5D44C390" w14:textId="1F42656E" w:rsidR="00E4613C" w:rsidRDefault="00E4613C" w:rsidP="00E4613C">
      <w:r w:rsidRPr="00D52949">
        <w:t xml:space="preserve">In our view, the recent </w:t>
      </w:r>
      <w:hyperlink r:id="rId22" w:history="1">
        <w:r w:rsidRPr="00D52949">
          <w:rPr>
            <w:rStyle w:val="Hyperlink"/>
          </w:rPr>
          <w:t>strength of the pound against the dollar is more a story</w:t>
        </w:r>
        <w:r w:rsidRPr="00D52949">
          <w:rPr>
            <w:rStyle w:val="Hyperlink"/>
          </w:rPr>
          <w:t xml:space="preserve"> </w:t>
        </w:r>
        <w:r w:rsidRPr="00D52949">
          <w:rPr>
            <w:rStyle w:val="Hyperlink"/>
          </w:rPr>
          <w:t>of US weakness than UK strength</w:t>
        </w:r>
      </w:hyperlink>
      <w:r w:rsidRPr="00D52949">
        <w:t xml:space="preserve">. On a trade-weighted basis, the dollar </w:t>
      </w:r>
      <w:r w:rsidR="00487A31">
        <w:t xml:space="preserve">fell </w:t>
      </w:r>
      <w:r w:rsidRPr="00D52949">
        <w:t xml:space="preserve">by </w:t>
      </w:r>
      <w:r w:rsidR="00487A31">
        <w:t>more than 6</w:t>
      </w:r>
      <w:r w:rsidRPr="00D52949">
        <w:t xml:space="preserve">% </w:t>
      </w:r>
      <w:r w:rsidR="00487A31">
        <w:t xml:space="preserve">between </w:t>
      </w:r>
      <w:r w:rsidRPr="00D52949">
        <w:t xml:space="preserve">its January high </w:t>
      </w:r>
      <w:r w:rsidR="00487A31">
        <w:t>and August</w:t>
      </w:r>
      <w:r w:rsidR="00C207B3">
        <w:t xml:space="preserve"> –</w:t>
      </w:r>
      <w:r w:rsidR="00487A31">
        <w:t xml:space="preserve"> </w:t>
      </w:r>
      <w:r w:rsidR="00C207B3">
        <w:t xml:space="preserve">catalysed by </w:t>
      </w:r>
      <w:r w:rsidRPr="00D52949">
        <w:t xml:space="preserve">the US administrations' </w:t>
      </w:r>
      <w:r w:rsidR="00C207B3">
        <w:t xml:space="preserve">'liberation day' </w:t>
      </w:r>
      <w:r w:rsidRPr="00D52949">
        <w:t>tariff announcements on April</w:t>
      </w:r>
      <w:r w:rsidR="0086742A" w:rsidRPr="00D52949">
        <w:t xml:space="preserve"> 2</w:t>
      </w:r>
      <w:r w:rsidRPr="00D52949">
        <w:t>. Since then, the tariff schedule has</w:t>
      </w:r>
      <w:r w:rsidR="00E80110" w:rsidRPr="00D52949">
        <w:t xml:space="preserve"> been</w:t>
      </w:r>
      <w:r w:rsidRPr="00D52949">
        <w:t xml:space="preserve"> relaxed, but it still points to a notable rise in the </w:t>
      </w:r>
      <w:hyperlink r:id="rId23" w:history="1">
        <w:r w:rsidRPr="00D52949">
          <w:rPr>
            <w:rStyle w:val="Hyperlink"/>
          </w:rPr>
          <w:t xml:space="preserve">effective tariff rate to </w:t>
        </w:r>
        <w:r w:rsidRPr="00D52949">
          <w:rPr>
            <w:rStyle w:val="Hyperlink"/>
          </w:rPr>
          <w:t>1</w:t>
        </w:r>
        <w:r w:rsidRPr="00D52949">
          <w:rPr>
            <w:rStyle w:val="Hyperlink"/>
          </w:rPr>
          <w:t>6</w:t>
        </w:r>
        <w:r w:rsidRPr="00D52949">
          <w:rPr>
            <w:rStyle w:val="Hyperlink"/>
          </w:rPr>
          <w:t>.7%</w:t>
        </w:r>
      </w:hyperlink>
      <w:r w:rsidRPr="00D52949">
        <w:t xml:space="preserve">. </w:t>
      </w:r>
    </w:p>
    <w:p w14:paraId="5FC7D1A2" w14:textId="2C4651B3" w:rsidR="009630E7" w:rsidRDefault="009630E7" w:rsidP="00E4613C">
      <w:r>
        <w:t xml:space="preserve">However, we </w:t>
      </w:r>
      <w:r w:rsidR="00C207B3">
        <w:t>doubt</w:t>
      </w:r>
      <w:r>
        <w:t xml:space="preserve"> the Trump administrations</w:t>
      </w:r>
      <w:r w:rsidR="00BB1512">
        <w:t xml:space="preserve">' trade policy </w:t>
      </w:r>
      <w:r>
        <w:t xml:space="preserve">will be successful in reducing the US current account deficit as </w:t>
      </w:r>
      <w:r w:rsidR="00BB1512">
        <w:t xml:space="preserve">it </w:t>
      </w:r>
      <w:r w:rsidR="00E74A65">
        <w:t xml:space="preserve">does </w:t>
      </w:r>
      <w:r>
        <w:t>not address the fundamental imbalance between saving and investment</w:t>
      </w:r>
      <w:r w:rsidR="00C72EF1">
        <w:t>. We expect the US current account to remain in a 3</w:t>
      </w:r>
      <w:r w:rsidR="00E74A65">
        <w:t>%</w:t>
      </w:r>
      <w:r w:rsidR="00C72EF1">
        <w:t>-4% of GDP range over the coming years</w:t>
      </w:r>
      <w:r>
        <w:t xml:space="preserve">. </w:t>
      </w:r>
      <w:r w:rsidR="00C72EF1">
        <w:t>But u</w:t>
      </w:r>
      <w:r w:rsidR="00CD60B1">
        <w:t>ltimately it is the change in, rather than the level of</w:t>
      </w:r>
      <w:r w:rsidR="00E74A65">
        <w:t>,</w:t>
      </w:r>
      <w:r w:rsidR="00CD60B1">
        <w:t xml:space="preserve"> the </w:t>
      </w:r>
      <w:hyperlink r:id="rId24" w:history="1">
        <w:r w:rsidR="00CD60B1" w:rsidRPr="00CD60B1">
          <w:rPr>
            <w:rStyle w:val="Hyperlink"/>
          </w:rPr>
          <w:t xml:space="preserve">US </w:t>
        </w:r>
        <w:r w:rsidR="00C72EF1">
          <w:rPr>
            <w:rStyle w:val="Hyperlink"/>
          </w:rPr>
          <w:t>basic balance</w:t>
        </w:r>
        <w:r w:rsidR="00CD60B1" w:rsidRPr="00CD60B1">
          <w:rPr>
            <w:rStyle w:val="Hyperlink"/>
          </w:rPr>
          <w:t xml:space="preserve"> that matte</w:t>
        </w:r>
        <w:r w:rsidR="00CD60B1" w:rsidRPr="00CD60B1">
          <w:rPr>
            <w:rStyle w:val="Hyperlink"/>
          </w:rPr>
          <w:t>r</w:t>
        </w:r>
        <w:r w:rsidR="00C72EF1">
          <w:rPr>
            <w:rStyle w:val="Hyperlink"/>
          </w:rPr>
          <w:t>s</w:t>
        </w:r>
        <w:r w:rsidR="00CD60B1" w:rsidRPr="00CD60B1">
          <w:rPr>
            <w:rStyle w:val="Hyperlink"/>
          </w:rPr>
          <w:t xml:space="preserve"> </w:t>
        </w:r>
        <w:r w:rsidR="00C72EF1">
          <w:rPr>
            <w:rStyle w:val="Hyperlink"/>
          </w:rPr>
          <w:t xml:space="preserve">the most </w:t>
        </w:r>
        <w:r w:rsidR="00CD60B1" w:rsidRPr="00CD60B1">
          <w:rPr>
            <w:rStyle w:val="Hyperlink"/>
          </w:rPr>
          <w:t>for the dollar exchange rate</w:t>
        </w:r>
      </w:hyperlink>
      <w:r w:rsidR="00C72EF1">
        <w:t xml:space="preserve">, which we expect to deteriorate </w:t>
      </w:r>
      <w:r w:rsidR="00CD60B1">
        <w:t xml:space="preserve">to </w:t>
      </w:r>
      <w:r w:rsidR="00C72EF1">
        <w:t>-</w:t>
      </w:r>
      <w:r w:rsidR="00CD60B1">
        <w:t>4% of GDP over the next few years</w:t>
      </w:r>
      <w:r w:rsidR="00E74A65" w:rsidRPr="00E74A65">
        <w:t xml:space="preserve"> </w:t>
      </w:r>
      <w:r w:rsidR="00E74A65">
        <w:t>from -1%</w:t>
      </w:r>
      <w:r w:rsidR="00C72EF1">
        <w:t xml:space="preserve">. </w:t>
      </w:r>
      <w:r w:rsidR="005A7092">
        <w:t xml:space="preserve">So the </w:t>
      </w:r>
      <w:hyperlink r:id="rId25" w:history="1">
        <w:r w:rsidR="005A7092" w:rsidRPr="00D728B9">
          <w:rPr>
            <w:rStyle w:val="Hyperlink"/>
          </w:rPr>
          <w:t>dollar will have to remain weak</w:t>
        </w:r>
        <w:r w:rsidR="00D728B9" w:rsidRPr="00D728B9">
          <w:rPr>
            <w:rStyle w:val="Hyperlink"/>
          </w:rPr>
          <w:t xml:space="preserve"> to attract short-term capital inflows</w:t>
        </w:r>
        <w:r w:rsidR="005A7092" w:rsidRPr="00D728B9">
          <w:rPr>
            <w:rStyle w:val="Hyperlink"/>
          </w:rPr>
          <w:t xml:space="preserve"> to cover the s</w:t>
        </w:r>
        <w:r w:rsidR="005A7092" w:rsidRPr="00D728B9">
          <w:rPr>
            <w:rStyle w:val="Hyperlink"/>
          </w:rPr>
          <w:t>h</w:t>
        </w:r>
        <w:r w:rsidR="005A7092" w:rsidRPr="00D728B9">
          <w:rPr>
            <w:rStyle w:val="Hyperlink"/>
          </w:rPr>
          <w:t>ortfall</w:t>
        </w:r>
      </w:hyperlink>
      <w:r w:rsidR="005A7092">
        <w:t>.</w:t>
      </w:r>
      <w:r w:rsidR="00C72EF1">
        <w:t xml:space="preserve"> </w:t>
      </w:r>
    </w:p>
    <w:p w14:paraId="2B5BACCC" w14:textId="384A6FA3" w:rsidR="00514DB5" w:rsidRPr="00D52949" w:rsidRDefault="00AB2542" w:rsidP="00115441">
      <w:pPr>
        <w:pStyle w:val="Heading3"/>
      </w:pPr>
      <w:r w:rsidRPr="00D52949">
        <w:t xml:space="preserve">The UK's fiscal challenges could reveal </w:t>
      </w:r>
      <w:r w:rsidR="00E74A65">
        <w:t>s</w:t>
      </w:r>
      <w:r w:rsidR="00E74A65" w:rsidRPr="00D52949">
        <w:t xml:space="preserve">terling's </w:t>
      </w:r>
      <w:r w:rsidRPr="00D52949">
        <w:t>vulnerability</w:t>
      </w:r>
    </w:p>
    <w:p w14:paraId="6397CEB3" w14:textId="7D8BD813" w:rsidR="000D4C4E" w:rsidRPr="00D52949" w:rsidRDefault="00BB1512" w:rsidP="003C485C">
      <w:r>
        <w:t>Our central forecast projects that GBP/USD will remain between 1.33 and 1.34 over the next couple of years</w:t>
      </w:r>
      <w:r w:rsidR="00991FD6">
        <w:t xml:space="preserve"> as we expect the structural factors underpinning the dollar's recent weakness to persist</w:t>
      </w:r>
      <w:r>
        <w:t xml:space="preserve">. </w:t>
      </w:r>
      <w:r w:rsidR="000D4C4E" w:rsidRPr="00D52949">
        <w:t>However, with the UK's fiscal position becoming ever more challenging</w:t>
      </w:r>
      <w:r w:rsidR="00991FD6">
        <w:t>,</w:t>
      </w:r>
      <w:r w:rsidR="000D4C4E" w:rsidRPr="00D52949">
        <w:t xml:space="preserve"> the risk</w:t>
      </w:r>
      <w:r w:rsidR="00E74A65">
        <w:t>s</w:t>
      </w:r>
      <w:r w:rsidR="000D4C4E" w:rsidRPr="00D52949">
        <w:t xml:space="preserve"> to our central case </w:t>
      </w:r>
      <w:r w:rsidR="00E74A65">
        <w:t>are</w:t>
      </w:r>
      <w:r w:rsidR="000D4C4E" w:rsidRPr="00D52949">
        <w:t xml:space="preserve"> skewed towards </w:t>
      </w:r>
      <w:r w:rsidR="00E74A65">
        <w:t xml:space="preserve">a </w:t>
      </w:r>
      <w:r w:rsidR="000D4C4E" w:rsidRPr="00D52949">
        <w:t xml:space="preserve">weaker </w:t>
      </w:r>
      <w:r>
        <w:t>sterling-dollar</w:t>
      </w:r>
      <w:r w:rsidR="00E74A65">
        <w:t>,</w:t>
      </w:r>
      <w:r w:rsidR="000D4C4E" w:rsidRPr="00D52949">
        <w:t xml:space="preserve"> with the possibility of a </w:t>
      </w:r>
      <w:r w:rsidR="00685B0D" w:rsidRPr="00D52949">
        <w:t xml:space="preserve">sharp correction </w:t>
      </w:r>
      <w:r>
        <w:t xml:space="preserve">if </w:t>
      </w:r>
      <w:r w:rsidR="000D4C4E" w:rsidRPr="00D52949">
        <w:t xml:space="preserve">the government is not able to persuade financial markets </w:t>
      </w:r>
      <w:r w:rsidR="00E74A65">
        <w:t xml:space="preserve">that </w:t>
      </w:r>
      <w:r w:rsidR="001018BF">
        <w:t>it is able to achieve a clear and sustainable fiscal adjustment</w:t>
      </w:r>
      <w:r w:rsidR="00685B0D" w:rsidRPr="00D52949">
        <w:t xml:space="preserve">. </w:t>
      </w:r>
      <w:r w:rsidR="00594336">
        <w:t>To some extent</w:t>
      </w:r>
      <w:r w:rsidR="00E74A65">
        <w:t>,</w:t>
      </w:r>
      <w:r w:rsidR="00594336">
        <w:t xml:space="preserve"> the recent rise in term-premia already reflects markets' </w:t>
      </w:r>
      <w:r w:rsidR="00421D21">
        <w:t xml:space="preserve">growing </w:t>
      </w:r>
      <w:r w:rsidR="00E74A65">
        <w:t xml:space="preserve">concerns </w:t>
      </w:r>
      <w:r w:rsidR="00594336">
        <w:t xml:space="preserve">that </w:t>
      </w:r>
      <w:r w:rsidR="00421D21">
        <w:t xml:space="preserve">rising </w:t>
      </w:r>
      <w:r w:rsidR="00594336">
        <w:t xml:space="preserve">public debt will eventually </w:t>
      </w:r>
      <w:r w:rsidR="00E74A65">
        <w:t>need to</w:t>
      </w:r>
      <w:r w:rsidR="00594336">
        <w:t xml:space="preserve"> be inflated away. </w:t>
      </w:r>
    </w:p>
    <w:p w14:paraId="08764E86" w14:textId="18727EAE" w:rsidR="00263FF1" w:rsidRPr="00D52949" w:rsidRDefault="00685B0D" w:rsidP="003C485C">
      <w:r w:rsidRPr="00D52949">
        <w:lastRenderedPageBreak/>
        <w:t xml:space="preserve">As it stands, the pound </w:t>
      </w:r>
      <w:r w:rsidR="00AB2542" w:rsidRPr="00D52949">
        <w:t xml:space="preserve">is </w:t>
      </w:r>
      <w:r w:rsidRPr="00D52949">
        <w:t xml:space="preserve">currently </w:t>
      </w:r>
      <w:r w:rsidR="00E74A65">
        <w:t>main</w:t>
      </w:r>
      <w:r w:rsidR="00E74A65" w:rsidRPr="00D52949">
        <w:t xml:space="preserve">taining </w:t>
      </w:r>
      <w:r w:rsidR="00AB2542" w:rsidRPr="00D52949">
        <w:t xml:space="preserve">a </w:t>
      </w:r>
      <w:r w:rsidRPr="00D52949">
        <w:t>valu</w:t>
      </w:r>
      <w:r w:rsidR="00AB2542" w:rsidRPr="00D52949">
        <w:t xml:space="preserve">ation of </w:t>
      </w:r>
      <w:r w:rsidRPr="00D52949">
        <w:t xml:space="preserve">around </w:t>
      </w:r>
      <w:r w:rsidR="00AB2542" w:rsidRPr="00D52949">
        <w:t>$</w:t>
      </w:r>
      <w:r w:rsidRPr="00D52949">
        <w:t>1.35</w:t>
      </w:r>
      <w:r w:rsidR="00E74A65">
        <w:t xml:space="preserve"> –</w:t>
      </w:r>
      <w:r w:rsidR="00AB2542" w:rsidRPr="00D52949">
        <w:t xml:space="preserve"> </w:t>
      </w:r>
      <w:r w:rsidR="00C55836">
        <w:t xml:space="preserve">the strongest it's been since Boris Johnson was </w:t>
      </w:r>
      <w:r w:rsidR="00E74A65">
        <w:t xml:space="preserve">prime minister </w:t>
      </w:r>
      <w:r w:rsidR="00C55836">
        <w:t>in 2022</w:t>
      </w:r>
      <w:r w:rsidR="00AB2542" w:rsidRPr="00D52949">
        <w:t xml:space="preserve">. </w:t>
      </w:r>
      <w:r w:rsidR="000D4C4E" w:rsidRPr="00D52949">
        <w:t>However, o</w:t>
      </w:r>
      <w:r w:rsidR="00AB2542" w:rsidRPr="00D52949">
        <w:t xml:space="preserve">ur </w:t>
      </w:r>
      <w:r w:rsidR="00E74A65">
        <w:t>s</w:t>
      </w:r>
      <w:r w:rsidR="00E74A65" w:rsidRPr="00D52949">
        <w:t xml:space="preserve">trategy </w:t>
      </w:r>
      <w:r w:rsidR="00936638" w:rsidRPr="00D52949">
        <w:t>team</w:t>
      </w:r>
      <w:r w:rsidR="00E74A65">
        <w:t>'s</w:t>
      </w:r>
      <w:r w:rsidR="00936638" w:rsidRPr="00D52949">
        <w:t xml:space="preserve"> </w:t>
      </w:r>
      <w:r w:rsidR="00591675" w:rsidRPr="00D52949">
        <w:t xml:space="preserve">suite of </w:t>
      </w:r>
      <w:r w:rsidR="00935F79">
        <w:t>long</w:t>
      </w:r>
      <w:r w:rsidR="00591675" w:rsidRPr="00D52949">
        <w:t>-term FX models suggest sterling is trading meaningfully above fair value</w:t>
      </w:r>
      <w:r w:rsidR="00D81CF0" w:rsidRPr="00D52949">
        <w:t xml:space="preserve"> against the dollar</w:t>
      </w:r>
      <w:r w:rsidR="00E74A65">
        <w:t>.</w:t>
      </w:r>
      <w:r w:rsidR="00D81CF0" w:rsidRPr="00D52949">
        <w:t xml:space="preserve"> </w:t>
      </w:r>
      <w:r w:rsidR="00E74A65">
        <w:t>T</w:t>
      </w:r>
      <w:r w:rsidR="00591675" w:rsidRPr="00D52949">
        <w:t>he</w:t>
      </w:r>
      <w:r w:rsidR="00E74A65">
        <w:t xml:space="preserve"> team's</w:t>
      </w:r>
      <w:r w:rsidR="00591675" w:rsidRPr="00D52949">
        <w:t xml:space="preserve"> </w:t>
      </w:r>
      <w:r w:rsidR="00AB2542" w:rsidRPr="00D52949">
        <w:t xml:space="preserve">proprietary </w:t>
      </w:r>
      <w:r w:rsidR="00377246" w:rsidRPr="00D52949">
        <w:t xml:space="preserve">behavioural equilibrium exchange rate model framework </w:t>
      </w:r>
      <w:r w:rsidR="00E74A65" w:rsidRPr="00D52949">
        <w:t>point</w:t>
      </w:r>
      <w:r w:rsidR="00E74A65">
        <w:t>s</w:t>
      </w:r>
      <w:r w:rsidR="00E74A65" w:rsidRPr="00D52949">
        <w:t xml:space="preserve"> </w:t>
      </w:r>
      <w:r w:rsidR="00693875" w:rsidRPr="00D52949">
        <w:t>to</w:t>
      </w:r>
      <w:r w:rsidR="00F21223">
        <w:t xml:space="preserve"> an</w:t>
      </w:r>
      <w:r w:rsidR="00693875" w:rsidRPr="00D52949">
        <w:t xml:space="preserve"> overvaluation of more than 10% (</w:t>
      </w:r>
      <w:r w:rsidR="00693875" w:rsidRPr="00773F76">
        <w:rPr>
          <w:b/>
          <w:color w:val="003469"/>
        </w:rPr>
        <w:t>Chart 3</w:t>
      </w:r>
      <w:r w:rsidR="00693875" w:rsidRPr="00D52949">
        <w:t>). This</w:t>
      </w:r>
      <w:r w:rsidR="00AB2542" w:rsidRPr="00D52949">
        <w:t xml:space="preserve"> </w:t>
      </w:r>
      <w:r w:rsidR="00E74A65">
        <w:t>raises</w:t>
      </w:r>
      <w:r w:rsidR="00E74A65" w:rsidRPr="00D52949">
        <w:t xml:space="preserve"> </w:t>
      </w:r>
      <w:r w:rsidR="00AB2542" w:rsidRPr="00D52949">
        <w:t>the question</w:t>
      </w:r>
      <w:r w:rsidR="000D4C4E" w:rsidRPr="00D52949">
        <w:t>:</w:t>
      </w:r>
      <w:r w:rsidR="00AB2542" w:rsidRPr="00D52949">
        <w:t xml:space="preserve"> </w:t>
      </w:r>
      <w:r w:rsidR="00E74A65">
        <w:t>W</w:t>
      </w:r>
      <w:r w:rsidR="00AB2542" w:rsidRPr="00D52949">
        <w:t xml:space="preserve">hat </w:t>
      </w:r>
      <w:r w:rsidR="00E74A65">
        <w:t>c</w:t>
      </w:r>
      <w:r w:rsidR="00AB2542" w:rsidRPr="00D52949">
        <w:t xml:space="preserve">ould be </w:t>
      </w:r>
      <w:r w:rsidR="00E74A65">
        <w:t>a</w:t>
      </w:r>
      <w:r w:rsidR="00AB2542" w:rsidRPr="00D52949">
        <w:t xml:space="preserve"> catalyst for any correction</w:t>
      </w:r>
      <w:r w:rsidR="000D4C4E" w:rsidRPr="00D52949">
        <w:t>?</w:t>
      </w:r>
    </w:p>
    <w:p w14:paraId="5AD1A941" w14:textId="1C706AEA" w:rsidR="00AF640C" w:rsidRPr="00D52949" w:rsidRDefault="00AF640C" w:rsidP="00115441">
      <w:pPr>
        <w:pStyle w:val="ExhibitTitle"/>
      </w:pPr>
      <w:r w:rsidRPr="00D52949">
        <w:t xml:space="preserve">Chart </w:t>
      </w:r>
      <w:r w:rsidRPr="00D52949">
        <w:fldChar w:fldCharType="begin"/>
      </w:r>
      <w:r w:rsidR="0018284E">
        <w:instrText>SEQ CHART</w:instrText>
      </w:r>
      <w:r w:rsidRPr="00D52949">
        <w:fldChar w:fldCharType="separate"/>
      </w:r>
      <w:r w:rsidR="00141DBE">
        <w:rPr>
          <w:noProof/>
        </w:rPr>
        <w:t>3</w:t>
      </w:r>
      <w:r w:rsidRPr="00D52949">
        <w:fldChar w:fldCharType="end"/>
      </w:r>
      <w:r w:rsidRPr="00D52949">
        <w:t xml:space="preserve">: </w:t>
      </w:r>
      <w:r w:rsidR="006F0990" w:rsidRPr="00D52949">
        <w:t xml:space="preserve">Our BEER model suggests that </w:t>
      </w:r>
      <w:r w:rsidR="00E74A65">
        <w:t>s</w:t>
      </w:r>
      <w:r w:rsidR="00E74A65" w:rsidRPr="00D52949">
        <w:t xml:space="preserve">terling </w:t>
      </w:r>
      <w:r w:rsidR="006F0990" w:rsidRPr="00D52949">
        <w:t xml:space="preserve">is </w:t>
      </w:r>
      <w:r w:rsidR="00A47BD0" w:rsidRPr="00D52949">
        <w:t xml:space="preserve">more than 10% </w:t>
      </w:r>
      <w:r w:rsidR="006F0990" w:rsidRPr="00D52949">
        <w:t>overvalued against the dollar</w:t>
      </w:r>
    </w:p>
    <w:p w14:paraId="1ECF33FA" w14:textId="27E8BF7F" w:rsidR="005B419D" w:rsidRDefault="005B419D" w:rsidP="0011544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7072223" wp14:editId="115F7FD3">
            <wp:extent cx="3250933" cy="2566074"/>
            <wp:effectExtent l="0" t="0" r="6985" b="5715"/>
            <wp:docPr id="168420729" name="Graphic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20729" name="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A26D9" w14:textId="71DF4C22" w:rsidR="00AF640C" w:rsidRPr="00D52949" w:rsidRDefault="005B419D" w:rsidP="00115441">
      <w:pPr>
        <w:pStyle w:val="ExhibitSource"/>
      </w:pPr>
      <w:r>
        <w:t>Source</w:t>
      </w:r>
      <w:r w:rsidR="007B54A4">
        <w:t>s</w:t>
      </w:r>
      <w:r>
        <w:t>: Oxford Economics, Haver Analytics, *Fair value based on Oxford Economics BEER model</w:t>
      </w:r>
    </w:p>
    <w:p w14:paraId="04C73822" w14:textId="6646FDBF" w:rsidR="00F60EBE" w:rsidRPr="00D52949" w:rsidRDefault="00F60EBE" w:rsidP="00F60EBE">
      <w:r w:rsidRPr="00D52949">
        <w:t>The most obvious candidate is a November Budget that fails to convince the markets that the public finances will be kept on a</w:t>
      </w:r>
      <w:r w:rsidR="000A7CDD">
        <w:t xml:space="preserve"> sustainable footing</w:t>
      </w:r>
      <w:r w:rsidRPr="00D52949">
        <w:t xml:space="preserve">. </w:t>
      </w:r>
      <w:r w:rsidR="00E74A65">
        <w:t>W</w:t>
      </w:r>
      <w:r w:rsidR="00BB1512" w:rsidRPr="00D52949">
        <w:t>e</w:t>
      </w:r>
      <w:r w:rsidRPr="00D52949">
        <w:t xml:space="preserve"> will </w:t>
      </w:r>
      <w:r w:rsidR="00E74A65">
        <w:t>examine</w:t>
      </w:r>
      <w:r w:rsidR="00B358AA" w:rsidRPr="00D52949">
        <w:t xml:space="preserve"> this scenario in more detail</w:t>
      </w:r>
      <w:r w:rsidR="00E74A65">
        <w:t xml:space="preserve"> in future research</w:t>
      </w:r>
      <w:r w:rsidRPr="00D52949">
        <w:t xml:space="preserve">. But recent history tells us that if markets are not </w:t>
      </w:r>
      <w:r w:rsidR="006D1438" w:rsidRPr="00D52949">
        <w:t>satisfied,</w:t>
      </w:r>
      <w:r w:rsidRPr="00D52949">
        <w:t xml:space="preserve"> </w:t>
      </w:r>
      <w:r w:rsidR="001A5C91" w:rsidRPr="00D52949">
        <w:t>they</w:t>
      </w:r>
      <w:r w:rsidRPr="00D52949">
        <w:t xml:space="preserve"> will move out</w:t>
      </w:r>
      <w:r w:rsidR="001A5C91" w:rsidRPr="00D52949">
        <w:t xml:space="preserve"> of</w:t>
      </w:r>
      <w:r w:rsidRPr="00D52949">
        <w:t xml:space="preserve"> </w:t>
      </w:r>
      <w:r w:rsidR="000D4C4E" w:rsidRPr="00D52949">
        <w:t xml:space="preserve">UK </w:t>
      </w:r>
      <w:r w:rsidRPr="00D52949">
        <w:t>government debt</w:t>
      </w:r>
      <w:r w:rsidR="00E74A65">
        <w:t xml:space="preserve"> and</w:t>
      </w:r>
      <w:r w:rsidRPr="00D52949">
        <w:t xml:space="preserve"> </w:t>
      </w:r>
      <w:r w:rsidR="00E74A65">
        <w:t>shun</w:t>
      </w:r>
      <w:r w:rsidRPr="00D52949">
        <w:t xml:space="preserve"> UK risky assets</w:t>
      </w:r>
      <w:r w:rsidR="001A5C91" w:rsidRPr="00D52949">
        <w:t>, potentially putting significant</w:t>
      </w:r>
      <w:r w:rsidRPr="00D52949">
        <w:t xml:space="preserve"> downward pressure on the exchange rate. </w:t>
      </w:r>
    </w:p>
    <w:p w14:paraId="1EAFD238" w14:textId="05D1451D" w:rsidR="006F0990" w:rsidRPr="00D52949" w:rsidRDefault="006F0990" w:rsidP="00115441">
      <w:pPr>
        <w:pStyle w:val="Heading3"/>
      </w:pPr>
      <w:r w:rsidRPr="00D52949">
        <w:t>Two cases studies</w:t>
      </w:r>
      <w:r w:rsidR="00F172A4">
        <w:t xml:space="preserve"> with</w:t>
      </w:r>
      <w:r w:rsidR="00F172A4" w:rsidRPr="00D52949">
        <w:t xml:space="preserve"> </w:t>
      </w:r>
      <w:r w:rsidR="00F172A4">
        <w:t>d</w:t>
      </w:r>
      <w:r w:rsidRPr="00D52949">
        <w:t>ifferent drivers</w:t>
      </w:r>
      <w:r w:rsidR="006D1438" w:rsidRPr="00D52949">
        <w:t xml:space="preserve"> both result in </w:t>
      </w:r>
      <w:r w:rsidR="009F1158" w:rsidRPr="00D52949">
        <w:t>weaker sterling</w:t>
      </w:r>
    </w:p>
    <w:p w14:paraId="330E0690" w14:textId="179F12FC" w:rsidR="006F0990" w:rsidRPr="00D52949" w:rsidRDefault="00676C65" w:rsidP="00F60EBE">
      <w:r w:rsidRPr="00D52949">
        <w:t xml:space="preserve">Recent episodes of fiscal concern have </w:t>
      </w:r>
      <w:r w:rsidR="00F172A4">
        <w:t>led to</w:t>
      </w:r>
      <w:r w:rsidR="00F172A4" w:rsidRPr="00D52949">
        <w:t xml:space="preserve"> </w:t>
      </w:r>
      <w:r w:rsidR="00F172A4">
        <w:t xml:space="preserve">both </w:t>
      </w:r>
      <w:r w:rsidRPr="00D52949">
        <w:t>bonds and sterling sell</w:t>
      </w:r>
      <w:r w:rsidR="00F172A4">
        <w:t>ing</w:t>
      </w:r>
      <w:r w:rsidRPr="00D52949">
        <w:t xml:space="preserve"> off, </w:t>
      </w:r>
      <w:hyperlink r:id="rId28" w:history="1">
        <w:r w:rsidRPr="00D52949">
          <w:rPr>
            <w:rStyle w:val="Hyperlink"/>
          </w:rPr>
          <w:t xml:space="preserve">although the underlying reasons for the price </w:t>
        </w:r>
        <w:r w:rsidR="00F172A4">
          <w:rPr>
            <w:rStyle w:val="Hyperlink"/>
          </w:rPr>
          <w:t>drops</w:t>
        </w:r>
        <w:r w:rsidR="00F172A4" w:rsidRPr="00D52949">
          <w:rPr>
            <w:rStyle w:val="Hyperlink"/>
          </w:rPr>
          <w:t xml:space="preserve"> </w:t>
        </w:r>
        <w:r w:rsidRPr="00D52949">
          <w:rPr>
            <w:rStyle w:val="Hyperlink"/>
          </w:rPr>
          <w:t>have differed</w:t>
        </w:r>
      </w:hyperlink>
      <w:r w:rsidR="0074262F">
        <w:t xml:space="preserve"> (</w:t>
      </w:r>
      <w:r w:rsidR="0074262F" w:rsidRPr="0074262F">
        <w:rPr>
          <w:b/>
          <w:color w:val="003469"/>
        </w:rPr>
        <w:t>Chart 4</w:t>
      </w:r>
      <w:r w:rsidR="0074262F">
        <w:t>)</w:t>
      </w:r>
      <w:r w:rsidRPr="00D52949">
        <w:t xml:space="preserve">. </w:t>
      </w:r>
      <w:r w:rsidR="00F172A4">
        <w:t>I</w:t>
      </w:r>
      <w:r w:rsidR="006912AE">
        <w:t>n both instances</w:t>
      </w:r>
      <w:r w:rsidR="00F172A4">
        <w:t>,</w:t>
      </w:r>
      <w:r w:rsidR="006912AE">
        <w:t xml:space="preserve"> </w:t>
      </w:r>
      <w:r w:rsidR="00F172A4">
        <w:t xml:space="preserve">however, </w:t>
      </w:r>
      <w:r w:rsidR="006912AE">
        <w:t xml:space="preserve">the price action has been </w:t>
      </w:r>
      <w:r w:rsidR="00F172A4">
        <w:t>brief,</w:t>
      </w:r>
      <w:r w:rsidR="006912AE">
        <w:t xml:space="preserve"> with </w:t>
      </w:r>
      <w:r w:rsidR="00BB1512">
        <w:t>most</w:t>
      </w:r>
      <w:r w:rsidR="006912AE">
        <w:t xml:space="preserve"> of the move unwinding after a couple of weeks. </w:t>
      </w:r>
    </w:p>
    <w:p w14:paraId="7F715E25" w14:textId="67864EF5" w:rsidR="00F172A4" w:rsidRDefault="006F0990" w:rsidP="00F60EBE">
      <w:r w:rsidRPr="00D52949">
        <w:rPr>
          <w:b/>
          <w:color w:val="003469"/>
        </w:rPr>
        <w:t>Mini-Budget 2022</w:t>
      </w:r>
      <w:r w:rsidR="00F172A4">
        <w:t>.</w:t>
      </w:r>
      <w:r w:rsidRPr="00D52949">
        <w:t xml:space="preserve"> </w:t>
      </w:r>
      <w:r w:rsidR="00676C65" w:rsidRPr="00D52949">
        <w:t xml:space="preserve">The clearest </w:t>
      </w:r>
      <w:r w:rsidR="00F172A4">
        <w:t>reaction</w:t>
      </w:r>
      <w:r w:rsidR="00F172A4" w:rsidRPr="00D52949">
        <w:t xml:space="preserve"> </w:t>
      </w:r>
      <w:r w:rsidR="00676C65" w:rsidRPr="00D52949">
        <w:t xml:space="preserve">to a UK fiscal policy error is the </w:t>
      </w:r>
      <w:hyperlink r:id="rId29" w:history="1">
        <w:r w:rsidR="00676C65" w:rsidRPr="007D59DB">
          <w:rPr>
            <w:rStyle w:val="Hyperlink"/>
          </w:rPr>
          <w:t>2022 mini-Budget</w:t>
        </w:r>
      </w:hyperlink>
      <w:r w:rsidR="00676C65" w:rsidRPr="00D52949">
        <w:t xml:space="preserve">. </w:t>
      </w:r>
      <w:r w:rsidR="001F2A6F" w:rsidRPr="00D52949">
        <w:t>Following her appointment, Prime Minister Liz Truss set out updated fiscal plans that were modelled around significant and unfunded tax cuts.</w:t>
      </w:r>
      <w:r w:rsidR="003B424F">
        <w:t xml:space="preserve"> She also sidelined the Office for Budget Responsibility </w:t>
      </w:r>
      <w:r w:rsidR="005B4380">
        <w:t xml:space="preserve">and sacked </w:t>
      </w:r>
      <w:r w:rsidR="00591795" w:rsidRPr="00591795">
        <w:t>the Permanent Secretary to the Treasury</w:t>
      </w:r>
      <w:r w:rsidR="00591795">
        <w:t>.</w:t>
      </w:r>
      <w:r w:rsidR="001F2A6F" w:rsidRPr="00D52949">
        <w:t xml:space="preserve"> Markets</w:t>
      </w:r>
      <w:r w:rsidR="00676C65" w:rsidRPr="00D52949">
        <w:t xml:space="preserve"> rejec</w:t>
      </w:r>
      <w:r w:rsidR="001F2A6F" w:rsidRPr="00D52949">
        <w:t xml:space="preserve">ted the plans on the grounds that they </w:t>
      </w:r>
      <w:r w:rsidR="00167C5D">
        <w:t xml:space="preserve">lacked </w:t>
      </w:r>
      <w:r w:rsidR="00935800">
        <w:t>consideration for the long-term sustainability of the public finances</w:t>
      </w:r>
      <w:r w:rsidR="001F2A6F" w:rsidRPr="00D52949">
        <w:t xml:space="preserve">. </w:t>
      </w:r>
    </w:p>
    <w:p w14:paraId="46BB218E" w14:textId="4AC3E325" w:rsidR="00676C65" w:rsidRPr="00D52949" w:rsidRDefault="001F2A6F" w:rsidP="00F60EBE">
      <w:r w:rsidRPr="00D52949">
        <w:t>In response, the UK saw demand for its debt drop sharply</w:t>
      </w:r>
      <w:r w:rsidR="00F172A4">
        <w:t>,</w:t>
      </w:r>
      <w:r w:rsidRPr="00D52949">
        <w:t xml:space="preserve"> with UK yields rising </w:t>
      </w:r>
      <w:r w:rsidR="006D1438" w:rsidRPr="00D52949">
        <w:t>dramatically</w:t>
      </w:r>
      <w:r w:rsidRPr="00D52949">
        <w:t xml:space="preserve"> compared to other advanced economies</w:t>
      </w:r>
      <w:r w:rsidR="000D4C4E" w:rsidRPr="00D52949">
        <w:t>. C</w:t>
      </w:r>
      <w:r w:rsidRPr="00D52949">
        <w:t xml:space="preserve">ombined with an evaporation in demand for other UK assets, sterling dropped sharply against the dollar </w:t>
      </w:r>
      <w:r w:rsidR="00F172A4">
        <w:t>and</w:t>
      </w:r>
      <w:r w:rsidRPr="00D52949">
        <w:t xml:space="preserve"> other currency pairs. </w:t>
      </w:r>
      <w:r w:rsidR="00F74FD6">
        <w:t xml:space="preserve">The effect of the fiscal announcement on gilt yields was magnified by </w:t>
      </w:r>
      <w:r w:rsidR="00F172A4" w:rsidRPr="00F172A4">
        <w:t xml:space="preserve">liability-driven investment </w:t>
      </w:r>
      <w:r w:rsidR="00F172A4">
        <w:t>(</w:t>
      </w:r>
      <w:r w:rsidR="00F74FD6">
        <w:t>LDI</w:t>
      </w:r>
      <w:r w:rsidR="00F172A4">
        <w:t>)</w:t>
      </w:r>
      <w:r w:rsidR="00F74FD6">
        <w:t xml:space="preserve"> pension funds having to sell gilts to cover margin calls</w:t>
      </w:r>
      <w:r w:rsidR="00F172A4">
        <w:t xml:space="preserve"> –</w:t>
      </w:r>
      <w:r w:rsidR="00F74FD6">
        <w:t xml:space="preserve"> </w:t>
      </w:r>
      <w:r w:rsidR="00F172A4">
        <w:t>analysis by the</w:t>
      </w:r>
      <w:r w:rsidR="00F74FD6">
        <w:t xml:space="preserve"> </w:t>
      </w:r>
      <w:hyperlink r:id="rId30" w:anchor="MatchAllWords=False" w:history="1">
        <w:r w:rsidR="00F74FD6" w:rsidRPr="00F74FD6">
          <w:rPr>
            <w:rStyle w:val="Hyperlink"/>
          </w:rPr>
          <w:t>Bank of England</w:t>
        </w:r>
      </w:hyperlink>
      <w:r w:rsidR="00F74FD6">
        <w:t xml:space="preserve"> estimat</w:t>
      </w:r>
      <w:r w:rsidR="00F172A4">
        <w:t>es</w:t>
      </w:r>
      <w:r w:rsidR="00F74FD6">
        <w:t xml:space="preserve"> the LDI fire sale explain</w:t>
      </w:r>
      <w:r w:rsidR="00F172A4">
        <w:t>ed</w:t>
      </w:r>
      <w:r w:rsidR="00F74FD6">
        <w:t xml:space="preserve"> about half </w:t>
      </w:r>
      <w:r w:rsidR="00F91825">
        <w:t xml:space="preserve">of </w:t>
      </w:r>
      <w:r w:rsidR="00F74FD6">
        <w:t xml:space="preserve">the drop in UK bond prices. </w:t>
      </w:r>
      <w:r w:rsidR="00F91825">
        <w:t>However, this amplification mechanism has s</w:t>
      </w:r>
      <w:r w:rsidR="00F74FD6">
        <w:t>ubsequent</w:t>
      </w:r>
      <w:r w:rsidR="00F91825">
        <w:t xml:space="preserve">ly been </w:t>
      </w:r>
      <w:r w:rsidR="00F172A4">
        <w:t xml:space="preserve">dampened </w:t>
      </w:r>
      <w:r w:rsidR="00F91825">
        <w:t>by</w:t>
      </w:r>
      <w:r w:rsidR="00F74FD6">
        <w:t xml:space="preserve"> </w:t>
      </w:r>
      <w:hyperlink r:id="rId31" w:history="1">
        <w:r w:rsidR="00F74FD6" w:rsidRPr="00F91825">
          <w:rPr>
            <w:rStyle w:val="Hyperlink"/>
          </w:rPr>
          <w:t>regulatory changes</w:t>
        </w:r>
      </w:hyperlink>
      <w:r w:rsidR="00F91825">
        <w:t xml:space="preserve">. </w:t>
      </w:r>
    </w:p>
    <w:p w14:paraId="1C0F9637" w14:textId="11963476" w:rsidR="001A5C91" w:rsidRPr="00D52949" w:rsidRDefault="00951F6C" w:rsidP="00F60EBE">
      <w:r w:rsidRPr="00D52949">
        <w:t>On a trade-weighted basis, t</w:t>
      </w:r>
      <w:r w:rsidR="001A5C91" w:rsidRPr="00D52949">
        <w:t>he</w:t>
      </w:r>
      <w:r w:rsidRPr="00D52949">
        <w:t xml:space="preserve"> pound dropped to its lowest level since the 2016 referendu</w:t>
      </w:r>
      <w:r w:rsidR="003821E1" w:rsidRPr="00D52949">
        <w:t>m</w:t>
      </w:r>
      <w:r w:rsidR="00F172A4">
        <w:t xml:space="preserve"> on</w:t>
      </w:r>
      <w:r w:rsidR="00F172A4" w:rsidRPr="00F172A4">
        <w:t xml:space="preserve"> </w:t>
      </w:r>
      <w:r w:rsidR="00F172A4" w:rsidRPr="00D52949">
        <w:t>EU</w:t>
      </w:r>
      <w:r w:rsidR="00F172A4">
        <w:t xml:space="preserve"> membership</w:t>
      </w:r>
      <w:r w:rsidR="003821E1" w:rsidRPr="00D52949">
        <w:t>. Although that in</w:t>
      </w:r>
      <w:r w:rsidRPr="00D52949">
        <w:t xml:space="preserve"> part reflects its relatively low starting point</w:t>
      </w:r>
      <w:r w:rsidR="003821E1" w:rsidRPr="00D52949">
        <w:t>, there were still sizable shifts in the pound's value with it falling by 4.</w:t>
      </w:r>
      <w:r w:rsidR="0011616D">
        <w:t>6</w:t>
      </w:r>
      <w:r w:rsidR="001A5C91" w:rsidRPr="00D52949">
        <w:t xml:space="preserve">% against the dollar and </w:t>
      </w:r>
      <w:r w:rsidR="003821E1" w:rsidRPr="00D52949">
        <w:t>2.8</w:t>
      </w:r>
      <w:r w:rsidR="001A5C91" w:rsidRPr="00D52949">
        <w:t>% against the euro</w:t>
      </w:r>
      <w:r w:rsidR="003821E1" w:rsidRPr="00D52949">
        <w:t>, respectively</w:t>
      </w:r>
      <w:r w:rsidR="001A5C91" w:rsidRPr="00D52949">
        <w:t xml:space="preserve">. </w:t>
      </w:r>
      <w:r w:rsidR="00F172A4">
        <w:t xml:space="preserve">However, </w:t>
      </w:r>
      <w:r w:rsidR="006912AE">
        <w:t xml:space="preserve">these moves were short-lived and within two to three weeks had largely reversed. </w:t>
      </w:r>
    </w:p>
    <w:p w14:paraId="38FD34B0" w14:textId="5DFA075E" w:rsidR="007240C2" w:rsidRPr="00D52949" w:rsidRDefault="000E1F26" w:rsidP="00EB432B">
      <w:r w:rsidRPr="00D52949">
        <w:rPr>
          <w:b/>
          <w:color w:val="003469"/>
        </w:rPr>
        <w:t>January 2025</w:t>
      </w:r>
      <w:r w:rsidR="00F172A4">
        <w:t>.</w:t>
      </w:r>
      <w:r w:rsidR="00581057" w:rsidRPr="00D52949">
        <w:t xml:space="preserve"> A second notable period of fiscal concern was at </w:t>
      </w:r>
      <w:hyperlink r:id="rId32" w:history="1">
        <w:r w:rsidR="00581057" w:rsidRPr="00416074">
          <w:rPr>
            <w:rStyle w:val="Hyperlink"/>
          </w:rPr>
          <w:t>the turn of this year</w:t>
        </w:r>
      </w:hyperlink>
      <w:r w:rsidR="00581057" w:rsidRPr="00D52949">
        <w:t xml:space="preserve">. </w:t>
      </w:r>
      <w:r w:rsidR="00F172A4">
        <w:t>T</w:t>
      </w:r>
      <w:r w:rsidR="00581057" w:rsidRPr="00D52949">
        <w:t>his time</w:t>
      </w:r>
      <w:r w:rsidR="00F172A4">
        <w:t>,</w:t>
      </w:r>
      <w:r w:rsidR="00581057" w:rsidRPr="00D52949">
        <w:t xml:space="preserve"> it was an international rather </w:t>
      </w:r>
      <w:r w:rsidR="00EB432B" w:rsidRPr="00D52949">
        <w:t xml:space="preserve">than </w:t>
      </w:r>
      <w:r w:rsidR="00F172A4" w:rsidRPr="00D52949">
        <w:t>UK</w:t>
      </w:r>
      <w:r w:rsidR="00F172A4">
        <w:t>-</w:t>
      </w:r>
      <w:r w:rsidR="00581057" w:rsidRPr="00D52949">
        <w:t xml:space="preserve">specific worry </w:t>
      </w:r>
      <w:r w:rsidR="006D1438" w:rsidRPr="00D52949">
        <w:t xml:space="preserve">that spooked financial markets, </w:t>
      </w:r>
      <w:r w:rsidR="00581057" w:rsidRPr="00D52949">
        <w:t xml:space="preserve">with gilt yields rising broadly in line with the US and by only a little more than in Germany. </w:t>
      </w:r>
    </w:p>
    <w:p w14:paraId="4FE58D9F" w14:textId="2E73CF3A" w:rsidR="003025AC" w:rsidRDefault="00F172A4" w:rsidP="00EB432B">
      <w:r>
        <w:lastRenderedPageBreak/>
        <w:t>Still</w:t>
      </w:r>
      <w:r w:rsidR="00581057" w:rsidRPr="00D52949">
        <w:t xml:space="preserve">, </w:t>
      </w:r>
      <w:r w:rsidR="00EB432B" w:rsidRPr="00D52949">
        <w:t>as a small open economy that operates government and current account deficits</w:t>
      </w:r>
      <w:r w:rsidR="004A0196">
        <w:t>,</w:t>
      </w:r>
      <w:r w:rsidR="00EB432B" w:rsidRPr="00D52949">
        <w:t xml:space="preserve"> the </w:t>
      </w:r>
      <w:r w:rsidR="004A0196">
        <w:t>UK's currency</w:t>
      </w:r>
      <w:r w:rsidR="00D47539" w:rsidRPr="00D52949">
        <w:t xml:space="preserve"> </w:t>
      </w:r>
      <w:r w:rsidR="00EB432B" w:rsidRPr="00D52949">
        <w:t xml:space="preserve">is exposed to global shifts in </w:t>
      </w:r>
      <w:r w:rsidR="00940AAD">
        <w:t xml:space="preserve">government debt </w:t>
      </w:r>
      <w:r w:rsidR="004A0196">
        <w:t xml:space="preserve">issuance </w:t>
      </w:r>
      <w:r w:rsidR="00940AAD">
        <w:t>and international demand for safe assets</w:t>
      </w:r>
      <w:r w:rsidR="00EB432B" w:rsidRPr="00D52949">
        <w:t>. So as fiscal fears mounted</w:t>
      </w:r>
      <w:r w:rsidR="004A0196">
        <w:t>,</w:t>
      </w:r>
      <w:r w:rsidR="00EB432B" w:rsidRPr="00D52949">
        <w:t xml:space="preserve"> </w:t>
      </w:r>
      <w:r w:rsidR="00D47539" w:rsidRPr="00D52949">
        <w:t>sterling</w:t>
      </w:r>
      <w:r w:rsidR="00EB432B" w:rsidRPr="00D52949">
        <w:t xml:space="preserve"> depreciated against the </w:t>
      </w:r>
      <w:r w:rsidR="00744143" w:rsidRPr="00D52949">
        <w:t xml:space="preserve">dollar </w:t>
      </w:r>
      <w:r w:rsidR="004242A3" w:rsidRPr="00D52949">
        <w:t>and the euro</w:t>
      </w:r>
      <w:r w:rsidR="004A0196">
        <w:t>,</w:t>
      </w:r>
      <w:r w:rsidR="004242A3" w:rsidRPr="00D52949">
        <w:t xml:space="preserve"> falling by around 2% against each at its January trough. </w:t>
      </w:r>
    </w:p>
    <w:p w14:paraId="6BDFC943" w14:textId="12A28DF6" w:rsidR="00DD46F3" w:rsidRPr="00D52949" w:rsidRDefault="00DD46F3" w:rsidP="00115441">
      <w:pPr>
        <w:pStyle w:val="ExhibitTitle"/>
      </w:pPr>
      <w:r w:rsidRPr="00D52949">
        <w:t xml:space="preserve">Chart </w:t>
      </w:r>
      <w:r w:rsidR="0018284E">
        <w:fldChar w:fldCharType="begin"/>
      </w:r>
      <w:r w:rsidR="00141DBE">
        <w:instrText>SEQ CHART</w:instrText>
      </w:r>
      <w:r w:rsidR="0018284E">
        <w:fldChar w:fldCharType="separate"/>
      </w:r>
      <w:r w:rsidR="00141DBE">
        <w:rPr>
          <w:noProof/>
        </w:rPr>
        <w:t>4</w:t>
      </w:r>
      <w:r w:rsidR="0018284E">
        <w:fldChar w:fldCharType="end"/>
      </w:r>
      <w:r w:rsidRPr="00D52949">
        <w:t xml:space="preserve">: </w:t>
      </w:r>
      <w:r w:rsidR="00762F40" w:rsidRPr="00A5610F">
        <w:t>Both UK-specific and international concerns have pushed up yields</w:t>
      </w:r>
    </w:p>
    <w:p w14:paraId="17A702FE" w14:textId="64298945" w:rsidR="00141DBE" w:rsidRDefault="00141DBE" w:rsidP="0011544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8841321" wp14:editId="73A80992">
            <wp:extent cx="3250933" cy="2566074"/>
            <wp:effectExtent l="0" t="0" r="6985" b="5715"/>
            <wp:docPr id="304730485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30485" name="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7D596" w14:textId="6D40A0BC" w:rsidR="0076450C" w:rsidRPr="00D52949" w:rsidRDefault="00141DBE" w:rsidP="00115441">
      <w:pPr>
        <w:pStyle w:val="ExhibitSource"/>
      </w:pPr>
      <w:r>
        <w:t>Source</w:t>
      </w:r>
      <w:r w:rsidR="00641EC7">
        <w:t>s</w:t>
      </w:r>
      <w:r>
        <w:t>: Oxford Economics, Haver Analytics</w:t>
      </w:r>
    </w:p>
    <w:p w14:paraId="03E2185E" w14:textId="16A4D5A5" w:rsidR="003B7EF7" w:rsidRPr="00D52949" w:rsidRDefault="004A0196" w:rsidP="00115441">
      <w:pPr>
        <w:pStyle w:val="Heading3"/>
      </w:pPr>
      <w:r>
        <w:t>A</w:t>
      </w:r>
      <w:r w:rsidRPr="00D52949">
        <w:t xml:space="preserve"> </w:t>
      </w:r>
      <w:r w:rsidR="003B7EF7" w:rsidRPr="00D52949">
        <w:t>hit to the currency</w:t>
      </w:r>
      <w:r>
        <w:t xml:space="preserve"> would have a</w:t>
      </w:r>
      <w:r w:rsidRPr="00D52949">
        <w:t xml:space="preserve"> </w:t>
      </w:r>
      <w:r w:rsidR="00BF5773" w:rsidRPr="00D52949">
        <w:t>stag</w:t>
      </w:r>
      <w:r w:rsidR="00A0091B" w:rsidRPr="00D52949">
        <w:t>f</w:t>
      </w:r>
      <w:r w:rsidR="00BF5773" w:rsidRPr="00D52949">
        <w:t>lationary</w:t>
      </w:r>
      <w:r w:rsidR="003B7EF7" w:rsidRPr="00D52949">
        <w:t xml:space="preserve"> </w:t>
      </w:r>
      <w:r>
        <w:t>effect</w:t>
      </w:r>
      <w:r w:rsidRPr="00D52949">
        <w:t xml:space="preserve"> </w:t>
      </w:r>
      <w:r w:rsidR="003B7EF7" w:rsidRPr="00D52949">
        <w:t xml:space="preserve">on the outlook </w:t>
      </w:r>
    </w:p>
    <w:p w14:paraId="771D2E04" w14:textId="4001FF35" w:rsidR="006D1438" w:rsidRPr="00D52949" w:rsidRDefault="000D41CF" w:rsidP="00EB432B">
      <w:r w:rsidRPr="00D52949">
        <w:t xml:space="preserve">If the pound were to come under pressure, then the impact </w:t>
      </w:r>
      <w:r w:rsidR="004A0196" w:rsidRPr="00D52949">
        <w:t>on the sterling</w:t>
      </w:r>
      <w:r w:rsidR="004A0196">
        <w:t>-</w:t>
      </w:r>
      <w:r w:rsidR="004A0196" w:rsidRPr="00D52949">
        <w:t xml:space="preserve">dollar exchange rate </w:t>
      </w:r>
      <w:r w:rsidRPr="00D52949">
        <w:t>could be quite large</w:t>
      </w:r>
      <w:r w:rsidR="004A0196">
        <w:t>,</w:t>
      </w:r>
      <w:r w:rsidRPr="00D52949">
        <w:t xml:space="preserve"> </w:t>
      </w:r>
      <w:r w:rsidR="00A0091B" w:rsidRPr="00D52949">
        <w:t>generat</w:t>
      </w:r>
      <w:r w:rsidR="004A0196">
        <w:t>ing</w:t>
      </w:r>
      <w:r w:rsidR="00A0091B" w:rsidRPr="00D52949">
        <w:t xml:space="preserve"> additional inflation with little growth</w:t>
      </w:r>
      <w:r w:rsidRPr="00D52949">
        <w:t xml:space="preserve">. </w:t>
      </w:r>
    </w:p>
    <w:p w14:paraId="05C94397" w14:textId="0D156BE7" w:rsidR="000E2150" w:rsidRPr="00D52949" w:rsidRDefault="000E2150" w:rsidP="00EB432B">
      <w:r w:rsidRPr="00D52949">
        <w:t xml:space="preserve">As our </w:t>
      </w:r>
      <w:hyperlink r:id="rId35" w:history="1">
        <w:r w:rsidRPr="00C72EF1">
          <w:rPr>
            <w:rStyle w:val="Hyperlink"/>
          </w:rPr>
          <w:t>strategy colleagues have noted</w:t>
        </w:r>
      </w:hyperlink>
      <w:r w:rsidRPr="00D52949">
        <w:t xml:space="preserve">, given the UK's challenging fiscal backdrop there is a risk that GBP/USD falls into a 1.25-1.30 range, which would be around a 5% depreciation compared to our baseline forecast. </w:t>
      </w:r>
      <w:r w:rsidR="004A0196">
        <w:t>While</w:t>
      </w:r>
      <w:r w:rsidR="000D41CF" w:rsidRPr="00D52949">
        <w:t xml:space="preserve"> </w:t>
      </w:r>
      <w:r w:rsidRPr="00D52949">
        <w:t>this would be quite a large shift in the dollar, it wouldn</w:t>
      </w:r>
      <w:r w:rsidR="004A0196">
        <w:t>'</w:t>
      </w:r>
      <w:r w:rsidRPr="00D52949">
        <w:t xml:space="preserve">t take it back to a particularly low </w:t>
      </w:r>
      <w:r w:rsidR="000D41CF" w:rsidRPr="00D52949">
        <w:t>level</w:t>
      </w:r>
      <w:r w:rsidR="004A0196">
        <w:t>;</w:t>
      </w:r>
      <w:r w:rsidR="000D41CF" w:rsidRPr="00D52949">
        <w:t xml:space="preserve"> </w:t>
      </w:r>
      <w:r w:rsidR="004A0196">
        <w:t xml:space="preserve">rather it would </w:t>
      </w:r>
      <w:r w:rsidR="000D41CF" w:rsidRPr="00D52949">
        <w:t>only revers</w:t>
      </w:r>
      <w:r w:rsidR="004A0196">
        <w:t>e</w:t>
      </w:r>
      <w:r w:rsidR="000D41CF" w:rsidRPr="00D52949">
        <w:t xml:space="preserve"> the increase we've seen over 2025. T</w:t>
      </w:r>
      <w:r w:rsidRPr="00D52949">
        <w:t>he exchange rate</w:t>
      </w:r>
      <w:r w:rsidR="000D41CF" w:rsidRPr="00D52949">
        <w:t xml:space="preserve"> averaged</w:t>
      </w:r>
      <w:r w:rsidRPr="00D52949">
        <w:t xml:space="preserve"> 1.28 over 2024. </w:t>
      </w:r>
    </w:p>
    <w:p w14:paraId="1CDA9768" w14:textId="6F895D2D" w:rsidR="00856375" w:rsidRDefault="00A60AD7" w:rsidP="00773F76">
      <w:r>
        <w:t xml:space="preserve">By itself a </w:t>
      </w:r>
      <w:r w:rsidR="00856375">
        <w:t xml:space="preserve">depreciation would support </w:t>
      </w:r>
      <w:r w:rsidR="00A0091B" w:rsidRPr="00D52949">
        <w:t>growth</w:t>
      </w:r>
      <w:r w:rsidR="004A0196">
        <w:t>,</w:t>
      </w:r>
      <w:r w:rsidR="00A0091B" w:rsidRPr="00D52949">
        <w:t xml:space="preserve"> as the boost from more price competitive exports</w:t>
      </w:r>
      <w:r w:rsidR="00856375">
        <w:t xml:space="preserve"> would</w:t>
      </w:r>
      <w:r w:rsidR="00A0091B" w:rsidRPr="00D52949">
        <w:t xml:space="preserve"> outweigh the impact that higher import prices would have on inflation and real incomes.</w:t>
      </w:r>
      <w:r w:rsidR="00E55E63">
        <w:t xml:space="preserve"> But</w:t>
      </w:r>
      <w:r w:rsidR="00856375">
        <w:t xml:space="preserve"> in the event of fiscal concerns driving a sterling depreciation</w:t>
      </w:r>
      <w:r w:rsidR="004A0196">
        <w:t>,</w:t>
      </w:r>
      <w:r w:rsidR="00856375">
        <w:t xml:space="preserve"> it would be </w:t>
      </w:r>
      <w:r w:rsidR="004A0196">
        <w:t xml:space="preserve">accompanied </w:t>
      </w:r>
      <w:r w:rsidR="00856375">
        <w:t xml:space="preserve">by higher bond yields as investors shun UK debt. </w:t>
      </w:r>
      <w:r>
        <w:t xml:space="preserve">If the move in bond yields was of similar size to January 2025, then </w:t>
      </w:r>
      <w:r w:rsidR="004A0196">
        <w:t xml:space="preserve">analysis using </w:t>
      </w:r>
      <w:r>
        <w:t xml:space="preserve">our </w:t>
      </w:r>
      <w:hyperlink r:id="rId36" w:history="1">
        <w:r w:rsidRPr="00D52949">
          <w:rPr>
            <w:rStyle w:val="Hyperlink"/>
          </w:rPr>
          <w:t>Global Economic Model</w:t>
        </w:r>
      </w:hyperlink>
      <w:r w:rsidRPr="00D52949">
        <w:t xml:space="preserve"> indicates that</w:t>
      </w:r>
      <w:r>
        <w:t xml:space="preserve"> the</w:t>
      </w:r>
      <w:r w:rsidR="00B26BF6">
        <w:t xml:space="preserve"> tightening in financial conditions could offset any potential growth benefit</w:t>
      </w:r>
      <w:r w:rsidR="004A0196">
        <w:t>,</w:t>
      </w:r>
      <w:r w:rsidR="00B26BF6">
        <w:t xml:space="preserve"> with little impact on the </w:t>
      </w:r>
      <w:r w:rsidR="004A0196">
        <w:t>import-</w:t>
      </w:r>
      <w:r w:rsidR="00B26BF6">
        <w:t xml:space="preserve">driven </w:t>
      </w:r>
      <w:r w:rsidR="00BB1512">
        <w:t xml:space="preserve">boost to inflation. The net effect would </w:t>
      </w:r>
      <w:r w:rsidR="00B26BF6">
        <w:t>leav</w:t>
      </w:r>
      <w:r w:rsidR="00BB1512">
        <w:t>e</w:t>
      </w:r>
      <w:r w:rsidR="00B26BF6">
        <w:t xml:space="preserve"> the UK government having to deal with a </w:t>
      </w:r>
      <w:r w:rsidR="004A0196">
        <w:t xml:space="preserve">slightly </w:t>
      </w:r>
      <w:r w:rsidR="00B26BF6">
        <w:t>more</w:t>
      </w:r>
      <w:r w:rsidR="00BB1512">
        <w:t xml:space="preserve"> </w:t>
      </w:r>
      <w:r w:rsidR="00B26BF6">
        <w:t>stagflationary backdrop.</w:t>
      </w:r>
      <w:r w:rsidR="00BB1512">
        <w:t xml:space="preserve"> We will look at a more detailed scenario for the Budget in an upcoming note.</w:t>
      </w:r>
    </w:p>
    <w:p w14:paraId="502BD71C" w14:textId="455619A2" w:rsidR="003025AC" w:rsidRDefault="00B74C80" w:rsidP="00B74C80">
      <w:r>
        <w:t xml:space="preserve">However, market conditions that have </w:t>
      </w:r>
      <w:r w:rsidR="004A0196">
        <w:t xml:space="preserve">entailed </w:t>
      </w:r>
      <w:r>
        <w:t xml:space="preserve">a marked rise in gilt yields and </w:t>
      </w:r>
      <w:r w:rsidR="0046775A">
        <w:t>a significant</w:t>
      </w:r>
      <w:r>
        <w:t xml:space="preserve"> currency depreciation have been uncommon</w:t>
      </w:r>
      <w:r w:rsidR="0046775A">
        <w:t xml:space="preserve"> (</w:t>
      </w:r>
      <w:r w:rsidR="0046775A" w:rsidRPr="0046775A">
        <w:rPr>
          <w:b/>
          <w:color w:val="003469"/>
        </w:rPr>
        <w:t>Chart 5</w:t>
      </w:r>
      <w:r w:rsidR="0046775A">
        <w:t>).</w:t>
      </w:r>
      <w:r>
        <w:t xml:space="preserve"> </w:t>
      </w:r>
      <w:r w:rsidR="004A0196">
        <w:t>I</w:t>
      </w:r>
      <w:r>
        <w:t xml:space="preserve">ndeed, these </w:t>
      </w:r>
      <w:r w:rsidR="0046775A">
        <w:t xml:space="preserve">market </w:t>
      </w:r>
      <w:r>
        <w:t xml:space="preserve">events, such as the case studies we </w:t>
      </w:r>
      <w:r w:rsidR="004A0196">
        <w:t>examined above</w:t>
      </w:r>
      <w:r>
        <w:t xml:space="preserve">, have typically </w:t>
      </w:r>
      <w:r w:rsidR="004A0196">
        <w:t xml:space="preserve">led to </w:t>
      </w:r>
      <w:r>
        <w:t xml:space="preserve">either interventions or changes in conditions that </w:t>
      </w:r>
      <w:r w:rsidR="003F0DDB">
        <w:t xml:space="preserve">have caused the </w:t>
      </w:r>
      <w:r w:rsidR="0046775A">
        <w:t xml:space="preserve">large </w:t>
      </w:r>
      <w:r w:rsidR="003F0DDB">
        <w:t>price moves to retrace within a couple of weeks.</w:t>
      </w:r>
    </w:p>
    <w:p w14:paraId="24D6A4BD" w14:textId="10141710" w:rsidR="00B74C80" w:rsidRPr="00D52949" w:rsidRDefault="00B74C80" w:rsidP="00115441">
      <w:pPr>
        <w:pStyle w:val="ExhibitTitle"/>
      </w:pPr>
      <w:r w:rsidRPr="00D52949">
        <w:lastRenderedPageBreak/>
        <w:t xml:space="preserve">Chart </w:t>
      </w:r>
      <w:r w:rsidR="0018284E">
        <w:fldChar w:fldCharType="begin"/>
      </w:r>
      <w:r w:rsidR="0018284E">
        <w:instrText>SEQ CHART</w:instrText>
      </w:r>
      <w:r w:rsidR="0018284E">
        <w:fldChar w:fldCharType="separate"/>
      </w:r>
      <w:r w:rsidR="00141DBE">
        <w:rPr>
          <w:noProof/>
        </w:rPr>
        <w:t>5</w:t>
      </w:r>
      <w:r w:rsidR="0018284E">
        <w:fldChar w:fldCharType="end"/>
      </w:r>
      <w:r w:rsidRPr="00D52949">
        <w:t xml:space="preserve">: </w:t>
      </w:r>
      <w:r w:rsidR="00762F40">
        <w:t>Large increases in gilts yields accompanied by a depreciation have been relatively uncommon</w:t>
      </w:r>
    </w:p>
    <w:p w14:paraId="378C5DDF" w14:textId="78994562" w:rsidR="00A03E17" w:rsidRDefault="00A03E17" w:rsidP="00115441">
      <w:pPr>
        <w:spacing w:after="0"/>
        <w:rPr>
          <w:noProof/>
        </w:rPr>
      </w:pPr>
      <w:r>
        <w:rPr>
          <w:noProof/>
        </w:rPr>
        <w:drawing>
          <wp:inline distT="0" distB="0" distL="0" distR="0" wp14:anchorId="2B07BC29" wp14:editId="3923659D">
            <wp:extent cx="3250933" cy="2566074"/>
            <wp:effectExtent l="0" t="0" r="6985" b="5715"/>
            <wp:docPr id="2102432077" name="Graphic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432077" name="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rcRect b="1258"/>
                    <a:stretch>
                      <a:fillRect/>
                    </a:stretch>
                  </pic:blipFill>
                  <pic:spPr>
                    <a:xfrm>
                      <a:off x="0" y="0"/>
                      <a:ext cx="3250933" cy="256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99722" w14:textId="041CD98E" w:rsidR="003025AC" w:rsidRDefault="00A03E17" w:rsidP="00115441">
      <w:pPr>
        <w:pStyle w:val="ExhibitSource"/>
      </w:pPr>
      <w:r>
        <w:t>Sources: Oxford Economics, Haver Analytics</w:t>
      </w:r>
    </w:p>
    <w:p w14:paraId="4B1F65AA" w14:textId="2FC0DB45" w:rsidR="00021152" w:rsidRPr="00D52949" w:rsidRDefault="00A5610F" w:rsidP="00115441">
      <w:pPr>
        <w:pStyle w:val="Heading3"/>
      </w:pPr>
      <w:r>
        <w:t>Currency risk</w:t>
      </w:r>
      <w:r w:rsidRPr="00D52949">
        <w:t xml:space="preserve"> </w:t>
      </w:r>
      <w:r w:rsidR="00CE0A81" w:rsidRPr="00D52949">
        <w:t xml:space="preserve">may not be top of the list, but should be kept in mind </w:t>
      </w:r>
    </w:p>
    <w:p w14:paraId="56149B06" w14:textId="3BCC0303" w:rsidR="006222F3" w:rsidRPr="00D52949" w:rsidRDefault="006222F3" w:rsidP="00021152">
      <w:r w:rsidRPr="00D52949">
        <w:t xml:space="preserve">Ultimately, there are much bigger forces than the currency that will determine the </w:t>
      </w:r>
      <w:hyperlink r:id="rId39" w:history="1">
        <w:r w:rsidRPr="00917453">
          <w:rPr>
            <w:rStyle w:val="Hyperlink"/>
          </w:rPr>
          <w:t>UK outlook</w:t>
        </w:r>
      </w:hyperlink>
      <w:r w:rsidRPr="00D52949">
        <w:t xml:space="preserve"> over the coming years</w:t>
      </w:r>
      <w:r w:rsidR="00A5610F">
        <w:t>.</w:t>
      </w:r>
      <w:r w:rsidRPr="00D52949">
        <w:t xml:space="preserve"> </w:t>
      </w:r>
      <w:r w:rsidR="00A5610F">
        <w:t>B</w:t>
      </w:r>
      <w:r w:rsidRPr="00D52949">
        <w:t xml:space="preserve">ut it has the scope to make an already difficult situation worse if </w:t>
      </w:r>
      <w:r w:rsidR="00A5610F">
        <w:t>sterling's</w:t>
      </w:r>
      <w:r w:rsidR="00A5610F" w:rsidRPr="00D52949">
        <w:t xml:space="preserve"> </w:t>
      </w:r>
      <w:r w:rsidRPr="00D52949">
        <w:t xml:space="preserve">potential fragility is </w:t>
      </w:r>
      <w:r w:rsidR="00A5610F">
        <w:t>disregarded</w:t>
      </w:r>
      <w:r w:rsidRPr="00D52949">
        <w:t xml:space="preserve">. </w:t>
      </w:r>
      <w:r w:rsidR="00977460">
        <w:t xml:space="preserve">A sharp deterioration in the currency could </w:t>
      </w:r>
      <w:r w:rsidR="00A5610F">
        <w:t xml:space="preserve">pressure </w:t>
      </w:r>
      <w:r w:rsidR="00977460">
        <w:t>fiscal policymakers to tighten policy further in a bid to convince markets that they're serious about keeping the public finances on a sustainable footing</w:t>
      </w:r>
      <w:r w:rsidR="00A5610F">
        <w:t>.</w:t>
      </w:r>
      <w:r w:rsidR="00977460">
        <w:t xml:space="preserve"> </w:t>
      </w:r>
      <w:r w:rsidR="00A5610F">
        <w:t>That</w:t>
      </w:r>
      <w:r w:rsidR="00977460">
        <w:t xml:space="preserve"> </w:t>
      </w:r>
      <w:r w:rsidR="00A5610F">
        <w:t>w</w:t>
      </w:r>
      <w:r w:rsidR="00977460">
        <w:t>ould have a more material impact on the outlook.</w:t>
      </w:r>
    </w:p>
    <w:sectPr w:rsidR="006222F3" w:rsidRPr="00D52949" w:rsidSect="00FF5897">
      <w:pgSz w:w="11906" w:h="16838"/>
      <w:pgMar w:top="1417" w:right="1276" w:bottom="838" w:left="1134" w:header="198" w:footer="44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675FF" w14:textId="77777777" w:rsidR="00867224" w:rsidRDefault="00867224" w:rsidP="00AF640C">
      <w:pPr>
        <w:spacing w:before="0" w:after="0"/>
      </w:pPr>
      <w:r>
        <w:separator/>
      </w:r>
    </w:p>
  </w:endnote>
  <w:endnote w:type="continuationSeparator" w:id="0">
    <w:p w14:paraId="67038DF9" w14:textId="77777777" w:rsidR="00867224" w:rsidRDefault="00867224" w:rsidP="00AF640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4661AE" w14:textId="697B8414" w:rsidR="00AF640C" w:rsidRPr="00AF640C" w:rsidRDefault="00AF640C" w:rsidP="00AF640C">
    <w:pPr>
      <w:pStyle w:val="RepeatingFooter"/>
      <w:tabs>
        <w:tab w:val="clear" w:pos="4320"/>
        <w:tab w:val="center" w:pos="3685"/>
      </w:tabs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>
      <w:rPr>
        <w:noProof/>
      </w:rPr>
      <w:t>2</w:t>
    </w:r>
    <w:r>
      <w:fldChar w:fldCharType="end"/>
    </w:r>
    <w:r>
      <w:tab/>
      <w:t>Edward Allenby - eallenby@oxfordeconomics.com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49BB8" w14:textId="319B7010" w:rsidR="00AF640C" w:rsidRDefault="00AF640C" w:rsidP="00AF640C">
    <w:pPr>
      <w:pStyle w:val="Author"/>
    </w:pPr>
    <w:r>
      <w:t>Edward Allenby</w:t>
    </w:r>
    <w:r w:rsidR="00115441">
      <w:t xml:space="preserve"> - </w:t>
    </w:r>
    <w:r w:rsidR="008411C9">
      <w:t xml:space="preserve">Senior </w:t>
    </w:r>
    <w:r>
      <w:t>UK Economist</w:t>
    </w:r>
    <w:r w:rsidR="00115441">
      <w:t xml:space="preserve"> - </w:t>
    </w:r>
    <w:r>
      <w:t>eallenby@oxfordeconomics.com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EEAD3" w14:textId="77777777" w:rsidR="00867224" w:rsidRDefault="00867224" w:rsidP="00AF640C">
      <w:pPr>
        <w:spacing w:before="0" w:after="0"/>
      </w:pPr>
      <w:r>
        <w:separator/>
      </w:r>
    </w:p>
  </w:footnote>
  <w:footnote w:type="continuationSeparator" w:id="0">
    <w:p w14:paraId="220C934D" w14:textId="77777777" w:rsidR="00867224" w:rsidRDefault="00867224" w:rsidP="00AF640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F4BB" w14:textId="77777777" w:rsidR="00AF640C" w:rsidRDefault="00AF640C">
    <w:pPr>
      <w:spacing w:before="0"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52F81" w14:textId="30FA725C" w:rsidR="00AF640C" w:rsidRDefault="00AF640C" w:rsidP="00773F76">
    <w:pPr>
      <w:pStyle w:val="Headline"/>
    </w:pPr>
    <w:r w:rsidRPr="00AF640C">
      <w:rPr>
        <w:b w:val="0"/>
        <w:bCs w:val="0"/>
        <w:noProof/>
      </w:rPr>
      <w:drawing>
        <wp:anchor distT="0" distB="0" distL="114300" distR="114300" simplePos="0" relativeHeight="251658239" behindDoc="1" locked="1" layoutInCell="1" allowOverlap="1" wp14:anchorId="31E3B5AE" wp14:editId="07566C47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53325" cy="10658475"/>
          <wp:effectExtent l="0" t="0" r="9525" b="9525"/>
          <wp:wrapNone/>
          <wp:docPr id="23" name="Picture 5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3325" cy="106584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A27E3">
      <w:t xml:space="preserve">Fiscal </w:t>
    </w:r>
    <w:r w:rsidR="005A27E3" w:rsidRPr="005A27E3">
      <w:t>fragility could reveal sterling's vulnerability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AEF92" w14:textId="27DE1BB2" w:rsidR="00AF640C" w:rsidRDefault="00AF640C" w:rsidP="00AF640C">
    <w:r w:rsidRPr="00AF640C">
      <w:rPr>
        <w:noProof/>
      </w:rPr>
      <w:drawing>
        <wp:anchor distT="0" distB="0" distL="114300" distR="114300" simplePos="0" relativeHeight="251659264" behindDoc="1" locked="1" layoutInCell="1" allowOverlap="1" wp14:anchorId="0ED94300" wp14:editId="663A633C">
          <wp:simplePos x="0" y="0"/>
          <wp:positionH relativeFrom="page">
            <wp:posOffset>0</wp:posOffset>
          </wp:positionH>
          <wp:positionV relativeFrom="page">
            <wp:posOffset>190500</wp:posOffset>
          </wp:positionV>
          <wp:extent cx="7569200" cy="1503667"/>
          <wp:effectExtent l="0" t="0" r="0" b="1905"/>
          <wp:wrapNone/>
          <wp:docPr id="15" name="Picture 6" descr="Shape, rectang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Picture 15" descr="Shape, rectangl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150366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sdt>
    <w:sdtPr>
      <w:id w:val="540947891"/>
      <w:lock w:val="sdtLocked"/>
      <w:placeholder>
        <w:docPart w:val="DefaultPlaceholder_-1854013437"/>
      </w:placeholder>
      <w:date w:fullDate="2025-09-25T00:00:00Z">
        <w:dateFormat w:val="d MMMM yyyy"/>
        <w:lid w:val="en-GB"/>
        <w:storeMappedDataAs w:val="dateTime"/>
        <w:calendar w:val="gregorian"/>
      </w:date>
    </w:sdtPr>
    <w:sdtEndPr/>
    <w:sdtContent>
      <w:p w14:paraId="4A9BEC5D" w14:textId="196D83CE" w:rsidR="00AF640C" w:rsidRPr="00AF640C" w:rsidRDefault="008D793E" w:rsidP="00AF640C">
        <w:pPr>
          <w:pStyle w:val="PublishDate"/>
          <w:framePr w:w="2835" w:h="340" w:hRule="exact" w:hSpace="180" w:wrap="around" w:vAnchor="page" w:hAnchor="page" w:x="7801" w:y="601" w:anchorLock="1"/>
        </w:pPr>
        <w:r>
          <w:t>25</w:t>
        </w:r>
        <w:r w:rsidR="00AF640C">
          <w:t xml:space="preserve"> </w:t>
        </w:r>
        <w:r w:rsidR="00D872CB">
          <w:t>September</w:t>
        </w:r>
        <w:r w:rsidR="00AF640C">
          <w:t xml:space="preserve"> 2025</w:t>
        </w:r>
      </w:p>
    </w:sdtContent>
  </w:sdt>
  <w:p w14:paraId="7D7940A4" w14:textId="3625B481" w:rsidR="00AF640C" w:rsidRDefault="00AF640C" w:rsidP="00AF640C">
    <w:pPr>
      <w:pStyle w:val="ProductDescription"/>
      <w:framePr w:w="11339" w:h="1474" w:hRule="exact" w:hSpace="180" w:wrap="around" w:vAnchor="page" w:hAnchor="page" w:x="401" w:y="1141" w:anchorLock="1"/>
      <w:spacing w:after="200"/>
    </w:pPr>
    <w:r>
      <w:t>Research Briefing | UK</w:t>
    </w:r>
  </w:p>
  <w:p w14:paraId="3640DB90" w14:textId="5DBFB287" w:rsidR="00AF640C" w:rsidRDefault="00AF7167" w:rsidP="00AF640C">
    <w:pPr>
      <w:pStyle w:val="Headline"/>
      <w:framePr w:w="11339" w:h="1474" w:hRule="exact" w:hSpace="180" w:wrap="around" w:vAnchor="page" w:hAnchor="page" w:x="401" w:y="1141" w:anchorLock="1"/>
      <w:spacing w:line="200" w:lineRule="auto"/>
    </w:pPr>
    <w:r>
      <w:t>Fiscal fragility could reveal sterling's vulnerability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32AF"/>
    <w:multiLevelType w:val="multilevel"/>
    <w:tmpl w:val="85241874"/>
    <w:lvl w:ilvl="0">
      <w:start w:val="1"/>
      <w:numFmt w:val="bullet"/>
      <w:pStyle w:val="BodyBullet"/>
      <w:lvlText w:val=""/>
      <w:lvlJc w:val="left"/>
      <w:pPr>
        <w:ind w:left="284" w:hanging="284"/>
      </w:pPr>
      <w:rPr>
        <w:rFonts w:ascii="Wingdings" w:hAnsi="Wingdings" w:hint="default"/>
        <w:sz w:val="28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00C94C9E"/>
    <w:multiLevelType w:val="hybridMultilevel"/>
    <w:tmpl w:val="EAAA1E9E"/>
    <w:lvl w:ilvl="0" w:tplc="F766AABE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color w:val="D86DCB" w:themeColor="accent5" w:themeTint="99"/>
        <w:sz w:val="20"/>
        <w:u w:val="none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8D3E6D"/>
    <w:multiLevelType w:val="hybridMultilevel"/>
    <w:tmpl w:val="9370A748"/>
    <w:lvl w:ilvl="0" w:tplc="5528530E">
      <w:start w:val="1"/>
      <w:numFmt w:val="bullet"/>
      <w:pStyle w:val="Bullet"/>
      <w:lvlText w:val=""/>
      <w:lvlJc w:val="left"/>
      <w:pPr>
        <w:ind w:left="360" w:hanging="360"/>
      </w:pPr>
      <w:rPr>
        <w:rFonts w:ascii="Wingdings" w:hAnsi="Wingdings" w:hint="default"/>
        <w:color w:val="92CDDC"/>
        <w:sz w:val="20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3"/>
  </w:num>
  <w:num w:numId="2" w16cid:durableId="2074311132">
    <w:abstractNumId w:val="1"/>
  </w:num>
  <w:num w:numId="3" w16cid:durableId="1590693657">
    <w:abstractNumId w:val="4"/>
  </w:num>
  <w:num w:numId="4" w16cid:durableId="1590037850">
    <w:abstractNumId w:val="0"/>
  </w:num>
  <w:num w:numId="5" w16cid:durableId="5543199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cumentProtection w:formatting="1" w:enforcement="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0C"/>
    <w:rsid w:val="0000580E"/>
    <w:rsid w:val="0001071B"/>
    <w:rsid w:val="00015D60"/>
    <w:rsid w:val="00021152"/>
    <w:rsid w:val="000378E7"/>
    <w:rsid w:val="00042726"/>
    <w:rsid w:val="0004728E"/>
    <w:rsid w:val="00054052"/>
    <w:rsid w:val="0006382D"/>
    <w:rsid w:val="00081633"/>
    <w:rsid w:val="00081D04"/>
    <w:rsid w:val="000927AB"/>
    <w:rsid w:val="00093E3A"/>
    <w:rsid w:val="000A16B9"/>
    <w:rsid w:val="000A7CDD"/>
    <w:rsid w:val="000C73AC"/>
    <w:rsid w:val="000D41CF"/>
    <w:rsid w:val="000D4C4E"/>
    <w:rsid w:val="000D76E8"/>
    <w:rsid w:val="000E1F26"/>
    <w:rsid w:val="000E2150"/>
    <w:rsid w:val="000F1E1D"/>
    <w:rsid w:val="000F53BF"/>
    <w:rsid w:val="001018BF"/>
    <w:rsid w:val="00101ABD"/>
    <w:rsid w:val="00115441"/>
    <w:rsid w:val="0011616D"/>
    <w:rsid w:val="00123B04"/>
    <w:rsid w:val="00131710"/>
    <w:rsid w:val="00135C33"/>
    <w:rsid w:val="00137D6A"/>
    <w:rsid w:val="00141DBE"/>
    <w:rsid w:val="001461FE"/>
    <w:rsid w:val="00166D7F"/>
    <w:rsid w:val="00167C5D"/>
    <w:rsid w:val="001734F0"/>
    <w:rsid w:val="00174EF3"/>
    <w:rsid w:val="0018284E"/>
    <w:rsid w:val="001862F3"/>
    <w:rsid w:val="001919B1"/>
    <w:rsid w:val="00196728"/>
    <w:rsid w:val="001A5C91"/>
    <w:rsid w:val="001A6950"/>
    <w:rsid w:val="001B164A"/>
    <w:rsid w:val="001B1E69"/>
    <w:rsid w:val="001C3245"/>
    <w:rsid w:val="001C5BF2"/>
    <w:rsid w:val="001D5058"/>
    <w:rsid w:val="001E0A10"/>
    <w:rsid w:val="001F2A6F"/>
    <w:rsid w:val="002078F2"/>
    <w:rsid w:val="002114A5"/>
    <w:rsid w:val="002168B7"/>
    <w:rsid w:val="00226384"/>
    <w:rsid w:val="00226E00"/>
    <w:rsid w:val="0023291A"/>
    <w:rsid w:val="00243BBA"/>
    <w:rsid w:val="00244672"/>
    <w:rsid w:val="00247578"/>
    <w:rsid w:val="00247981"/>
    <w:rsid w:val="002623A0"/>
    <w:rsid w:val="00262FAD"/>
    <w:rsid w:val="00263FF1"/>
    <w:rsid w:val="00280F03"/>
    <w:rsid w:val="002915B8"/>
    <w:rsid w:val="002E6DC6"/>
    <w:rsid w:val="003025AC"/>
    <w:rsid w:val="003029A0"/>
    <w:rsid w:val="003057E5"/>
    <w:rsid w:val="0031454F"/>
    <w:rsid w:val="0033448A"/>
    <w:rsid w:val="00354679"/>
    <w:rsid w:val="00355968"/>
    <w:rsid w:val="003717AB"/>
    <w:rsid w:val="00377246"/>
    <w:rsid w:val="003821E1"/>
    <w:rsid w:val="003901B5"/>
    <w:rsid w:val="0039371A"/>
    <w:rsid w:val="003B000A"/>
    <w:rsid w:val="003B258B"/>
    <w:rsid w:val="003B424F"/>
    <w:rsid w:val="003B7EF7"/>
    <w:rsid w:val="003C485C"/>
    <w:rsid w:val="003D2CD1"/>
    <w:rsid w:val="003E7D39"/>
    <w:rsid w:val="003F0DDB"/>
    <w:rsid w:val="003F2044"/>
    <w:rsid w:val="003F5DD4"/>
    <w:rsid w:val="00400693"/>
    <w:rsid w:val="00402A6E"/>
    <w:rsid w:val="004057BB"/>
    <w:rsid w:val="00413408"/>
    <w:rsid w:val="00416074"/>
    <w:rsid w:val="004216A0"/>
    <w:rsid w:val="0042184F"/>
    <w:rsid w:val="00421D21"/>
    <w:rsid w:val="004242A3"/>
    <w:rsid w:val="0042792B"/>
    <w:rsid w:val="004302DE"/>
    <w:rsid w:val="00441C3E"/>
    <w:rsid w:val="00450242"/>
    <w:rsid w:val="004509E6"/>
    <w:rsid w:val="00464C68"/>
    <w:rsid w:val="0046775A"/>
    <w:rsid w:val="004712AE"/>
    <w:rsid w:val="00485C38"/>
    <w:rsid w:val="00487A31"/>
    <w:rsid w:val="00493D26"/>
    <w:rsid w:val="004A0196"/>
    <w:rsid w:val="004A2543"/>
    <w:rsid w:val="004A38F8"/>
    <w:rsid w:val="004B44F4"/>
    <w:rsid w:val="004C0A47"/>
    <w:rsid w:val="004C59B0"/>
    <w:rsid w:val="004D5C37"/>
    <w:rsid w:val="004E4F25"/>
    <w:rsid w:val="004E65BC"/>
    <w:rsid w:val="004F42A6"/>
    <w:rsid w:val="004F7382"/>
    <w:rsid w:val="005006B6"/>
    <w:rsid w:val="00501873"/>
    <w:rsid w:val="0051128E"/>
    <w:rsid w:val="00514DB5"/>
    <w:rsid w:val="0054557A"/>
    <w:rsid w:val="00553320"/>
    <w:rsid w:val="005566E5"/>
    <w:rsid w:val="0056398C"/>
    <w:rsid w:val="00567FCF"/>
    <w:rsid w:val="00572743"/>
    <w:rsid w:val="00575165"/>
    <w:rsid w:val="00580523"/>
    <w:rsid w:val="00581057"/>
    <w:rsid w:val="00591675"/>
    <w:rsid w:val="00591795"/>
    <w:rsid w:val="00594336"/>
    <w:rsid w:val="005A23D7"/>
    <w:rsid w:val="005A27E3"/>
    <w:rsid w:val="005A47FF"/>
    <w:rsid w:val="005A7092"/>
    <w:rsid w:val="005A7905"/>
    <w:rsid w:val="005B419D"/>
    <w:rsid w:val="005B4380"/>
    <w:rsid w:val="005D1ADC"/>
    <w:rsid w:val="005D6DA3"/>
    <w:rsid w:val="005E06BB"/>
    <w:rsid w:val="00605987"/>
    <w:rsid w:val="006222F3"/>
    <w:rsid w:val="00623354"/>
    <w:rsid w:val="0062427A"/>
    <w:rsid w:val="0063642A"/>
    <w:rsid w:val="00641EC7"/>
    <w:rsid w:val="00642956"/>
    <w:rsid w:val="00652B58"/>
    <w:rsid w:val="006560D3"/>
    <w:rsid w:val="006709FB"/>
    <w:rsid w:val="00675A55"/>
    <w:rsid w:val="00676C65"/>
    <w:rsid w:val="00685B0D"/>
    <w:rsid w:val="00690CF1"/>
    <w:rsid w:val="006912AE"/>
    <w:rsid w:val="00693875"/>
    <w:rsid w:val="00694BF1"/>
    <w:rsid w:val="006B35F4"/>
    <w:rsid w:val="006C1828"/>
    <w:rsid w:val="006C5BC0"/>
    <w:rsid w:val="006D1438"/>
    <w:rsid w:val="006D3033"/>
    <w:rsid w:val="006D48A4"/>
    <w:rsid w:val="006F0990"/>
    <w:rsid w:val="006F2F85"/>
    <w:rsid w:val="00701E10"/>
    <w:rsid w:val="0071131E"/>
    <w:rsid w:val="007147EC"/>
    <w:rsid w:val="00716A7F"/>
    <w:rsid w:val="0072207F"/>
    <w:rsid w:val="00722849"/>
    <w:rsid w:val="007240C2"/>
    <w:rsid w:val="0072782B"/>
    <w:rsid w:val="00731042"/>
    <w:rsid w:val="00733EDE"/>
    <w:rsid w:val="00735CC2"/>
    <w:rsid w:val="0074262F"/>
    <w:rsid w:val="00743730"/>
    <w:rsid w:val="00744143"/>
    <w:rsid w:val="0075226C"/>
    <w:rsid w:val="00762F40"/>
    <w:rsid w:val="0076450C"/>
    <w:rsid w:val="00767AB2"/>
    <w:rsid w:val="00773F76"/>
    <w:rsid w:val="0078075A"/>
    <w:rsid w:val="007A3E97"/>
    <w:rsid w:val="007B54A4"/>
    <w:rsid w:val="007C3130"/>
    <w:rsid w:val="007C3C0C"/>
    <w:rsid w:val="007C64DC"/>
    <w:rsid w:val="007D0309"/>
    <w:rsid w:val="007D12A2"/>
    <w:rsid w:val="007D3F06"/>
    <w:rsid w:val="007D4874"/>
    <w:rsid w:val="007D59DB"/>
    <w:rsid w:val="007F7049"/>
    <w:rsid w:val="008023DA"/>
    <w:rsid w:val="00816969"/>
    <w:rsid w:val="008212E6"/>
    <w:rsid w:val="00827F3A"/>
    <w:rsid w:val="008411C9"/>
    <w:rsid w:val="00856375"/>
    <w:rsid w:val="00860B26"/>
    <w:rsid w:val="00863F76"/>
    <w:rsid w:val="00866A2F"/>
    <w:rsid w:val="00867224"/>
    <w:rsid w:val="0086742A"/>
    <w:rsid w:val="00886A2E"/>
    <w:rsid w:val="008B386E"/>
    <w:rsid w:val="008D793E"/>
    <w:rsid w:val="008E0679"/>
    <w:rsid w:val="008F23E2"/>
    <w:rsid w:val="008F2538"/>
    <w:rsid w:val="008F2D53"/>
    <w:rsid w:val="00917453"/>
    <w:rsid w:val="0092569D"/>
    <w:rsid w:val="009271D3"/>
    <w:rsid w:val="00935800"/>
    <w:rsid w:val="00935F79"/>
    <w:rsid w:val="00936638"/>
    <w:rsid w:val="00940AAD"/>
    <w:rsid w:val="00951F6C"/>
    <w:rsid w:val="0095489E"/>
    <w:rsid w:val="009630E7"/>
    <w:rsid w:val="00964EBE"/>
    <w:rsid w:val="00970704"/>
    <w:rsid w:val="00975243"/>
    <w:rsid w:val="0097530C"/>
    <w:rsid w:val="00977460"/>
    <w:rsid w:val="0098419B"/>
    <w:rsid w:val="00991FD6"/>
    <w:rsid w:val="009A4C13"/>
    <w:rsid w:val="009D2689"/>
    <w:rsid w:val="009E2377"/>
    <w:rsid w:val="009E2798"/>
    <w:rsid w:val="009F0F57"/>
    <w:rsid w:val="009F1158"/>
    <w:rsid w:val="00A0091B"/>
    <w:rsid w:val="00A00F98"/>
    <w:rsid w:val="00A03E17"/>
    <w:rsid w:val="00A07A2D"/>
    <w:rsid w:val="00A1465B"/>
    <w:rsid w:val="00A16BFC"/>
    <w:rsid w:val="00A21A7F"/>
    <w:rsid w:val="00A241AE"/>
    <w:rsid w:val="00A3487B"/>
    <w:rsid w:val="00A36460"/>
    <w:rsid w:val="00A47BD0"/>
    <w:rsid w:val="00A5610F"/>
    <w:rsid w:val="00A56FE9"/>
    <w:rsid w:val="00A60AD7"/>
    <w:rsid w:val="00A82A00"/>
    <w:rsid w:val="00AB2542"/>
    <w:rsid w:val="00AB6068"/>
    <w:rsid w:val="00AE38C3"/>
    <w:rsid w:val="00AE6055"/>
    <w:rsid w:val="00AF5A3C"/>
    <w:rsid w:val="00AF640C"/>
    <w:rsid w:val="00AF67CE"/>
    <w:rsid w:val="00AF7167"/>
    <w:rsid w:val="00B218A3"/>
    <w:rsid w:val="00B26BF6"/>
    <w:rsid w:val="00B26D99"/>
    <w:rsid w:val="00B358AA"/>
    <w:rsid w:val="00B62CC0"/>
    <w:rsid w:val="00B67870"/>
    <w:rsid w:val="00B74C80"/>
    <w:rsid w:val="00B80D34"/>
    <w:rsid w:val="00B85B6B"/>
    <w:rsid w:val="00B91CB9"/>
    <w:rsid w:val="00BB1512"/>
    <w:rsid w:val="00BB5E0C"/>
    <w:rsid w:val="00BC5584"/>
    <w:rsid w:val="00BC55EC"/>
    <w:rsid w:val="00BC5814"/>
    <w:rsid w:val="00BE0185"/>
    <w:rsid w:val="00BE2A06"/>
    <w:rsid w:val="00BF45F9"/>
    <w:rsid w:val="00BF5773"/>
    <w:rsid w:val="00BF6A7A"/>
    <w:rsid w:val="00C01D7B"/>
    <w:rsid w:val="00C0483F"/>
    <w:rsid w:val="00C117B5"/>
    <w:rsid w:val="00C207B3"/>
    <w:rsid w:val="00C22716"/>
    <w:rsid w:val="00C25984"/>
    <w:rsid w:val="00C33672"/>
    <w:rsid w:val="00C36A45"/>
    <w:rsid w:val="00C40FF6"/>
    <w:rsid w:val="00C41F0C"/>
    <w:rsid w:val="00C43F45"/>
    <w:rsid w:val="00C51894"/>
    <w:rsid w:val="00C55836"/>
    <w:rsid w:val="00C72EF1"/>
    <w:rsid w:val="00C93A05"/>
    <w:rsid w:val="00C9611A"/>
    <w:rsid w:val="00CA2C45"/>
    <w:rsid w:val="00CA7644"/>
    <w:rsid w:val="00CB039F"/>
    <w:rsid w:val="00CC4CCB"/>
    <w:rsid w:val="00CD2A6D"/>
    <w:rsid w:val="00CD60B1"/>
    <w:rsid w:val="00CE0A81"/>
    <w:rsid w:val="00CE7569"/>
    <w:rsid w:val="00D00F3D"/>
    <w:rsid w:val="00D01B6F"/>
    <w:rsid w:val="00D039C6"/>
    <w:rsid w:val="00D03D13"/>
    <w:rsid w:val="00D401FA"/>
    <w:rsid w:val="00D45D0F"/>
    <w:rsid w:val="00D46909"/>
    <w:rsid w:val="00D47539"/>
    <w:rsid w:val="00D47F2D"/>
    <w:rsid w:val="00D5079F"/>
    <w:rsid w:val="00D52949"/>
    <w:rsid w:val="00D633B1"/>
    <w:rsid w:val="00D63683"/>
    <w:rsid w:val="00D728B9"/>
    <w:rsid w:val="00D81CF0"/>
    <w:rsid w:val="00D872CB"/>
    <w:rsid w:val="00DA6CF4"/>
    <w:rsid w:val="00DB144B"/>
    <w:rsid w:val="00DC77B7"/>
    <w:rsid w:val="00DD46F3"/>
    <w:rsid w:val="00DD6801"/>
    <w:rsid w:val="00DF0971"/>
    <w:rsid w:val="00DF743A"/>
    <w:rsid w:val="00E33AA9"/>
    <w:rsid w:val="00E42751"/>
    <w:rsid w:val="00E4613C"/>
    <w:rsid w:val="00E55E63"/>
    <w:rsid w:val="00E57FB6"/>
    <w:rsid w:val="00E745B0"/>
    <w:rsid w:val="00E74A65"/>
    <w:rsid w:val="00E80110"/>
    <w:rsid w:val="00E81240"/>
    <w:rsid w:val="00E87586"/>
    <w:rsid w:val="00EB432B"/>
    <w:rsid w:val="00EC4BD5"/>
    <w:rsid w:val="00ED5D25"/>
    <w:rsid w:val="00EE6970"/>
    <w:rsid w:val="00EF085A"/>
    <w:rsid w:val="00F0008E"/>
    <w:rsid w:val="00F0297D"/>
    <w:rsid w:val="00F03AE0"/>
    <w:rsid w:val="00F151EC"/>
    <w:rsid w:val="00F172A4"/>
    <w:rsid w:val="00F21223"/>
    <w:rsid w:val="00F21E59"/>
    <w:rsid w:val="00F358E5"/>
    <w:rsid w:val="00F60EBE"/>
    <w:rsid w:val="00F659D3"/>
    <w:rsid w:val="00F66921"/>
    <w:rsid w:val="00F74FD6"/>
    <w:rsid w:val="00F82711"/>
    <w:rsid w:val="00F90BAC"/>
    <w:rsid w:val="00F91825"/>
    <w:rsid w:val="00FA4176"/>
    <w:rsid w:val="00FB04C0"/>
    <w:rsid w:val="00FD14C8"/>
    <w:rsid w:val="00FD2FC4"/>
    <w:rsid w:val="00FE04BF"/>
    <w:rsid w:val="00FF5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5E105F"/>
  <w15:chartTrackingRefBased/>
  <w15:docId w15:val="{040BE874-9F5A-4F94-A372-4067738E59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640C"/>
    <w:pPr>
      <w:spacing w:before="100" w:after="100" w:line="240" w:lineRule="auto"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F640C"/>
    <w:pPr>
      <w:keepNext/>
      <w:keepLines/>
      <w:spacing w:before="120" w:after="120" w:line="259" w:lineRule="auto"/>
      <w:outlineLvl w:val="0"/>
    </w:pPr>
    <w:rPr>
      <w:rFonts w:eastAsiaTheme="majorEastAsia" w:cstheme="majorBidi"/>
      <w:b/>
      <w:color w:val="003469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AF640C"/>
    <w:pPr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F640C"/>
    <w:pPr>
      <w:keepNext/>
      <w:keepLines/>
      <w:spacing w:before="120" w:after="120" w:line="259" w:lineRule="auto"/>
      <w:outlineLvl w:val="2"/>
    </w:pPr>
    <w:rPr>
      <w:rFonts w:eastAsiaTheme="majorEastAsia" w:cstheme="majorBidi"/>
      <w:color w:val="003469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F640C"/>
    <w:pPr>
      <w:keepNext/>
      <w:keepLines/>
      <w:outlineLvl w:val="3"/>
    </w:pPr>
    <w:rPr>
      <w:rFonts w:eastAsiaTheme="majorEastAsia" w:cstheme="majorBidi"/>
      <w:iCs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AF640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AF640C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AF640C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AF640C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AF640C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640C"/>
    <w:rPr>
      <w:rFonts w:ascii="Segoe UI" w:eastAsiaTheme="majorEastAsia" w:hAnsi="Segoe UI" w:cstheme="majorBidi"/>
      <w:b/>
      <w:noProof w:val="0"/>
      <w:color w:val="003469"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AF640C"/>
    <w:rPr>
      <w:rFonts w:ascii="Segoe UI" w:eastAsiaTheme="majorEastAsia" w:hAnsi="Segoe UI" w:cstheme="majorBidi"/>
      <w:b/>
      <w:noProof w:val="0"/>
      <w:color w:val="003469"/>
      <w:kern w:val="0"/>
      <w:sz w:val="28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AF640C"/>
    <w:rPr>
      <w:rFonts w:ascii="Segoe UI" w:eastAsiaTheme="majorEastAsia" w:hAnsi="Segoe UI" w:cstheme="majorBidi"/>
      <w:noProof w:val="0"/>
      <w:color w:val="003469"/>
      <w:kern w:val="0"/>
      <w:sz w:val="24"/>
      <w:szCs w:val="24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F640C"/>
    <w:rPr>
      <w:rFonts w:ascii="Segoe UI" w:eastAsiaTheme="majorEastAsia" w:hAnsi="Segoe UI" w:cstheme="majorBidi"/>
      <w:iCs/>
      <w:noProof w:val="0"/>
      <w:color w:val="000000" w:themeColor="text1"/>
      <w:kern w:val="0"/>
      <w:sz w:val="20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AF640C"/>
    <w:rPr>
      <w:rFonts w:asciiTheme="majorHAnsi" w:eastAsiaTheme="majorEastAsia" w:hAnsiTheme="majorHAnsi" w:cstheme="majorBidi"/>
      <w:noProof w:val="0"/>
      <w:color w:val="0F4761" w:themeColor="accent1" w:themeShade="BF"/>
      <w:kern w:val="0"/>
      <w:sz w:val="20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640C"/>
    <w:rPr>
      <w:rFonts w:asciiTheme="majorHAnsi" w:eastAsiaTheme="majorEastAsia" w:hAnsiTheme="majorHAnsi" w:cstheme="majorBidi"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640C"/>
    <w:rPr>
      <w:rFonts w:asciiTheme="majorHAnsi" w:eastAsiaTheme="majorEastAsia" w:hAnsiTheme="majorHAnsi" w:cstheme="majorBidi"/>
      <w:i/>
      <w:iCs/>
      <w:noProof w:val="0"/>
      <w:color w:val="0A2F40" w:themeColor="accent1" w:themeShade="7F"/>
      <w:kern w:val="0"/>
      <w:sz w:val="20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640C"/>
    <w:rPr>
      <w:rFonts w:asciiTheme="majorHAnsi" w:eastAsiaTheme="majorEastAsia" w:hAnsiTheme="majorHAnsi" w:cstheme="majorBidi"/>
      <w:noProof w:val="0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640C"/>
    <w:rPr>
      <w:rFonts w:asciiTheme="majorHAnsi" w:eastAsiaTheme="majorEastAsia" w:hAnsiTheme="majorHAnsi" w:cstheme="majorBidi"/>
      <w:i/>
      <w:iCs/>
      <w:noProof w:val="0"/>
      <w:color w:val="272727" w:themeColor="text1" w:themeTint="D8"/>
      <w:kern w:val="0"/>
      <w:sz w:val="21"/>
      <w:szCs w:val="21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216A0"/>
    <w:rPr>
      <w:color w:val="96607D" w:themeColor="followedHyperlink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AF640C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640C"/>
    <w:rPr>
      <w:rFonts w:ascii="Segoe UI" w:hAnsi="Segoe UI" w:cs="Segoe UI"/>
      <w:i/>
      <w:iCs/>
      <w:noProof w:val="0"/>
      <w:color w:val="404040" w:themeColor="text1" w:themeTint="BF"/>
      <w:kern w:val="0"/>
      <w:sz w:val="20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AF640C"/>
    <w:pPr>
      <w:numPr>
        <w:numId w:val="3"/>
      </w:numPr>
      <w:spacing w:after="0" w:line="240" w:lineRule="auto"/>
      <w:ind w:left="284" w:hanging="284"/>
      <w:contextualSpacing/>
    </w:pPr>
    <w:rPr>
      <w:rFonts w:ascii="Segoe UI" w:hAnsi="Segoe UI" w:cs="Segoe UI"/>
      <w:color w:val="000000" w:themeColor="text1"/>
      <w:kern w:val="0"/>
      <w:sz w:val="20"/>
      <w14:ligatures w14:val="none"/>
    </w:rPr>
  </w:style>
  <w:style w:type="paragraph" w:styleId="Header">
    <w:name w:val="header"/>
    <w:basedOn w:val="Normal"/>
    <w:link w:val="HeaderChar"/>
    <w:uiPriority w:val="99"/>
    <w:unhideWhenUsed/>
    <w:locked/>
    <w:rsid w:val="00AF640C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640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F640C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640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AF640C"/>
    <w:rPr>
      <w:noProof w:val="0"/>
    </w:rPr>
  </w:style>
  <w:style w:type="character" w:styleId="Hyperlink">
    <w:name w:val="Hyperlink"/>
    <w:basedOn w:val="DefaultParagraphFont"/>
    <w:uiPriority w:val="99"/>
    <w:unhideWhenUsed/>
    <w:rsid w:val="00AF640C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AF640C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szCs w:val="24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AF640C"/>
    <w:pPr>
      <w:spacing w:after="120"/>
    </w:pPr>
    <w:rPr>
      <w:b/>
      <w:bCs/>
      <w:color w:val="FFFFFF"/>
      <w:sz w:val="32"/>
      <w:szCs w:val="32"/>
    </w:rPr>
  </w:style>
  <w:style w:type="paragraph" w:customStyle="1" w:styleId="Headline">
    <w:name w:val="Headline"/>
    <w:basedOn w:val="Normal"/>
    <w:next w:val="Normal"/>
    <w:link w:val="HeadlineChar"/>
    <w:qFormat/>
    <w:rsid w:val="00AF640C"/>
    <w:rPr>
      <w:rFonts w:ascii="Segoe UI Semilight" w:hAnsi="Segoe UI Semilight" w:cs="Segoe UI Semilight"/>
      <w:b/>
      <w:bCs/>
      <w:color w:val="FFFFFF"/>
      <w:sz w:val="40"/>
      <w:szCs w:val="40"/>
    </w:rPr>
  </w:style>
  <w:style w:type="paragraph" w:customStyle="1" w:styleId="ExhibitTitle">
    <w:name w:val="Exhibit Title"/>
    <w:basedOn w:val="Normal"/>
    <w:qFormat/>
    <w:rsid w:val="00AF640C"/>
    <w:pPr>
      <w:keepNext/>
      <w:spacing w:before="120" w:after="0"/>
    </w:pPr>
    <w:rPr>
      <w:rFonts w:ascii="Segoe UI Semibold" w:hAnsi="Segoe UI Semibold" w:cs="Segoe UI Semibold"/>
      <w:color w:val="003469"/>
      <w:szCs w:val="24"/>
    </w:rPr>
  </w:style>
  <w:style w:type="paragraph" w:customStyle="1" w:styleId="ExhibitNote">
    <w:name w:val="Exhibit Note"/>
    <w:basedOn w:val="Normal"/>
    <w:next w:val="Normal"/>
    <w:rsid w:val="00AF640C"/>
    <w:pPr>
      <w:shd w:val="clear" w:color="auto" w:fill="D6E2FA"/>
      <w:spacing w:after="0"/>
    </w:pPr>
    <w:rPr>
      <w:color w:val="595959" w:themeColor="text1" w:themeTint="A6"/>
      <w:sz w:val="18"/>
    </w:rPr>
  </w:style>
  <w:style w:type="paragraph" w:customStyle="1" w:styleId="ExhibitSource">
    <w:name w:val="Exhibit Source"/>
    <w:next w:val="Normal"/>
    <w:qFormat/>
    <w:rsid w:val="00AF640C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after="120" w:line="240" w:lineRule="auto"/>
      <w:contextualSpacing/>
    </w:pPr>
    <w:rPr>
      <w:rFonts w:ascii="Segoe UI" w:hAnsi="Segoe UI" w:cs="Segoe UI"/>
      <w:i/>
      <w:iCs/>
      <w:color w:val="595959" w:themeColor="text1" w:themeTint="A6"/>
      <w:kern w:val="0"/>
      <w:sz w:val="18"/>
      <w14:ligatures w14:val="none"/>
    </w:rPr>
  </w:style>
  <w:style w:type="paragraph" w:customStyle="1" w:styleId="Glossary">
    <w:name w:val="Glossary"/>
    <w:basedOn w:val="Normal"/>
    <w:qFormat/>
    <w:rsid w:val="00AF640C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link w:val="BulletChar"/>
    <w:qFormat/>
    <w:rsid w:val="00AF640C"/>
    <w:pPr>
      <w:numPr>
        <w:numId w:val="5"/>
      </w:numPr>
      <w:pBdr>
        <w:top w:val="single" w:sz="48" w:space="1" w:color="F2F2F2" w:themeColor="background1" w:themeShade="F2"/>
        <w:left w:val="single" w:sz="48" w:space="4" w:color="F2F2F2" w:themeColor="background1" w:themeShade="F2"/>
        <w:bottom w:val="single" w:sz="48" w:space="1" w:color="F2F2F2" w:themeColor="background1" w:themeShade="F2"/>
        <w:right w:val="single" w:sz="48" w:space="4" w:color="F2F2F2" w:themeColor="background1" w:themeShade="F2"/>
      </w:pBdr>
      <w:shd w:val="clear" w:color="auto" w:fill="F2F2F2" w:themeFill="background1" w:themeFillShade="F2"/>
      <w:spacing w:before="120" w:after="120" w:line="250" w:lineRule="auto"/>
    </w:pPr>
    <w:rPr>
      <w:rFonts w:ascii="Segoe UI" w:hAnsi="Segoe UI" w:cs="Segoe UI"/>
      <w:b/>
      <w:bCs/>
      <w:color w:val="003469"/>
      <w:kern w:val="0"/>
      <w:sz w:val="20"/>
      <w:szCs w:val="20"/>
      <w14:ligatures w14:val="none"/>
    </w:rPr>
  </w:style>
  <w:style w:type="character" w:customStyle="1" w:styleId="BulletChar">
    <w:name w:val="Bullet Char"/>
    <w:basedOn w:val="DefaultParagraphFont"/>
    <w:link w:val="Bullet"/>
    <w:rsid w:val="00AF640C"/>
    <w:rPr>
      <w:rFonts w:ascii="Segoe UI" w:hAnsi="Segoe UI" w:cs="Segoe UI"/>
      <w:b/>
      <w:bCs/>
      <w:noProof w:val="0"/>
      <w:color w:val="003469"/>
      <w:kern w:val="0"/>
      <w:sz w:val="20"/>
      <w:szCs w:val="20"/>
      <w:shd w:val="clear" w:color="auto" w:fill="F2F2F2" w:themeFill="background1" w:themeFillShade="F2"/>
      <w14:ligatures w14:val="none"/>
    </w:rPr>
  </w:style>
  <w:style w:type="paragraph" w:customStyle="1" w:styleId="TableHeader">
    <w:name w:val="Table Header"/>
    <w:basedOn w:val="TableData"/>
    <w:qFormat/>
    <w:rsid w:val="00AF640C"/>
    <w:rPr>
      <w:rFonts w:ascii="Segoe UI Semibold" w:hAnsi="Segoe UI Semibold" w:cs="Segoe UI Semibold"/>
      <w:color w:val="F2F2F2" w:themeColor="background1" w:themeShade="F2"/>
    </w:rPr>
  </w:style>
  <w:style w:type="character" w:customStyle="1" w:styleId="SummaryChar">
    <w:name w:val="Summary Char"/>
    <w:basedOn w:val="DefaultParagraphFont"/>
    <w:link w:val="Summary"/>
    <w:locked/>
    <w:rsid w:val="00AF640C"/>
    <w:rPr>
      <w:rFonts w:ascii="Segoe UI" w:hAnsi="Segoe UI" w:cs="Segoe UI"/>
      <w:noProof w:val="0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AF640C"/>
    <w:pPr>
      <w:numPr>
        <w:numId w:val="1"/>
      </w:numPr>
      <w:ind w:left="1797" w:hanging="357"/>
    </w:pPr>
    <w:rPr>
      <w:kern w:val="2"/>
      <w:sz w:val="22"/>
      <w14:ligatures w14:val="standardContextual"/>
    </w:rPr>
  </w:style>
  <w:style w:type="paragraph" w:customStyle="1" w:styleId="TableData">
    <w:name w:val="Table Data"/>
    <w:link w:val="TableDataChar"/>
    <w:qFormat/>
    <w:rsid w:val="00AF640C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18"/>
      <w14:ligatures w14:val="none"/>
    </w:rPr>
  </w:style>
  <w:style w:type="character" w:customStyle="1" w:styleId="TableDataChar">
    <w:name w:val="Table Data Char"/>
    <w:basedOn w:val="DefaultParagraphFont"/>
    <w:link w:val="TableData"/>
    <w:rsid w:val="00AF640C"/>
    <w:rPr>
      <w:rFonts w:ascii="Segoe UI" w:hAnsi="Segoe UI" w:cs="Segoe UI"/>
      <w:noProof w:val="0"/>
      <w:color w:val="000000" w:themeColor="text1"/>
      <w:kern w:val="0"/>
      <w:sz w:val="20"/>
      <w:szCs w:val="18"/>
      <w14:ligatures w14:val="none"/>
    </w:rPr>
  </w:style>
  <w:style w:type="character" w:customStyle="1" w:styleId="HeadlineChar">
    <w:name w:val="Headline Char"/>
    <w:basedOn w:val="DefaultParagraphFont"/>
    <w:link w:val="Headline"/>
    <w:rsid w:val="00AF640C"/>
    <w:rPr>
      <w:rFonts w:ascii="Segoe UI Semilight" w:hAnsi="Segoe UI Semilight" w:cs="Segoe UI Semilight"/>
      <w:b/>
      <w:bCs/>
      <w:noProof w:val="0"/>
      <w:color w:val="FFFFFF"/>
      <w:kern w:val="0"/>
      <w:sz w:val="40"/>
      <w:szCs w:val="40"/>
      <w14:ligatures w14:val="none"/>
    </w:rPr>
  </w:style>
  <w:style w:type="paragraph" w:customStyle="1" w:styleId="PublishDate">
    <w:name w:val="Publish Date"/>
    <w:next w:val="Normal"/>
    <w:link w:val="PublishDateChar"/>
    <w:qFormat/>
    <w:rsid w:val="00AF640C"/>
    <w:pPr>
      <w:spacing w:after="0" w:line="240" w:lineRule="auto"/>
      <w:jc w:val="right"/>
    </w:pPr>
    <w:rPr>
      <w:rFonts w:ascii="Segoe UI" w:eastAsiaTheme="majorEastAsia" w:hAnsi="Segoe UI" w:cstheme="majorBidi"/>
      <w:color w:val="003469"/>
      <w:kern w:val="0"/>
      <w:sz w:val="24"/>
      <w:szCs w:val="28"/>
      <w14:ligatures w14:val="none"/>
    </w:rPr>
  </w:style>
  <w:style w:type="paragraph" w:customStyle="1" w:styleId="Author">
    <w:name w:val="Author"/>
    <w:basedOn w:val="Bullet"/>
    <w:link w:val="AuthorChar"/>
    <w:qFormat/>
    <w:rsid w:val="00AF640C"/>
    <w:pPr>
      <w:numPr>
        <w:numId w:val="0"/>
      </w:numPr>
      <w:spacing w:after="0" w:line="240" w:lineRule="auto"/>
    </w:pPr>
    <w:rPr>
      <w:color w:val="7F7F7F" w:themeColor="text1" w:themeTint="80"/>
      <w:szCs w:val="22"/>
    </w:rPr>
  </w:style>
  <w:style w:type="character" w:customStyle="1" w:styleId="PublishDateChar">
    <w:name w:val="Publish Date Char"/>
    <w:basedOn w:val="Heading1Char"/>
    <w:link w:val="PublishDate"/>
    <w:rsid w:val="00AF640C"/>
    <w:rPr>
      <w:rFonts w:ascii="Segoe UI" w:eastAsiaTheme="majorEastAsia" w:hAnsi="Segoe UI" w:cstheme="majorBidi"/>
      <w:b w:val="0"/>
      <w:noProof w:val="0"/>
      <w:color w:val="003469"/>
      <w:kern w:val="0"/>
      <w:sz w:val="24"/>
      <w:szCs w:val="28"/>
      <w14:ligatures w14:val="none"/>
    </w:rPr>
  </w:style>
  <w:style w:type="character" w:customStyle="1" w:styleId="AuthorChar">
    <w:name w:val="Author Char"/>
    <w:basedOn w:val="FooterChar"/>
    <w:link w:val="Author"/>
    <w:rsid w:val="00AF640C"/>
    <w:rPr>
      <w:rFonts w:ascii="Segoe UI" w:hAnsi="Segoe UI" w:cs="Segoe UI"/>
      <w:b/>
      <w:bCs/>
      <w:noProof w:val="0"/>
      <w:color w:val="7F7F7F" w:themeColor="text1" w:themeTint="80"/>
      <w:kern w:val="0"/>
      <w:sz w:val="20"/>
      <w:shd w:val="clear" w:color="auto" w:fill="F2F2F2" w:themeFill="background1" w:themeFillShade="F2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F640C"/>
    <w:rPr>
      <w:rFonts w:ascii="Segoe UI" w:hAnsi="Segoe UI" w:cs="Segoe UI"/>
      <w:noProof w:val="0"/>
      <w:color w:val="000000" w:themeColor="text1"/>
      <w:kern w:val="0"/>
      <w:sz w:val="20"/>
      <w14:ligatures w14:val="none"/>
    </w:rPr>
  </w:style>
  <w:style w:type="paragraph" w:customStyle="1" w:styleId="BodyBullet">
    <w:name w:val="Body Bullet"/>
    <w:link w:val="BodyBulletChar"/>
    <w:qFormat/>
    <w:rsid w:val="00AF640C"/>
    <w:pPr>
      <w:numPr>
        <w:numId w:val="4"/>
      </w:numPr>
      <w:spacing w:after="200" w:line="240" w:lineRule="auto"/>
      <w:contextualSpacing/>
    </w:pPr>
    <w:rPr>
      <w:rFonts w:ascii="Segoe UI" w:hAnsi="Segoe UI" w:cs="Segoe UI"/>
      <w:bCs/>
      <w:kern w:val="0"/>
      <w:sz w:val="20"/>
      <w:szCs w:val="20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AF640C"/>
    <w:rPr>
      <w:rFonts w:ascii="Segoe UI" w:hAnsi="Segoe UI" w:cs="Segoe UI"/>
      <w:bCs/>
      <w:noProof w:val="0"/>
      <w:kern w:val="0"/>
      <w:sz w:val="20"/>
      <w:szCs w:val="20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AF640C"/>
    <w:rPr>
      <w:color w:val="003469"/>
    </w:rPr>
  </w:style>
  <w:style w:type="character" w:customStyle="1" w:styleId="RepeatingFooterChar">
    <w:name w:val="Repeating Footer Char"/>
    <w:basedOn w:val="FooterChar"/>
    <w:link w:val="RepeatingFooter"/>
    <w:rsid w:val="00AF640C"/>
    <w:rPr>
      <w:rFonts w:ascii="Segoe UI" w:hAnsi="Segoe UI" w:cs="Segoe UI"/>
      <w:noProof w:val="0"/>
      <w:color w:val="003469"/>
      <w:kern w:val="0"/>
      <w:sz w:val="20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AF640C"/>
    <w:rPr>
      <w:rFonts w:ascii="Segoe UI" w:hAnsi="Segoe UI" w:cs="Segoe UI"/>
      <w:b/>
      <w:bCs/>
      <w:noProof w:val="0"/>
      <w:color w:val="FFFFFF"/>
      <w:kern w:val="0"/>
      <w:sz w:val="32"/>
      <w:szCs w:val="32"/>
      <w14:ligatures w14:val="none"/>
    </w:rPr>
  </w:style>
  <w:style w:type="character" w:customStyle="1" w:styleId="Bold">
    <w:name w:val="Bold"/>
    <w:basedOn w:val="DefaultParagraphFont"/>
    <w:uiPriority w:val="1"/>
    <w:qFormat/>
    <w:rsid w:val="00AF640C"/>
    <w:rPr>
      <w:b/>
      <w:bCs/>
      <w:noProof w:val="0"/>
    </w:rPr>
  </w:style>
  <w:style w:type="character" w:customStyle="1" w:styleId="Italics">
    <w:name w:val="Italics"/>
    <w:uiPriority w:val="1"/>
    <w:qFormat/>
    <w:rsid w:val="00AF640C"/>
    <w:rPr>
      <w:i/>
      <w:iCs/>
      <w:noProof w:val="0"/>
    </w:rPr>
  </w:style>
  <w:style w:type="table" w:customStyle="1" w:styleId="TableGridHeader">
    <w:name w:val="Table Grid Header"/>
    <w:basedOn w:val="TableNormal"/>
    <w:uiPriority w:val="99"/>
    <w:rsid w:val="00AF640C"/>
    <w:pPr>
      <w:spacing w:after="200" w:line="240" w:lineRule="auto"/>
    </w:pPr>
    <w:rPr>
      <w:rFonts w:ascii="Segoe UI" w:eastAsiaTheme="minorEastAsia" w:hAnsi="Segoe UI"/>
      <w:color w:val="F2F2F2" w:themeColor="background1" w:themeShade="F2"/>
      <w:kern w:val="0"/>
      <w:szCs w:val="20"/>
      <w:lang w:eastAsia="en-GB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rFonts w:ascii="Segoe UI" w:hAnsi="Segoe UI"/>
        <w:color w:val="F2F2F2" w:themeColor="background1" w:themeShade="F2"/>
        <w:sz w:val="22"/>
      </w:rPr>
      <w:tblPr/>
      <w:tcPr>
        <w:shd w:val="clear" w:color="auto" w:fill="003469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svg"/><Relationship Id="rId18" Type="http://schemas.openxmlformats.org/officeDocument/2006/relationships/footer" Target="footer2.xml"/><Relationship Id="rId26" Type="http://schemas.openxmlformats.org/officeDocument/2006/relationships/image" Target="media/image7.png"/><Relationship Id="rId39" Type="http://schemas.openxmlformats.org/officeDocument/2006/relationships/hyperlink" Target="https://my.oxfordeconomics.com/reportaction/11d74e522a2D4589b0aB5d/Toc" TargetMode="External"/><Relationship Id="rId21" Type="http://schemas.openxmlformats.org/officeDocument/2006/relationships/image" Target="media/image6.svg"/><Relationship Id="rId34" Type="http://schemas.openxmlformats.org/officeDocument/2006/relationships/image" Target="media/image10.svg"/><Relationship Id="rId42" Type="http://schemas.openxmlformats.org/officeDocument/2006/relationships/theme" Target="theme/theme1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image" Target="media/image5.png"/><Relationship Id="rId29" Type="http://schemas.openxmlformats.org/officeDocument/2006/relationships/hyperlink" Target="https://my.oxfordeconomics.com/reportaction/25874aB62bF4475f95a716/Toc" TargetMode="External"/><Relationship Id="rId41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my.oxfordeconomics.com/reportaction/e71E98Ba66484419bD018b/Toc" TargetMode="External"/><Relationship Id="rId24" Type="http://schemas.openxmlformats.org/officeDocument/2006/relationships/hyperlink" Target="https://my.oxfordeconomics.com/reportaction/c136Be1b0d6544B3942Da8/Toc" TargetMode="External"/><Relationship Id="rId32" Type="http://schemas.openxmlformats.org/officeDocument/2006/relationships/hyperlink" Target="https://my.oxfordeconomics.com/reportaction/a2a6Ac331c404f97aF9C5e/Toc" TargetMode="External"/><Relationship Id="rId37" Type="http://schemas.openxmlformats.org/officeDocument/2006/relationships/image" Target="media/image11.png"/><Relationship Id="rId40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header" Target="header2.xml"/><Relationship Id="rId23" Type="http://schemas.openxmlformats.org/officeDocument/2006/relationships/hyperlink" Target="https://my.oxfordeconomics.com/reportaction/5e1F3c994307450aaDcBf6/Toc" TargetMode="External"/><Relationship Id="rId28" Type="http://schemas.openxmlformats.org/officeDocument/2006/relationships/hyperlink" Target="https://my.oxfordeconomics.com/reportaction/a2a6Ac331c404f97aF9C5e/Toc" TargetMode="External"/><Relationship Id="rId36" Type="http://schemas.openxmlformats.org/officeDocument/2006/relationships/hyperlink" Target="https://my.oxfordeconomics.com/reports/1ecB3b7759994eBfb60F05/files/ModelOverviewDetaile/Page2" TargetMode="External"/><Relationship Id="rId10" Type="http://schemas.openxmlformats.org/officeDocument/2006/relationships/hyperlink" Target="https://my.oxfordeconomics.com/reportaction/AI-Assistant/Toc" TargetMode="External"/><Relationship Id="rId19" Type="http://schemas.openxmlformats.org/officeDocument/2006/relationships/hyperlink" Target="https://my.oxfordeconomics.com/reportaction/551B508c93F740C18D0F32/Toc" TargetMode="External"/><Relationship Id="rId31" Type="http://schemas.openxmlformats.org/officeDocument/2006/relationships/hyperlink" Target="https://www.bankofengland.co.uk/financial-stability-report/2025/july-2025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Relationship Id="rId22" Type="http://schemas.openxmlformats.org/officeDocument/2006/relationships/hyperlink" Target="https://my.oxfordeconomics.com/reportaction/6c095f1ad8094aEc8BfBd0/Toc" TargetMode="External"/><Relationship Id="rId27" Type="http://schemas.openxmlformats.org/officeDocument/2006/relationships/image" Target="media/image8.svg"/><Relationship Id="rId30" Type="http://schemas.openxmlformats.org/officeDocument/2006/relationships/hyperlink" Target="file:///C:\Users\chris\AppData\Local\Microsoft\Windows\INetCache\Content.Outlook\MXECA32X\my.oxfordeconomics.com\reports%3fcat0=21" TargetMode="External"/><Relationship Id="rId35" Type="http://schemas.openxmlformats.org/officeDocument/2006/relationships/hyperlink" Target="https://my.oxfordeconomics.com/reportaction/c136Be1b0d6544B3942Da8/Toc" TargetMode="External"/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5" Type="http://schemas.openxmlformats.org/officeDocument/2006/relationships/hyperlink" Target="https://my.oxfordeconomics.com/reportaction/b7163fD46b0143B38E0Cfe/Toc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2.sv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D3406-1DDC-47A2-B842-FD8DDEECE46F}"/>
      </w:docPartPr>
      <w:docPartBody>
        <w:p w:rsidR="00917DE7" w:rsidRDefault="00917DE7">
          <w:r w:rsidRPr="00C82EBC"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E7"/>
    <w:rsid w:val="003B258B"/>
    <w:rsid w:val="00400693"/>
    <w:rsid w:val="00413408"/>
    <w:rsid w:val="00441C3E"/>
    <w:rsid w:val="00464C68"/>
    <w:rsid w:val="0075226C"/>
    <w:rsid w:val="007A3E97"/>
    <w:rsid w:val="00886A2E"/>
    <w:rsid w:val="00917DE7"/>
    <w:rsid w:val="0097530C"/>
    <w:rsid w:val="00A241AE"/>
    <w:rsid w:val="00BC55EC"/>
    <w:rsid w:val="00C117B5"/>
    <w:rsid w:val="00CF075D"/>
    <w:rsid w:val="00D45D0F"/>
    <w:rsid w:val="00DD6801"/>
    <w:rsid w:val="00E33AA9"/>
    <w:rsid w:val="00E87586"/>
    <w:rsid w:val="00F94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23030a2609a0bfe461689b6bacd9a9f4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83983b71c34b7d262d94b4ad995a0d1c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CAB9F0-E173-47FE-A82C-81167D2683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1653B6E-C878-4B1A-A7EB-EEC7039EBCCB}">
  <ds:schemaRefs>
    <ds:schemaRef ds:uri="http://purl.org/dc/terms/"/>
    <ds:schemaRef ds:uri="6c77b332-7df6-4eff-997f-266963d55fc4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6ec33f61-c765-4e3b-9958-53c32fd1fd0b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1AD3618E-874E-4E7A-8220-F5AC92199AE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5</Pages>
  <Words>2122</Words>
  <Characters>10913</Characters>
  <Application>Microsoft Office Word</Application>
  <DocSecurity>0</DocSecurity>
  <Lines>147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Swannell</dc:creator>
  <cp:keywords/>
  <dc:description/>
  <cp:lastModifiedBy>Matthew Swannell</cp:lastModifiedBy>
  <cp:revision>42</cp:revision>
  <cp:lastPrinted>2025-09-25T06:51:00Z</cp:lastPrinted>
  <dcterms:created xsi:type="dcterms:W3CDTF">2025-09-24T14:14:00Z</dcterms:created>
  <dcterms:modified xsi:type="dcterms:W3CDTF">2025-09-25T10:20:00Z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EP_VERSION">
    <vt:lpwstr>1.0.0.14</vt:lpwstr>
  </property>
  <property fmtid="{D5CDD505-2E9C-101B-9397-08002B2CF9AE}" pid="3" name="OEP_GROUP_BRAND">
    <vt:lpwstr>OE</vt:lpwstr>
  </property>
  <property fmtid="{D5CDD505-2E9C-101B-9397-08002B2CF9AE}" pid="4" name="MSIP_Label_231f5784-19ed-4d1e-9a93-4ea41014d730_Enabled">
    <vt:lpwstr>true</vt:lpwstr>
  </property>
  <property fmtid="{D5CDD505-2E9C-101B-9397-08002B2CF9AE}" pid="5" name="MSIP_Label_231f5784-19ed-4d1e-9a93-4ea41014d730_SetDate">
    <vt:lpwstr>2025-09-25T07:04:21.000Z</vt:lpwstr>
  </property>
  <property fmtid="{D5CDD505-2E9C-101B-9397-08002B2CF9AE}" pid="6" name="MSIP_Label_231f5784-19ed-4d1e-9a93-4ea41014d730_Method">
    <vt:lpwstr>Privileged</vt:lpwstr>
  </property>
  <property fmtid="{D5CDD505-2E9C-101B-9397-08002B2CF9AE}" pid="7" name="MSIP_Label_231f5784-19ed-4d1e-9a93-4ea41014d730_Name">
    <vt:lpwstr>External</vt:lpwstr>
  </property>
  <property fmtid="{D5CDD505-2E9C-101B-9397-08002B2CF9AE}" pid="8" name="MSIP_Label_231f5784-19ed-4d1e-9a93-4ea41014d730_SiteId">
    <vt:lpwstr>2c277f63-6743-4f98-ac15-4851e55c0cc7</vt:lpwstr>
  </property>
  <property fmtid="{D5CDD505-2E9C-101B-9397-08002B2CF9AE}" pid="9" name="OEP_TEMPLATE_STYLES">
    <vt:lpwstr>v0.8.1.1</vt:lpwstr>
  </property>
  <property fmtid="{D5CDD505-2E9C-101B-9397-08002B2CF9AE}" pid="10" name="OEP_ANALYST_FULLNAME">
    <vt:lpwstr>Edward Allenby</vt:lpwstr>
  </property>
  <property fmtid="{D5CDD505-2E9C-101B-9397-08002B2CF9AE}" pid="11" name="OEP_ANALYST_JOBTITLE">
    <vt:lpwstr>Senior UK Economist</vt:lpwstr>
  </property>
  <property fmtid="{D5CDD505-2E9C-101B-9397-08002B2CF9AE}" pid="12" name="OEP_ANALYST_EMAIL">
    <vt:lpwstr>eallenby@oxfordeconomics.com</vt:lpwstr>
  </property>
  <property fmtid="{D5CDD505-2E9C-101B-9397-08002B2CF9AE}" pid="13" name="OEP_AUTHORS">
    <vt:lpwstr>Edward Allenby|Senior UK Economist|eallenby@oxfordeconomics.com_x000d_</vt:lpwstr>
  </property>
  <property fmtid="{D5CDD505-2E9C-101B-9397-08002B2CF9AE}" pid="14" name="ContentTypeId">
    <vt:lpwstr>0x01010009401BB7205AF745BAD4FA98BDE0B98F</vt:lpwstr>
  </property>
  <property fmtid="{D5CDD505-2E9C-101B-9397-08002B2CF9AE}" pid="15" name="OEP_CATEGORIES">
    <vt:lpwstr>AnalysisbyRegion-Europe-UnitedKingdom,Macro-ResearchBriefings-UnitedKingdom</vt:lpwstr>
  </property>
  <property fmtid="{D5CDD505-2E9C-101B-9397-08002B2CF9AE}" pid="16" name="OEP_TAGS">
    <vt:lpwstr>Key Themes:fiscal policy,financial markets</vt:lpwstr>
  </property>
  <property fmtid="{D5CDD505-2E9C-101B-9397-08002B2CF9AE}" pid="17" name="OEP_KEY_THEMES">
    <vt:lpwstr>fiscal policy,financial markets</vt:lpwstr>
  </property>
  <property fmtid="{D5CDD505-2E9C-101B-9397-08002B2CF9AE}" pid="18" name="OEP_PRODUCT_CODE">
    <vt:lpwstr>9016FeD678CB41719Ca16e</vt:lpwstr>
  </property>
  <property fmtid="{D5CDD505-2E9C-101B-9397-08002B2CF9AE}" pid="19" name="OEP_PUBLISH_DATE">
    <vt:lpwstr/>
  </property>
</Properties>
</file>