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E1DA2" w14:textId="3AD6583B" w:rsidR="00177C08" w:rsidRDefault="00DB3A54" w:rsidP="00177C08">
      <w:pPr>
        <w:pStyle w:val="Bullet"/>
      </w:pPr>
      <w:r w:rsidRPr="00DB3A54">
        <w:t xml:space="preserve">The Monetary Policy Committee voted </w:t>
      </w:r>
      <w:r w:rsidR="0046551C">
        <w:t xml:space="preserve">6-3 </w:t>
      </w:r>
      <w:r w:rsidRPr="00DB3A54">
        <w:t xml:space="preserve">to keep Bank Rate at </w:t>
      </w:r>
      <w:r>
        <w:t>4.7</w:t>
      </w:r>
      <w:r w:rsidRPr="00DB3A54">
        <w:t xml:space="preserve">5% at its </w:t>
      </w:r>
      <w:r>
        <w:t>Dec</w:t>
      </w:r>
      <w:r w:rsidRPr="00DB3A54">
        <w:t>ember meeting</w:t>
      </w:r>
      <w:r w:rsidR="00177C08">
        <w:t xml:space="preserve">. </w:t>
      </w:r>
      <w:r w:rsidR="009E67AF">
        <w:t>The dovish dissent was greater than we had anticipated, and with other</w:t>
      </w:r>
      <w:r w:rsidR="00C73660">
        <w:t xml:space="preserve"> member</w:t>
      </w:r>
      <w:r w:rsidR="009E67AF">
        <w:t>s backing a gradual approach to loosening policy, we continue to forecast a 25bps rate cut at the February meeting</w:t>
      </w:r>
      <w:r>
        <w:t>.</w:t>
      </w:r>
    </w:p>
    <w:p w14:paraId="2D3ED75A" w14:textId="22DFAA29" w:rsidR="00177C08" w:rsidRDefault="00BF71D7" w:rsidP="00177C08">
      <w:pPr>
        <w:pStyle w:val="Bullet"/>
      </w:pPr>
      <w:r>
        <w:t xml:space="preserve">Though the committee downplayed the importance of this week's stronger pay data, intelligence from the Bank's regional agents suggests </w:t>
      </w:r>
      <w:r w:rsidR="0046551C">
        <w:t xml:space="preserve">2025 </w:t>
      </w:r>
      <w:r>
        <w:t xml:space="preserve">pay deals will be at the top end of the </w:t>
      </w:r>
      <w:r w:rsidR="0046551C">
        <w:t xml:space="preserve">2%-4% </w:t>
      </w:r>
      <w:r>
        <w:t>range they previously identified. But indications that the MPC is becoming more concerned about the weakness of output and employment suggest a series of rate cuts in 2025 remains likely.</w:t>
      </w:r>
    </w:p>
    <w:p w14:paraId="293872BD" w14:textId="709C6F5D" w:rsidR="00B3081F" w:rsidRDefault="00DB3A54" w:rsidP="00177C08">
      <w:r w:rsidRPr="00DB3A54">
        <w:t xml:space="preserve">The Bank of England's Monetary Policy Committee voted </w:t>
      </w:r>
      <w:r w:rsidR="00BF2CE1">
        <w:t>6-3</w:t>
      </w:r>
      <w:r w:rsidRPr="00DB3A54">
        <w:t xml:space="preserve"> to leave Bank Rate at </w:t>
      </w:r>
      <w:r>
        <w:t>4.7</w:t>
      </w:r>
      <w:r w:rsidRPr="00DB3A54">
        <w:t>5% at today's meeting</w:t>
      </w:r>
      <w:r w:rsidR="00BF2CE1">
        <w:t>. The three dissenters –</w:t>
      </w:r>
      <w:r w:rsidR="00295FD3">
        <w:t xml:space="preserve"> </w:t>
      </w:r>
      <w:r w:rsidR="00BF2CE1">
        <w:t>Sw</w:t>
      </w:r>
      <w:r w:rsidRPr="00DB3A54">
        <w:t>ati Dhingra</w:t>
      </w:r>
      <w:r w:rsidR="00BF2CE1">
        <w:t xml:space="preserve">, Dave Ramsden, and Alan Taylor – voted </w:t>
      </w:r>
      <w:r w:rsidRPr="00DB3A54">
        <w:t>for another 25bps cut</w:t>
      </w:r>
      <w:r w:rsidR="00177C08">
        <w:t>.</w:t>
      </w:r>
      <w:r w:rsidR="009E67AF">
        <w:t xml:space="preserve"> </w:t>
      </w:r>
    </w:p>
    <w:p w14:paraId="676D8E43" w14:textId="2C9294FF" w:rsidR="009E67AF" w:rsidRDefault="00383D29" w:rsidP="00177C08">
      <w:r>
        <w:t xml:space="preserve">The scale of </w:t>
      </w:r>
      <w:r w:rsidR="00630C9A">
        <w:t xml:space="preserve">dovish </w:t>
      </w:r>
      <w:r>
        <w:t xml:space="preserve">dissent was greater than </w:t>
      </w:r>
      <w:hyperlink r:id="rId7" w:history="1">
        <w:r w:rsidRPr="00383D29">
          <w:rPr>
            <w:rStyle w:val="Hyperlink"/>
          </w:rPr>
          <w:t>we had anticipated</w:t>
        </w:r>
      </w:hyperlink>
      <w:r>
        <w:t xml:space="preserve">. Though Taylor and Ramsden both </w:t>
      </w:r>
      <w:r w:rsidR="00031F3F">
        <w:t>made comments in mid-November</w:t>
      </w:r>
      <w:r w:rsidR="00031F3F" w:rsidRPr="00383D29">
        <w:t xml:space="preserve"> </w:t>
      </w:r>
      <w:r w:rsidR="00031F3F">
        <w:t xml:space="preserve">that </w:t>
      </w:r>
      <w:r w:rsidRPr="00383D29">
        <w:t>suggested they place relatively high weights on the mo</w:t>
      </w:r>
      <w:r w:rsidR="00031F3F">
        <w:t>st</w:t>
      </w:r>
      <w:r w:rsidRPr="00383D29">
        <w:t xml:space="preserve"> </w:t>
      </w:r>
      <w:r w:rsidR="00785745">
        <w:t>benign</w:t>
      </w:r>
      <w:r w:rsidRPr="00383D29">
        <w:t xml:space="preserve"> </w:t>
      </w:r>
      <w:r>
        <w:t xml:space="preserve">of the MPC's inflation </w:t>
      </w:r>
      <w:r w:rsidRPr="00383D29">
        <w:t>scenario</w:t>
      </w:r>
      <w:r>
        <w:t xml:space="preserve">s, they stopped short of </w:t>
      </w:r>
      <w:r w:rsidR="009B3E28">
        <w:t xml:space="preserve">indicating they would vote for back-to-back rate cuts. </w:t>
      </w:r>
      <w:r w:rsidR="00C66DD2">
        <w:t>But recent soft data for activity and employment appear to have tipped the balance.</w:t>
      </w:r>
    </w:p>
    <w:p w14:paraId="1863092F" w14:textId="14D1E307" w:rsidR="00177C08" w:rsidRDefault="009E67AF" w:rsidP="00177C08">
      <w:r>
        <w:t>Five other members continued to back a "</w:t>
      </w:r>
      <w:r w:rsidRPr="009E67AF">
        <w:t>gradual approach to the withdrawal of policy restrictiveness</w:t>
      </w:r>
      <w:r>
        <w:t>"</w:t>
      </w:r>
      <w:r w:rsidR="00596CF1">
        <w:t>. We therefore think</w:t>
      </w:r>
      <w:r w:rsidR="00484BF9">
        <w:t xml:space="preserve"> </w:t>
      </w:r>
      <w:r>
        <w:t xml:space="preserve">it looks likely that the MPC will cut Bank Rate by 25bps in February, maintaining the 'cut-hold' tempo. However, </w:t>
      </w:r>
      <w:r w:rsidR="00484BF9">
        <w:t xml:space="preserve">whereas </w:t>
      </w:r>
      <w:r>
        <w:t xml:space="preserve">in </w:t>
      </w:r>
      <w:r w:rsidR="00484BF9">
        <w:t xml:space="preserve">June and </w:t>
      </w:r>
      <w:hyperlink r:id="rId8" w:history="1">
        <w:r w:rsidR="00383D29" w:rsidRPr="00484BF9">
          <w:rPr>
            <w:rStyle w:val="Hyperlink"/>
          </w:rPr>
          <w:t>September</w:t>
        </w:r>
      </w:hyperlink>
      <w:r w:rsidR="00484BF9">
        <w:t>,</w:t>
      </w:r>
      <w:r w:rsidR="00383D29">
        <w:t xml:space="preserve"> </w:t>
      </w:r>
      <w:r w:rsidR="00484BF9">
        <w:t>t</w:t>
      </w:r>
      <w:r w:rsidR="00383D29">
        <w:t xml:space="preserve">he </w:t>
      </w:r>
      <w:r w:rsidR="00484BF9">
        <w:t xml:space="preserve">minutes had flagged that the upcoming forecast round would be a likely trigger for the next rate cut, </w:t>
      </w:r>
      <w:r w:rsidR="00383D29">
        <w:t xml:space="preserve">the minutes </w:t>
      </w:r>
      <w:r w:rsidR="00484BF9">
        <w:t>of December's meeting did not include such a clear steer.</w:t>
      </w:r>
    </w:p>
    <w:p w14:paraId="0CF1C7BF" w14:textId="13955CF6" w:rsidR="00692D11" w:rsidRDefault="00692D11" w:rsidP="00177C08">
      <w:r>
        <w:t xml:space="preserve">This week's hawkish shift in financial markets was </w:t>
      </w:r>
      <w:r w:rsidR="000434F7">
        <w:t>prompted</w:t>
      </w:r>
      <w:r>
        <w:t xml:space="preserve"> by </w:t>
      </w:r>
      <w:hyperlink r:id="rId9" w:history="1">
        <w:r w:rsidRPr="00692D11">
          <w:rPr>
            <w:rStyle w:val="Hyperlink"/>
          </w:rPr>
          <w:t>Tuesday's labour market release</w:t>
        </w:r>
      </w:hyperlink>
      <w:r>
        <w:t xml:space="preserve">, which reported a surprise strengthening in private sector regular pay growth. The minutes played down the importance of this development, arguing that this series has tended to be more volatile than other indicators. But </w:t>
      </w:r>
      <w:r w:rsidR="006C6CCB">
        <w:t>the latest update from the Bank's regional agents suggested that pay growth is likely to remain sticky. In November, the agents had suggested that 2025 pay settlements were likely to be in the region of 2%-4%</w:t>
      </w:r>
      <w:r w:rsidR="00CA682D">
        <w:t>. T</w:t>
      </w:r>
      <w:r w:rsidR="006C6CCB">
        <w:t>hey now think pay rises will be in the top part of that range at 3%-4%.</w:t>
      </w:r>
    </w:p>
    <w:p w14:paraId="1B96B489" w14:textId="76E0912B" w:rsidR="0021783C" w:rsidRDefault="00B12143" w:rsidP="00B12143">
      <w:r>
        <w:t xml:space="preserve">Over the past couple of years, the </w:t>
      </w:r>
      <w:hyperlink r:id="rId10" w:history="1">
        <w:r w:rsidRPr="00B12143">
          <w:rPr>
            <w:rStyle w:val="Hyperlink"/>
          </w:rPr>
          <w:t>focus of the MPC</w:t>
        </w:r>
      </w:hyperlink>
      <w:r>
        <w:t xml:space="preserve"> has almost entirely been on inflation</w:t>
      </w:r>
      <w:r w:rsidR="00402C34">
        <w:t>,</w:t>
      </w:r>
      <w:r>
        <w:t xml:space="preserve"> with very little emphasis on growth in their decision-making. But the minutes </w:t>
      </w:r>
      <w:r w:rsidR="0021783C">
        <w:t>suggested</w:t>
      </w:r>
      <w:r>
        <w:t xml:space="preserve"> the committee is increasingly thinking about the implications of the recent weakness in activity and employment. </w:t>
      </w:r>
      <w:r w:rsidR="0021783C">
        <w:t xml:space="preserve">For the first time in this rate cutting cycle, the paragraph summing up the views of the majority made explicit reference to "the potential trade-off between more persistent inflationary pressures and greater weakness in output and employment". Furthermore, </w:t>
      </w:r>
      <w:r>
        <w:t>BoE staff now expect GDP to be flat in Q4 2024, after a rise of just 0.1% q/q in Q3. In November's Monetary Policy report, they had expected quarterly growth to average 0.25% in H2.</w:t>
      </w:r>
      <w:r w:rsidR="00C85478">
        <w:t xml:space="preserve"> BoE agents also reported that April's increase in employers' national insurance contributions is weighing heavily on sentiment.</w:t>
      </w:r>
    </w:p>
    <w:p w14:paraId="4F4BA3D5" w14:textId="51E1C6D0" w:rsidR="0021783C" w:rsidRDefault="00C85478" w:rsidP="00B12143">
      <w:r>
        <w:t xml:space="preserve">Signs that the MPC is beginning to </w:t>
      </w:r>
      <w:r w:rsidRPr="00C85478">
        <w:t>adopt a more balanced consideration of growth and inflation dynamics</w:t>
      </w:r>
      <w:r>
        <w:t xml:space="preserve"> reinforce our view that we're likely to see a series of rate cuts in 2025. We </w:t>
      </w:r>
      <w:r w:rsidR="009537A9">
        <w:t>plan to</w:t>
      </w:r>
      <w:r>
        <w:t xml:space="preserve"> maintain our forecast that Bank Rate </w:t>
      </w:r>
      <w:r w:rsidR="009537A9">
        <w:t>will be</w:t>
      </w:r>
      <w:r>
        <w:t xml:space="preserve"> cut by 100bps in 2025 (with 25bps cuts in February. May, August, and November) to end the year at 3.75%. If activity remains soft, </w:t>
      </w:r>
      <w:r w:rsidR="006D7444">
        <w:t xml:space="preserve">then </w:t>
      </w:r>
      <w:r>
        <w:t>a faster pace of cuts remains a plausible alternative scenario.</w:t>
      </w:r>
    </w:p>
    <w:p w14:paraId="296B7BFB" w14:textId="0D3A506A" w:rsidR="00177C08" w:rsidRDefault="00177C08" w:rsidP="00177C08"/>
    <w:p w14:paraId="7F92A115" w14:textId="090A7EA9" w:rsidR="00177C08" w:rsidRDefault="00177C08" w:rsidP="00177C08">
      <w:pPr>
        <w:pStyle w:val="ExhibitSource"/>
        <w:jc w:val="center"/>
        <w:sectPr w:rsidR="00177C08" w:rsidSect="00177C08">
          <w:headerReference w:type="even" r:id="rId11"/>
          <w:headerReference w:type="default" r:id="rId12"/>
          <w:footerReference w:type="default" r:id="rId13"/>
          <w:headerReference w:type="first" r:id="rId14"/>
          <w:footerReference w:type="first" r:id="rId15"/>
          <w:pgSz w:w="11906" w:h="16838"/>
          <w:pgMar w:top="2665" w:right="1276" w:bottom="838" w:left="1134" w:header="708" w:footer="300" w:gutter="0"/>
          <w:cols w:space="708"/>
          <w:titlePg/>
          <w:docGrid w:linePitch="360"/>
        </w:sectPr>
      </w:pPr>
    </w:p>
    <w:p w14:paraId="57D8CBEE" w14:textId="77777777" w:rsidR="00DB3A54" w:rsidRPr="00806469" w:rsidRDefault="00DB3A54" w:rsidP="00923EE2">
      <w:pPr>
        <w:pStyle w:val="Heading2"/>
      </w:pPr>
      <w:r w:rsidRPr="00806469">
        <w:lastRenderedPageBreak/>
        <w:t>Key passages from the MPC minutes</w:t>
      </w:r>
    </w:p>
    <w:p w14:paraId="33146026" w14:textId="57540CFB" w:rsidR="00DB3A54" w:rsidRPr="00DB36B1" w:rsidRDefault="00DB3A54" w:rsidP="00DB3A54">
      <w:pPr>
        <w:rPr>
          <w:i/>
        </w:rPr>
      </w:pPr>
      <w:r w:rsidRPr="00DB36B1">
        <w:rPr>
          <w:i/>
        </w:rPr>
        <w:t>“</w:t>
      </w:r>
      <w:r w:rsidR="00DB36B1" w:rsidRPr="00DB36B1">
        <w:rPr>
          <w:i/>
        </w:rPr>
        <w:t>At this meeting, six members preferred to maintain Bank Rate at 4.75%. Most indicators of UK near-term activity had weakened, but CPI inflation, wage growth and some indicators of inflation expectations had risen, adding to the risk of inflation persistence. The macroeconomic implications of the higher costs of employment facing companies remained particularly uncertain. Against a backdrop over recent years of a repeated sequence of negative supply shocks, incoming data would help to clarify the potential trade-off between more persistent inflationary pressures and greater weakness in output and employment. For five of these members, recent developments added to the argument for a gradual approach to the withdrawal of policy restrictiveness, while eschewing any commitment to changing policy at a specific meeting. For the other member, the evolution of and prospects for disaggregated measures of activity and inflation could warrant an activist strategy</w:t>
      </w:r>
      <w:r w:rsidRPr="00DB36B1">
        <w:rPr>
          <w:i/>
        </w:rPr>
        <w:t>."</w:t>
      </w:r>
    </w:p>
    <w:p w14:paraId="2FB960DB" w14:textId="69696002" w:rsidR="00DB3A54" w:rsidRDefault="00DB3A54" w:rsidP="00DB3A54">
      <w:r w:rsidRPr="00DB3A54">
        <w:rPr>
          <w:b/>
          <w:color w:val="003469"/>
        </w:rPr>
        <w:t>Our interpretation:</w:t>
      </w:r>
      <w:r w:rsidRPr="00806469">
        <w:t xml:space="preserve"> </w:t>
      </w:r>
      <w:r w:rsidR="00DD2626">
        <w:t>For the first time in this rate cutting cycle, five members suggested that concerns about the weakness of activity and employment were a factor in their decision making</w:t>
      </w:r>
      <w:r>
        <w:t>.</w:t>
      </w:r>
      <w:r w:rsidR="00DD2626">
        <w:t xml:space="preserve"> Talk of a gradual approach to the withdrawal of policy restrictiveness is consistent with a series of rate cuts in 2025. We assume the dissenter to the majority view is Catherine Mann. The sentence outlining her view is so poorly drafted that its meaning is unclear, but we interpret it as arguing that the best course of action is to keep policy restrictive now and maintain the option of faster and deeper cuts later, should the situation warrant it.</w:t>
      </w:r>
    </w:p>
    <w:p w14:paraId="75C57D3C" w14:textId="79E512AA" w:rsidR="00DB3A54" w:rsidRPr="00DB36B1" w:rsidRDefault="00DB3A54" w:rsidP="00DB3A54">
      <w:pPr>
        <w:rPr>
          <w:i/>
          <w:color w:val="auto"/>
        </w:rPr>
      </w:pPr>
      <w:r w:rsidRPr="00DB36B1">
        <w:rPr>
          <w:i/>
          <w:color w:val="auto"/>
        </w:rPr>
        <w:t>"</w:t>
      </w:r>
      <w:r w:rsidR="00DB36B1" w:rsidRPr="00DB36B1">
        <w:rPr>
          <w:i/>
          <w:color w:val="auto"/>
        </w:rPr>
        <w:t>Three members preferred a 0.25 percentage point reduction in Bank Rate at this meeting. The most recent data developments pointed to sluggish demand and a weakening labour market, now and in the year ahead, both of which would see further downward pressure on demand, wages, and prices. In the short run, these factors, alongside higher uncertainty and weak global conditions, paired with the temporary uptick in headline inflation entailed a policy trade-off. In the medium term, a continued stance that was very restrictive risked deviating unsustainably from the 2% inflation target and opening an unduly large output gap. Given the evolving balance of risks, a less restrictive policy rate was warranted</w:t>
      </w:r>
      <w:r w:rsidRPr="00DB36B1">
        <w:rPr>
          <w:i/>
          <w:color w:val="auto"/>
        </w:rPr>
        <w:t>."</w:t>
      </w:r>
    </w:p>
    <w:p w14:paraId="3462522C" w14:textId="641C066F" w:rsidR="00DB3A54" w:rsidRPr="00806469" w:rsidRDefault="00DB3A54" w:rsidP="00DB3A54">
      <w:r w:rsidRPr="00DB3A54">
        <w:rPr>
          <w:b/>
          <w:color w:val="003469"/>
        </w:rPr>
        <w:t>Our interpretation:</w:t>
      </w:r>
      <w:r>
        <w:t xml:space="preserve"> </w:t>
      </w:r>
      <w:r w:rsidR="00DD2626">
        <w:t>Dhingra's vote to cut was a given, but we were surprised that Ramsden and Taylor joined her. Though both had suggested they placed a relatively high weight on the MPC's most benign inflation scenario, both</w:t>
      </w:r>
      <w:r w:rsidR="00C66DD2">
        <w:t xml:space="preserve"> appeared to have </w:t>
      </w:r>
      <w:r w:rsidR="00DD2626">
        <w:t xml:space="preserve">stopped short of </w:t>
      </w:r>
      <w:r w:rsidR="00C66DD2">
        <w:t>adopting it as their baseline</w:t>
      </w:r>
      <w:r>
        <w:t>.</w:t>
      </w:r>
      <w:r w:rsidR="00C66DD2">
        <w:t xml:space="preserve"> </w:t>
      </w:r>
      <w:r w:rsidR="00C66DD2" w:rsidRPr="00C66DD2">
        <w:t>But recent soft data for activity and employment appear to have tipped the balance</w:t>
      </w:r>
      <w:r w:rsidR="00C66DD2">
        <w:t>.</w:t>
      </w:r>
    </w:p>
    <w:p w14:paraId="35AE4E24" w14:textId="5160AC0B" w:rsidR="00DB3A54" w:rsidRPr="00DB36B1" w:rsidRDefault="00DB3A54" w:rsidP="00DB36B1">
      <w:pPr>
        <w:rPr>
          <w:i/>
        </w:rPr>
      </w:pPr>
      <w:r w:rsidRPr="00DB36B1">
        <w:rPr>
          <w:i/>
        </w:rPr>
        <w:t>"</w:t>
      </w:r>
      <w:r w:rsidR="00DB36B1" w:rsidRPr="00DB36B1">
        <w:rPr>
          <w:i/>
        </w:rPr>
        <w:t>The Committee continued to monitor closely the risks of inflation persistence and would assess the extent to which the evolving evidence was consistent with more constrained supply, which could sustain inflationary pressures, or with weaker demand, which could lead to the emergence of spare capacity in the economy and push down inflation. A gradual approach to removing monetary policy restraint remained appropriate. Monetary policy would need to continue to remain restrictive for sufficiently long until the risks to inflation returning sustainably to the 2% target in the medium term had dissipated further. The Committee would decide the appropriate degree of monetary policy restrictiveness at each meeting</w:t>
      </w:r>
      <w:r w:rsidRPr="00DB36B1">
        <w:rPr>
          <w:i/>
        </w:rPr>
        <w:t>."</w:t>
      </w:r>
    </w:p>
    <w:p w14:paraId="05C14EDE" w14:textId="1A247AD7" w:rsidR="00177C08" w:rsidRDefault="00DB3A54" w:rsidP="00177C08">
      <w:r w:rsidRPr="00DB3A54">
        <w:rPr>
          <w:b/>
          <w:color w:val="003469"/>
        </w:rPr>
        <w:t>Our interpretation:</w:t>
      </w:r>
      <w:r>
        <w:t xml:space="preserve"> </w:t>
      </w:r>
      <w:r w:rsidR="00C66DD2">
        <w:t xml:space="preserve">In June and September, the minutes had pointed to the importance of the upcoming forecast round as a potential trigger for policy change. We had expected a repeat in December, but the MPC opted against providing such an explicit steer again. However, we still think a February cut is likely, particularly given the relative lack of data releases before that meeting that could trigger a deviation from the </w:t>
      </w:r>
      <w:r w:rsidR="00CE2E65">
        <w:t>'</w:t>
      </w:r>
      <w:r w:rsidR="00C66DD2">
        <w:t>cut-hold</w:t>
      </w:r>
      <w:r w:rsidR="00CE2E65">
        <w:t>'</w:t>
      </w:r>
      <w:r w:rsidR="00C66DD2">
        <w:t xml:space="preserve"> tempo.</w:t>
      </w:r>
    </w:p>
    <w:sectPr w:rsidR="00177C08" w:rsidSect="00177C08">
      <w:pgSz w:w="11906" w:h="16838"/>
      <w:pgMar w:top="1417" w:right="1276" w:bottom="992"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4D21E" w14:textId="77777777" w:rsidR="00177C08" w:rsidRDefault="00177C08" w:rsidP="00177C08">
      <w:pPr>
        <w:spacing w:before="0" w:after="0"/>
      </w:pPr>
      <w:r>
        <w:separator/>
      </w:r>
    </w:p>
  </w:endnote>
  <w:endnote w:type="continuationSeparator" w:id="0">
    <w:p w14:paraId="5B3789DC" w14:textId="77777777" w:rsidR="00177C08" w:rsidRDefault="00177C08" w:rsidP="00177C0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CA148" w14:textId="05FA3B0F" w:rsidR="00177C08" w:rsidRPr="00177C08" w:rsidRDefault="00177C08" w:rsidP="00177C08">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F311B" w14:textId="6FFECA23" w:rsidR="00177C08" w:rsidRDefault="00177C08" w:rsidP="00177C08">
    <w:pPr>
      <w:pStyle w:val="Author"/>
    </w:pPr>
    <w:r>
      <w:t>Andrew Goodwin</w:t>
    </w:r>
    <w:r w:rsidR="00923EE2">
      <w:t xml:space="preserve"> - </w:t>
    </w:r>
    <w:r>
      <w:t>Chief UK Economist</w:t>
    </w:r>
    <w:r w:rsidR="00923EE2">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74774A" w14:textId="77777777" w:rsidR="00177C08" w:rsidRDefault="00177C08" w:rsidP="00177C08">
      <w:pPr>
        <w:spacing w:before="0" w:after="0"/>
      </w:pPr>
      <w:r>
        <w:separator/>
      </w:r>
    </w:p>
  </w:footnote>
  <w:footnote w:type="continuationSeparator" w:id="0">
    <w:p w14:paraId="6940B611" w14:textId="77777777" w:rsidR="00177C08" w:rsidRDefault="00177C08" w:rsidP="00177C0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4EF70" w14:textId="77777777" w:rsidR="00177C08" w:rsidRDefault="00177C08">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E8043" w14:textId="539415CA" w:rsidR="00177C08" w:rsidRDefault="00177C08" w:rsidP="00177C08">
    <w:pPr>
      <w:pStyle w:val="Headline"/>
      <w:spacing w:before="120"/>
      <w:ind w:right="-1000"/>
    </w:pPr>
    <w:r w:rsidRPr="00177C08">
      <w:rPr>
        <w:noProof/>
      </w:rPr>
      <w:drawing>
        <wp:anchor distT="0" distB="0" distL="114300" distR="114300" simplePos="0" relativeHeight="251658239" behindDoc="1" locked="1" layoutInCell="1" allowOverlap="1" wp14:anchorId="2320090E" wp14:editId="321DD135">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6F35D0" w:rsidRPr="006F35D0">
      <w:t xml:space="preserve">December hold, but MPC </w:t>
    </w:r>
    <w:r w:rsidR="006F35D0">
      <w:t>still</w:t>
    </w:r>
    <w:r w:rsidR="006F35D0" w:rsidRPr="006F35D0">
      <w:t xml:space="preserve"> on track to cut in February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A80D9" w14:textId="2E424129" w:rsidR="00177C08" w:rsidRDefault="00177C08" w:rsidP="00177C08">
    <w:r w:rsidRPr="00177C08">
      <w:rPr>
        <w:noProof/>
      </w:rPr>
      <w:drawing>
        <wp:anchor distT="0" distB="0" distL="114300" distR="114300" simplePos="0" relativeHeight="251659264" behindDoc="1" locked="1" layoutInCell="1" allowOverlap="1" wp14:anchorId="3ECA9092" wp14:editId="5D1B1012">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871806558"/>
      <w:lock w:val="sdtLocked"/>
      <w:placeholder>
        <w:docPart w:val="DefaultPlaceholder_-1854013437"/>
      </w:placeholder>
      <w:date w:fullDate="2024-12-19T00:00:00Z">
        <w:dateFormat w:val="d MMMM yyyy"/>
        <w:lid w:val="en-GB"/>
        <w:storeMappedDataAs w:val="dateTime"/>
        <w:calendar w:val="gregorian"/>
      </w:date>
    </w:sdtPr>
    <w:sdtEndPr/>
    <w:sdtContent>
      <w:p w14:paraId="773066C2" w14:textId="7BF4D2AB" w:rsidR="00177C08" w:rsidRDefault="00177C08" w:rsidP="00177C08">
        <w:pPr>
          <w:pStyle w:val="PublishDate"/>
          <w:framePr w:w="2835" w:h="340" w:hRule="exact" w:hSpace="180" w:wrap="around" w:vAnchor="page" w:hAnchor="page" w:x="7801" w:y="601" w:anchorLock="1"/>
        </w:pPr>
        <w:r>
          <w:t>19 December 2024</w:t>
        </w:r>
      </w:p>
    </w:sdtContent>
  </w:sdt>
  <w:p w14:paraId="73EDA647" w14:textId="6EA5E7EC" w:rsidR="00177C08" w:rsidRDefault="00177C08" w:rsidP="00177C08">
    <w:pPr>
      <w:pStyle w:val="ProductDescription"/>
      <w:framePr w:w="11339" w:h="1474" w:hRule="exact" w:hSpace="180" w:wrap="around" w:vAnchor="page" w:hAnchor="page" w:x="401" w:y="1141" w:anchorLock="1"/>
      <w:spacing w:after="200"/>
    </w:pPr>
    <w:r>
      <w:t>Research Briefing | UK</w:t>
    </w:r>
  </w:p>
  <w:p w14:paraId="22B161A7" w14:textId="56C47CDB" w:rsidR="00177C08" w:rsidRDefault="006F35D0" w:rsidP="00177C08">
    <w:pPr>
      <w:pStyle w:val="Headline"/>
      <w:framePr w:w="11339" w:h="1474" w:hRule="exact" w:hSpace="180" w:wrap="around" w:vAnchor="page" w:hAnchor="page" w:x="401" w:y="1141" w:anchorLock="1"/>
      <w:spacing w:line="200" w:lineRule="auto"/>
    </w:pPr>
    <w:r>
      <w:t xml:space="preserve">December hold, but </w:t>
    </w:r>
    <w:r w:rsidR="00177C08">
      <w:t xml:space="preserve">MPC </w:t>
    </w:r>
    <w:r>
      <w:t xml:space="preserve">still on track to </w:t>
    </w:r>
    <w:r w:rsidR="00177C08">
      <w:t>cut</w:t>
    </w:r>
    <w:r>
      <w:t xml:space="preserve"> in February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lvlOverride w:ilvl="0">
      <w:startOverride w:val="1"/>
    </w:lvlOverride>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C08"/>
    <w:rsid w:val="00003BA7"/>
    <w:rsid w:val="00022761"/>
    <w:rsid w:val="00031F3F"/>
    <w:rsid w:val="000434F7"/>
    <w:rsid w:val="0005491E"/>
    <w:rsid w:val="000C0ADF"/>
    <w:rsid w:val="000D3E43"/>
    <w:rsid w:val="000E2BD3"/>
    <w:rsid w:val="000F3F52"/>
    <w:rsid w:val="001018E9"/>
    <w:rsid w:val="00120D7A"/>
    <w:rsid w:val="00124E58"/>
    <w:rsid w:val="00160F71"/>
    <w:rsid w:val="0016316B"/>
    <w:rsid w:val="0017078A"/>
    <w:rsid w:val="00177C08"/>
    <w:rsid w:val="00190C04"/>
    <w:rsid w:val="00192CDF"/>
    <w:rsid w:val="001A5775"/>
    <w:rsid w:val="001A6993"/>
    <w:rsid w:val="001A749F"/>
    <w:rsid w:val="001B2B67"/>
    <w:rsid w:val="001B2C32"/>
    <w:rsid w:val="001D7057"/>
    <w:rsid w:val="001E0785"/>
    <w:rsid w:val="001E0C4A"/>
    <w:rsid w:val="001F3317"/>
    <w:rsid w:val="0021783C"/>
    <w:rsid w:val="00242E5E"/>
    <w:rsid w:val="002615F6"/>
    <w:rsid w:val="00262D94"/>
    <w:rsid w:val="00263E48"/>
    <w:rsid w:val="00274374"/>
    <w:rsid w:val="002745D6"/>
    <w:rsid w:val="00282A8A"/>
    <w:rsid w:val="00283117"/>
    <w:rsid w:val="00286754"/>
    <w:rsid w:val="0029566B"/>
    <w:rsid w:val="00295FD3"/>
    <w:rsid w:val="002C1955"/>
    <w:rsid w:val="002D0DC9"/>
    <w:rsid w:val="003017D9"/>
    <w:rsid w:val="0031169C"/>
    <w:rsid w:val="00316CBE"/>
    <w:rsid w:val="00370974"/>
    <w:rsid w:val="00374E02"/>
    <w:rsid w:val="00383D29"/>
    <w:rsid w:val="003B0CAB"/>
    <w:rsid w:val="003B715A"/>
    <w:rsid w:val="003C1BB1"/>
    <w:rsid w:val="003E7F3C"/>
    <w:rsid w:val="003F0F4E"/>
    <w:rsid w:val="00402C34"/>
    <w:rsid w:val="0040359C"/>
    <w:rsid w:val="00405A12"/>
    <w:rsid w:val="00405D65"/>
    <w:rsid w:val="004258C9"/>
    <w:rsid w:val="004458BB"/>
    <w:rsid w:val="004602D9"/>
    <w:rsid w:val="0046292D"/>
    <w:rsid w:val="0046551C"/>
    <w:rsid w:val="004677EA"/>
    <w:rsid w:val="00471ADE"/>
    <w:rsid w:val="004827E3"/>
    <w:rsid w:val="00484BF9"/>
    <w:rsid w:val="00495DE7"/>
    <w:rsid w:val="004A2A92"/>
    <w:rsid w:val="004A2AB9"/>
    <w:rsid w:val="004B4F66"/>
    <w:rsid w:val="004C7923"/>
    <w:rsid w:val="004D473F"/>
    <w:rsid w:val="004D5B83"/>
    <w:rsid w:val="004D650E"/>
    <w:rsid w:val="005176F2"/>
    <w:rsid w:val="00524103"/>
    <w:rsid w:val="00535C71"/>
    <w:rsid w:val="005414BA"/>
    <w:rsid w:val="0054280C"/>
    <w:rsid w:val="005473C6"/>
    <w:rsid w:val="00563FEB"/>
    <w:rsid w:val="00576CB8"/>
    <w:rsid w:val="00592138"/>
    <w:rsid w:val="00596CF1"/>
    <w:rsid w:val="005F0616"/>
    <w:rsid w:val="006125A3"/>
    <w:rsid w:val="006166EE"/>
    <w:rsid w:val="00630C9A"/>
    <w:rsid w:val="00671564"/>
    <w:rsid w:val="006739BF"/>
    <w:rsid w:val="0067595A"/>
    <w:rsid w:val="00692D11"/>
    <w:rsid w:val="006A1630"/>
    <w:rsid w:val="006A676D"/>
    <w:rsid w:val="006B76A5"/>
    <w:rsid w:val="006C6CCB"/>
    <w:rsid w:val="006C7C06"/>
    <w:rsid w:val="006D7444"/>
    <w:rsid w:val="006D758D"/>
    <w:rsid w:val="006F35D0"/>
    <w:rsid w:val="006F60F1"/>
    <w:rsid w:val="00703AF7"/>
    <w:rsid w:val="007723AE"/>
    <w:rsid w:val="00785745"/>
    <w:rsid w:val="007A0F18"/>
    <w:rsid w:val="007B57CD"/>
    <w:rsid w:val="007F5D5D"/>
    <w:rsid w:val="00847933"/>
    <w:rsid w:val="00855D68"/>
    <w:rsid w:val="0086090E"/>
    <w:rsid w:val="00870671"/>
    <w:rsid w:val="00874B7C"/>
    <w:rsid w:val="0088455B"/>
    <w:rsid w:val="008B46E3"/>
    <w:rsid w:val="008D4F08"/>
    <w:rsid w:val="008E11F0"/>
    <w:rsid w:val="008E721D"/>
    <w:rsid w:val="008F0FE6"/>
    <w:rsid w:val="008F1A70"/>
    <w:rsid w:val="00920D15"/>
    <w:rsid w:val="00923EE2"/>
    <w:rsid w:val="00933B30"/>
    <w:rsid w:val="009537A9"/>
    <w:rsid w:val="009634AC"/>
    <w:rsid w:val="00963AA5"/>
    <w:rsid w:val="00995E6B"/>
    <w:rsid w:val="009B3E28"/>
    <w:rsid w:val="009B723B"/>
    <w:rsid w:val="009C7C16"/>
    <w:rsid w:val="009E07F1"/>
    <w:rsid w:val="009E5F70"/>
    <w:rsid w:val="009E67AF"/>
    <w:rsid w:val="009F37D1"/>
    <w:rsid w:val="009F3F01"/>
    <w:rsid w:val="00A25234"/>
    <w:rsid w:val="00A332D4"/>
    <w:rsid w:val="00A50835"/>
    <w:rsid w:val="00A52669"/>
    <w:rsid w:val="00A576A0"/>
    <w:rsid w:val="00A61431"/>
    <w:rsid w:val="00A63323"/>
    <w:rsid w:val="00A66B32"/>
    <w:rsid w:val="00A77085"/>
    <w:rsid w:val="00A9430E"/>
    <w:rsid w:val="00AB24B7"/>
    <w:rsid w:val="00AB6B99"/>
    <w:rsid w:val="00AD07ED"/>
    <w:rsid w:val="00AE76E6"/>
    <w:rsid w:val="00B04E07"/>
    <w:rsid w:val="00B12143"/>
    <w:rsid w:val="00B16B5A"/>
    <w:rsid w:val="00B3081F"/>
    <w:rsid w:val="00B7343B"/>
    <w:rsid w:val="00B846EA"/>
    <w:rsid w:val="00B910EA"/>
    <w:rsid w:val="00BB6195"/>
    <w:rsid w:val="00BC1038"/>
    <w:rsid w:val="00BE1485"/>
    <w:rsid w:val="00BF2CE1"/>
    <w:rsid w:val="00BF6A2A"/>
    <w:rsid w:val="00BF71D7"/>
    <w:rsid w:val="00C17065"/>
    <w:rsid w:val="00C65A69"/>
    <w:rsid w:val="00C66DD2"/>
    <w:rsid w:val="00C71A9B"/>
    <w:rsid w:val="00C72052"/>
    <w:rsid w:val="00C73660"/>
    <w:rsid w:val="00C75153"/>
    <w:rsid w:val="00C76458"/>
    <w:rsid w:val="00C84AD7"/>
    <w:rsid w:val="00C85478"/>
    <w:rsid w:val="00C90D41"/>
    <w:rsid w:val="00C93538"/>
    <w:rsid w:val="00C9768F"/>
    <w:rsid w:val="00CA4BF3"/>
    <w:rsid w:val="00CA682D"/>
    <w:rsid w:val="00CB23EC"/>
    <w:rsid w:val="00CB7716"/>
    <w:rsid w:val="00CC3321"/>
    <w:rsid w:val="00CE2E65"/>
    <w:rsid w:val="00CE3160"/>
    <w:rsid w:val="00D01AEE"/>
    <w:rsid w:val="00D379EC"/>
    <w:rsid w:val="00D44219"/>
    <w:rsid w:val="00D645EE"/>
    <w:rsid w:val="00D82250"/>
    <w:rsid w:val="00DB0BE6"/>
    <w:rsid w:val="00DB36B1"/>
    <w:rsid w:val="00DB3A54"/>
    <w:rsid w:val="00DC3B6C"/>
    <w:rsid w:val="00DD2626"/>
    <w:rsid w:val="00DE568D"/>
    <w:rsid w:val="00DF68CB"/>
    <w:rsid w:val="00DF73F9"/>
    <w:rsid w:val="00E10235"/>
    <w:rsid w:val="00E213A8"/>
    <w:rsid w:val="00E23560"/>
    <w:rsid w:val="00E43695"/>
    <w:rsid w:val="00EA0803"/>
    <w:rsid w:val="00EA2025"/>
    <w:rsid w:val="00EC10CA"/>
    <w:rsid w:val="00ED615F"/>
    <w:rsid w:val="00ED6FF0"/>
    <w:rsid w:val="00F2643F"/>
    <w:rsid w:val="00F52C66"/>
    <w:rsid w:val="00F72F2A"/>
    <w:rsid w:val="00FC1EA7"/>
    <w:rsid w:val="00FE0EF6"/>
    <w:rsid w:val="00FE5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757A4D14"/>
  <w15:chartTrackingRefBased/>
  <w15:docId w15:val="{A932B65E-4828-4EB0-9ABE-98CAE1C7B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C08"/>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177C08"/>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77C08"/>
    <w:pPr>
      <w:outlineLvl w:val="1"/>
    </w:pPr>
    <w:rPr>
      <w:sz w:val="28"/>
    </w:rPr>
  </w:style>
  <w:style w:type="paragraph" w:styleId="Heading3">
    <w:name w:val="heading 3"/>
    <w:basedOn w:val="Normal"/>
    <w:next w:val="Normal"/>
    <w:link w:val="Heading3Char"/>
    <w:uiPriority w:val="9"/>
    <w:unhideWhenUsed/>
    <w:qFormat/>
    <w:rsid w:val="00177C08"/>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77C08"/>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177C0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177C08"/>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177C08"/>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177C08"/>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177C08"/>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177C08"/>
    <w:pPr>
      <w:tabs>
        <w:tab w:val="center" w:pos="4320"/>
        <w:tab w:val="right" w:pos="8640"/>
      </w:tabs>
    </w:pPr>
  </w:style>
  <w:style w:type="character" w:customStyle="1" w:styleId="HeaderChar">
    <w:name w:val="Header Char"/>
    <w:basedOn w:val="DefaultParagraphFont"/>
    <w:link w:val="Header"/>
    <w:uiPriority w:val="99"/>
    <w:rsid w:val="00177C08"/>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177C08"/>
    <w:pPr>
      <w:tabs>
        <w:tab w:val="center" w:pos="4320"/>
        <w:tab w:val="right" w:pos="8640"/>
      </w:tabs>
    </w:pPr>
  </w:style>
  <w:style w:type="character" w:customStyle="1" w:styleId="FooterChar">
    <w:name w:val="Footer Char"/>
    <w:basedOn w:val="DefaultParagraphFont"/>
    <w:link w:val="Footer"/>
    <w:uiPriority w:val="99"/>
    <w:rsid w:val="00177C08"/>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177C08"/>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177C08"/>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177C08"/>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177C08"/>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177C08"/>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177C08"/>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177C08"/>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177C08"/>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177C08"/>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177C08"/>
    <w:rPr>
      <w:noProof w:val="0"/>
    </w:rPr>
  </w:style>
  <w:style w:type="character" w:styleId="Hyperlink">
    <w:name w:val="Hyperlink"/>
    <w:basedOn w:val="DefaultParagraphFont"/>
    <w:uiPriority w:val="99"/>
    <w:unhideWhenUsed/>
    <w:rsid w:val="00177C08"/>
    <w:rPr>
      <w:noProof w:val="0"/>
      <w:color w:val="0563C1" w:themeColor="hyperlink"/>
      <w:u w:val="single"/>
    </w:rPr>
  </w:style>
  <w:style w:type="paragraph" w:styleId="ListParagraph">
    <w:name w:val="List Paragraph"/>
    <w:next w:val="Normal"/>
    <w:link w:val="ListParagraphChar"/>
    <w:uiPriority w:val="34"/>
    <w:locked/>
    <w:rsid w:val="00177C08"/>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177C08"/>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177C08"/>
    <w:pPr>
      <w:spacing w:after="120"/>
    </w:pPr>
    <w:rPr>
      <w:b/>
      <w:bCs/>
      <w:color w:val="FFFFFF"/>
      <w:sz w:val="32"/>
      <w:szCs w:val="32"/>
    </w:rPr>
  </w:style>
  <w:style w:type="paragraph" w:customStyle="1" w:styleId="Headline">
    <w:name w:val="Headline"/>
    <w:basedOn w:val="Normal"/>
    <w:next w:val="Normal"/>
    <w:link w:val="HeadlineChar"/>
    <w:qFormat/>
    <w:rsid w:val="00177C08"/>
    <w:rPr>
      <w:rFonts w:ascii="Segoe UI Semilight" w:hAnsi="Segoe UI Semilight" w:cs="Segoe UI Semilight"/>
      <w:b/>
      <w:bCs/>
      <w:color w:val="FFFFFF"/>
      <w:sz w:val="40"/>
      <w:szCs w:val="40"/>
    </w:rPr>
  </w:style>
  <w:style w:type="paragraph" w:customStyle="1" w:styleId="ExhibitTitle">
    <w:name w:val="Exhibit Title"/>
    <w:basedOn w:val="Normal"/>
    <w:qFormat/>
    <w:rsid w:val="00177C08"/>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177C08"/>
    <w:pPr>
      <w:shd w:val="clear" w:color="auto" w:fill="D6E2FA"/>
      <w:spacing w:after="0"/>
    </w:pPr>
    <w:rPr>
      <w:color w:val="595959" w:themeColor="text1" w:themeTint="A6"/>
      <w:sz w:val="18"/>
    </w:rPr>
  </w:style>
  <w:style w:type="paragraph" w:customStyle="1" w:styleId="ExhibitSource">
    <w:name w:val="Exhibit Source"/>
    <w:next w:val="Normal"/>
    <w:qFormat/>
    <w:rsid w:val="00177C08"/>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177C08"/>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177C08"/>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177C08"/>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177C08"/>
    <w:pPr>
      <w:ind w:left="862" w:right="862"/>
      <w:jc w:val="center"/>
    </w:pPr>
    <w:rPr>
      <w:i/>
      <w:iCs/>
      <w:color w:val="404040" w:themeColor="text1" w:themeTint="BF"/>
    </w:rPr>
  </w:style>
  <w:style w:type="character" w:customStyle="1" w:styleId="QuoteChar">
    <w:name w:val="Quote Char"/>
    <w:basedOn w:val="DefaultParagraphFont"/>
    <w:link w:val="Quote"/>
    <w:uiPriority w:val="29"/>
    <w:rsid w:val="00177C08"/>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177C08"/>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177C08"/>
    <w:rPr>
      <w:rFonts w:ascii="Segoe UI" w:hAnsi="Segoe UI" w:cs="Segoe UI"/>
      <w:noProof w:val="0"/>
      <w:color w:val="000000" w:themeColor="text1"/>
    </w:rPr>
  </w:style>
  <w:style w:type="paragraph" w:customStyle="1" w:styleId="Summary">
    <w:name w:val="Summary"/>
    <w:basedOn w:val="Normal"/>
    <w:link w:val="SummaryChar"/>
    <w:qFormat/>
    <w:rsid w:val="00177C08"/>
    <w:pPr>
      <w:numPr>
        <w:numId w:val="1"/>
      </w:numPr>
      <w:ind w:left="1797" w:hanging="357"/>
    </w:pPr>
    <w:rPr>
      <w:kern w:val="2"/>
      <w:sz w:val="22"/>
      <w14:ligatures w14:val="standardContextual"/>
    </w:rPr>
  </w:style>
  <w:style w:type="paragraph" w:customStyle="1" w:styleId="TableData">
    <w:name w:val="Table Data"/>
    <w:link w:val="TableDataChar"/>
    <w:qFormat/>
    <w:rsid w:val="00177C08"/>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177C08"/>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177C08"/>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177C08"/>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177C08"/>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177C08"/>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177C08"/>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177C08"/>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177C08"/>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177C08"/>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177C08"/>
    <w:rPr>
      <w:color w:val="003469"/>
    </w:rPr>
  </w:style>
  <w:style w:type="character" w:customStyle="1" w:styleId="RepeatingFooterChar">
    <w:name w:val="Repeating Footer Char"/>
    <w:basedOn w:val="FooterChar"/>
    <w:link w:val="RepeatingFooter"/>
    <w:rsid w:val="00177C08"/>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177C08"/>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177C08"/>
    <w:rPr>
      <w:b/>
      <w:bCs/>
      <w:noProof w:val="0"/>
    </w:rPr>
  </w:style>
  <w:style w:type="character" w:customStyle="1" w:styleId="Italics">
    <w:name w:val="Italics"/>
    <w:uiPriority w:val="1"/>
    <w:qFormat/>
    <w:rsid w:val="00177C08"/>
    <w:rPr>
      <w:i/>
      <w:iCs/>
      <w:noProof w:val="0"/>
    </w:rPr>
  </w:style>
  <w:style w:type="table" w:customStyle="1" w:styleId="TableGridHeader">
    <w:name w:val="Table Grid Header"/>
    <w:basedOn w:val="TableNormal"/>
    <w:uiPriority w:val="99"/>
    <w:rsid w:val="00177C08"/>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oxfordeconomics.com/reportaction/ad080685250F400ba2dA23/Toc"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y.oxfordeconomics.com/reportaction/d59DE1442cE74582bB9Eac/Toc" TargetMode="Externa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my.oxfordeconomics.com/reportaction/EE308401BDf2441ba039EF/Toc" TargetMode="External"/><Relationship Id="rId4" Type="http://schemas.openxmlformats.org/officeDocument/2006/relationships/webSettings" Target="webSettings.xml"/><Relationship Id="rId9" Type="http://schemas.openxmlformats.org/officeDocument/2006/relationships/hyperlink" Target="https://my.oxfordeconomics.com/reports/610aC013bdDB4827a791EC"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3DCA2BCB-9176-422B-9F9A-08E32A14D30B}"/>
      </w:docPartPr>
      <w:docPartBody>
        <w:p w:rsidR="00BE2FF8" w:rsidRDefault="00BE2FF8">
          <w:r w:rsidRPr="00530BA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FF8"/>
    <w:rsid w:val="00BE2F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1201</Words>
  <Characters>6286</Characters>
  <Application>Microsoft Office Word</Application>
  <DocSecurity>0</DocSecurity>
  <Lines>82</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10</cp:revision>
  <dcterms:created xsi:type="dcterms:W3CDTF">2024-12-19T15:09:00Z</dcterms:created>
  <dcterms:modified xsi:type="dcterms:W3CDTF">2024-12-19T15:16:00Z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v0.8.0.9</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2024-12-19T15:08:59.000Z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v0.8.0.9</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CATEGORIES">
    <vt:lpwstr>AnalysisbyRegion-Europe-UnitedKingdom,Macro-ResearchBriefings-UnitedKingdom</vt:lpwstr>
  </property>
  <property fmtid="{D5CDD505-2E9C-101B-9397-08002B2CF9AE}" pid="15" name="OEP_TAGS">
    <vt:lpwstr>Key Themes:interest rates,monetary policy</vt:lpwstr>
  </property>
  <property fmtid="{D5CDD505-2E9C-101B-9397-08002B2CF9AE}" pid="16" name="OEP_PRODUCT_CODE">
    <vt:lpwstr>A6728000ca2E4E47bA3608</vt:lpwstr>
  </property>
  <property fmtid="{D5CDD505-2E9C-101B-9397-08002B2CF9AE}" pid="17" name="OEP_PUBLISH_DATE">
    <vt:lpwstr/>
  </property>
</Properties>
</file>