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F524A" w14:textId="1A2246B5" w:rsidR="006B3A7C" w:rsidRPr="007D08E4" w:rsidRDefault="006A58AE" w:rsidP="006B3A7C">
      <w:pPr>
        <w:pStyle w:val="Bullet"/>
      </w:pPr>
      <w:r w:rsidRPr="007D08E4">
        <w:t xml:space="preserve">We forecast UK GDP growth will </w:t>
      </w:r>
      <w:r w:rsidR="00912D88" w:rsidRPr="007D08E4">
        <w:t>average</w:t>
      </w:r>
      <w:r w:rsidRPr="007D08E4">
        <w:t xml:space="preserve"> 1.5% a year over the medium-term</w:t>
      </w:r>
      <w:r w:rsidR="006B3A7C" w:rsidRPr="007D08E4">
        <w:t>.</w:t>
      </w:r>
      <w:r w:rsidRPr="007D08E4">
        <w:t xml:space="preserve"> Though strong inward migration will continue to provide support, </w:t>
      </w:r>
      <w:r w:rsidR="007D08E4">
        <w:t>the UK's</w:t>
      </w:r>
      <w:r w:rsidR="007D08E4" w:rsidRPr="007D08E4">
        <w:t xml:space="preserve"> </w:t>
      </w:r>
      <w:r w:rsidRPr="007D08E4">
        <w:t>ageing population means the economy must rel</w:t>
      </w:r>
      <w:r w:rsidR="007D08E4">
        <w:t>y</w:t>
      </w:r>
      <w:r w:rsidRPr="007D08E4">
        <w:t xml:space="preserve"> </w:t>
      </w:r>
      <w:r w:rsidR="007D08E4">
        <w:t xml:space="preserve">less </w:t>
      </w:r>
      <w:r w:rsidRPr="007D08E4">
        <w:t xml:space="preserve">on </w:t>
      </w:r>
      <w:r w:rsidR="007D08E4">
        <w:t>increasing</w:t>
      </w:r>
      <w:r w:rsidRPr="007D08E4">
        <w:t xml:space="preserve"> labour supply </w:t>
      </w:r>
      <w:r w:rsidR="007D08E4">
        <w:t>as a</w:t>
      </w:r>
      <w:r w:rsidRPr="007D08E4">
        <w:t xml:space="preserve"> growth</w:t>
      </w:r>
      <w:r w:rsidR="007D08E4">
        <w:t xml:space="preserve"> driver and more on productivity gains</w:t>
      </w:r>
      <w:r w:rsidRPr="007D08E4">
        <w:t xml:space="preserve">. We're optimistic that </w:t>
      </w:r>
      <w:r w:rsidR="007D08E4">
        <w:t>it</w:t>
      </w:r>
      <w:r w:rsidRPr="007D08E4">
        <w:t xml:space="preserve"> can improve</w:t>
      </w:r>
      <w:r w:rsidR="007D08E4">
        <w:t xml:space="preserve"> productivity</w:t>
      </w:r>
      <w:r w:rsidR="002E0B09">
        <w:t xml:space="preserve"> growth</w:t>
      </w:r>
      <w:r w:rsidRPr="007D08E4">
        <w:t>, but it's not guaranteed.</w:t>
      </w:r>
    </w:p>
    <w:p w14:paraId="2D5ABE62" w14:textId="50C9184E" w:rsidR="006A58AE" w:rsidRPr="007D08E4" w:rsidRDefault="006A58AE" w:rsidP="006B3A7C">
      <w:pPr>
        <w:pStyle w:val="Bullet"/>
      </w:pPr>
      <w:r w:rsidRPr="007D08E4">
        <w:t xml:space="preserve">The new population projections from the Office for National Statistics look too high </w:t>
      </w:r>
      <w:r w:rsidR="007D08E4">
        <w:t>to us, considering</w:t>
      </w:r>
      <w:r w:rsidRPr="007D08E4">
        <w:t xml:space="preserve"> the importance of temporary factors in driving </w:t>
      </w:r>
      <w:r w:rsidR="004F06C0">
        <w:t>recent high im</w:t>
      </w:r>
      <w:r w:rsidRPr="007D08E4">
        <w:t xml:space="preserve">migration and </w:t>
      </w:r>
      <w:r w:rsidR="005F1735" w:rsidRPr="007D08E4">
        <w:t>policy changes aimed at cutting legal immigration</w:t>
      </w:r>
      <w:r w:rsidR="006B3A7C" w:rsidRPr="007D08E4">
        <w:t>.</w:t>
      </w:r>
      <w:r w:rsidRPr="007D08E4">
        <w:t xml:space="preserve"> Our forecasts </w:t>
      </w:r>
      <w:r w:rsidR="00BE1493" w:rsidRPr="007D08E4">
        <w:t>use</w:t>
      </w:r>
      <w:r w:rsidRPr="007D08E4">
        <w:t xml:space="preserve"> the </w:t>
      </w:r>
      <w:r w:rsidR="00A977A2" w:rsidRPr="007D08E4">
        <w:t xml:space="preserve">ONS's </w:t>
      </w:r>
      <w:r w:rsidRPr="007D08E4">
        <w:t xml:space="preserve">low migration </w:t>
      </w:r>
      <w:r w:rsidR="006C5152">
        <w:t>scenario</w:t>
      </w:r>
      <w:r w:rsidRPr="007D08E4">
        <w:t>.</w:t>
      </w:r>
    </w:p>
    <w:p w14:paraId="19C9E917" w14:textId="1CB14587" w:rsidR="006B3A7C" w:rsidRPr="007D08E4" w:rsidRDefault="006A58AE" w:rsidP="006B3A7C">
      <w:pPr>
        <w:pStyle w:val="Bullet"/>
      </w:pPr>
      <w:r w:rsidRPr="007D08E4">
        <w:t xml:space="preserve">Increasing the state pension age has been a key </w:t>
      </w:r>
      <w:r w:rsidR="007D08E4">
        <w:t>spur to</w:t>
      </w:r>
      <w:r w:rsidRPr="007D08E4">
        <w:t xml:space="preserve"> strong labour supply growth since 2010</w:t>
      </w:r>
      <w:r w:rsidR="006B3A7C" w:rsidRPr="007D08E4">
        <w:t>.</w:t>
      </w:r>
      <w:r w:rsidRPr="007D08E4">
        <w:t xml:space="preserve"> But the retirement age will rise by </w:t>
      </w:r>
      <w:r w:rsidR="007D08E4">
        <w:t>just</w:t>
      </w:r>
      <w:r w:rsidR="007D08E4" w:rsidRPr="007D08E4">
        <w:t xml:space="preserve"> </w:t>
      </w:r>
      <w:r w:rsidRPr="007D08E4">
        <w:t>two more years before 2050</w:t>
      </w:r>
      <w:r w:rsidR="00912D88" w:rsidRPr="007D08E4">
        <w:t xml:space="preserve">. Ageing will increasingly weigh on workforce growth because older people participate </w:t>
      </w:r>
      <w:r w:rsidR="007D08E4">
        <w:t>less</w:t>
      </w:r>
      <w:r w:rsidR="00912D88" w:rsidRPr="007D08E4">
        <w:t>.</w:t>
      </w:r>
    </w:p>
    <w:p w14:paraId="6D0445D5" w14:textId="507FA969" w:rsidR="006B3A7C" w:rsidRPr="007D08E4" w:rsidRDefault="005169D8" w:rsidP="006B3A7C">
      <w:pPr>
        <w:pStyle w:val="Bullet"/>
      </w:pPr>
      <w:r w:rsidRPr="007D08E4">
        <w:t xml:space="preserve">We're sceptical that productivity growth </w:t>
      </w:r>
      <w:r w:rsidR="007D08E4">
        <w:t>will</w:t>
      </w:r>
      <w:r w:rsidR="007D08E4" w:rsidRPr="007D08E4">
        <w:t xml:space="preserve"> </w:t>
      </w:r>
      <w:r w:rsidRPr="007D08E4">
        <w:t>recover as strongly as the Office for Budget Responsibility anticipates in the next few years</w:t>
      </w:r>
      <w:r w:rsidR="006B3A7C" w:rsidRPr="007D08E4">
        <w:t>.</w:t>
      </w:r>
      <w:r w:rsidRPr="007D08E4">
        <w:t xml:space="preserve"> </w:t>
      </w:r>
      <w:r w:rsidR="007D08E4">
        <w:t>Still,</w:t>
      </w:r>
      <w:r w:rsidR="007D08E4" w:rsidRPr="007D08E4">
        <w:t xml:space="preserve"> </w:t>
      </w:r>
      <w:r w:rsidR="00053D75" w:rsidRPr="007D08E4">
        <w:t xml:space="preserve">productivity </w:t>
      </w:r>
      <w:r w:rsidR="007D08E4">
        <w:t>should</w:t>
      </w:r>
      <w:r w:rsidR="00053D75" w:rsidRPr="007D08E4">
        <w:t xml:space="preserve"> gradually strengthen</w:t>
      </w:r>
      <w:r w:rsidR="007D08E4">
        <w:t>,</w:t>
      </w:r>
      <w:r w:rsidRPr="007D08E4">
        <w:t xml:space="preserve"> </w:t>
      </w:r>
      <w:r w:rsidR="007D08E4">
        <w:t>based on</w:t>
      </w:r>
      <w:r w:rsidRPr="007D08E4">
        <w:t xml:space="preserve"> the </w:t>
      </w:r>
      <w:r w:rsidR="007D08E4">
        <w:t xml:space="preserve">longer-term </w:t>
      </w:r>
      <w:r w:rsidRPr="007D08E4">
        <w:t xml:space="preserve">potential boosts from </w:t>
      </w:r>
      <w:r w:rsidR="007D08E4">
        <w:t>AI</w:t>
      </w:r>
      <w:r w:rsidRPr="007D08E4">
        <w:t xml:space="preserve"> and investment in technologies to </w:t>
      </w:r>
      <w:r w:rsidR="007D08E4">
        <w:t>support</w:t>
      </w:r>
      <w:r w:rsidR="007D08E4" w:rsidRPr="007D08E4">
        <w:t xml:space="preserve"> </w:t>
      </w:r>
      <w:r w:rsidRPr="007D08E4">
        <w:t xml:space="preserve">the </w:t>
      </w:r>
      <w:r w:rsidR="007D08E4">
        <w:t xml:space="preserve">energy </w:t>
      </w:r>
      <w:r w:rsidRPr="007D08E4">
        <w:t>transition towards net zero.</w:t>
      </w:r>
    </w:p>
    <w:p w14:paraId="1EA7479B" w14:textId="347EE504" w:rsidR="00793893" w:rsidRPr="007D08E4" w:rsidRDefault="007D08E4" w:rsidP="006B3A7C">
      <w:r>
        <w:t>T</w:t>
      </w:r>
      <w:r w:rsidR="00E32282" w:rsidRPr="007D08E4">
        <w:t xml:space="preserve">he Office for National Statistics </w:t>
      </w:r>
      <w:r w:rsidR="00FB17D5" w:rsidRPr="007D08E4">
        <w:t xml:space="preserve">recently </w:t>
      </w:r>
      <w:r w:rsidR="00E32282" w:rsidRPr="007D08E4">
        <w:t>publish</w:t>
      </w:r>
      <w:r>
        <w:t>ed</w:t>
      </w:r>
      <w:r w:rsidR="00E32282" w:rsidRPr="007D08E4">
        <w:t xml:space="preserve"> a new set of population projections</w:t>
      </w:r>
      <w:r w:rsidR="00FC5B68">
        <w:t xml:space="preserve"> for the UK –</w:t>
      </w:r>
      <w:r w:rsidR="00E32282" w:rsidRPr="007D08E4">
        <w:t xml:space="preserve"> the first since the 2021 census</w:t>
      </w:r>
      <w:r w:rsidR="00FC5B68">
        <w:t xml:space="preserve"> –</w:t>
      </w:r>
      <w:r w:rsidR="00E32282" w:rsidRPr="007D08E4">
        <w:t xml:space="preserve"> and the Office for Budget Responsibility </w:t>
      </w:r>
      <w:r>
        <w:t xml:space="preserve">is </w:t>
      </w:r>
      <w:r w:rsidR="00E32282" w:rsidRPr="007D08E4">
        <w:t xml:space="preserve">due to present its new </w:t>
      </w:r>
      <w:r w:rsidR="008A6C07" w:rsidRPr="007D08E4">
        <w:t>economic forecasts</w:t>
      </w:r>
      <w:r w:rsidR="00E32282" w:rsidRPr="007D08E4">
        <w:t xml:space="preserve"> shortly</w:t>
      </w:r>
      <w:r>
        <w:t>.</w:t>
      </w:r>
      <w:r w:rsidR="00E32282" w:rsidRPr="007D08E4">
        <w:t xml:space="preserve"> </w:t>
      </w:r>
      <w:r>
        <w:t xml:space="preserve">So, </w:t>
      </w:r>
      <w:r w:rsidR="00E32282" w:rsidRPr="007D08E4">
        <w:t xml:space="preserve">it's a </w:t>
      </w:r>
      <w:r w:rsidR="0045603A" w:rsidRPr="007D08E4">
        <w:t>good</w:t>
      </w:r>
      <w:r w:rsidR="00E32282" w:rsidRPr="007D08E4">
        <w:t xml:space="preserve"> time for us to revisit our </w:t>
      </w:r>
      <w:r w:rsidRPr="007D08E4">
        <w:t xml:space="preserve">medium-term </w:t>
      </w:r>
      <w:r w:rsidR="00E32282" w:rsidRPr="007D08E4">
        <w:t xml:space="preserve">projections for economic growth. </w:t>
      </w:r>
    </w:p>
    <w:p w14:paraId="5D22DC37" w14:textId="63DC6CF6" w:rsidR="00092961" w:rsidRDefault="007D08E4" w:rsidP="00FE4720">
      <w:r>
        <w:t>W</w:t>
      </w:r>
      <w:r w:rsidRPr="007D08E4">
        <w:t xml:space="preserve">e think </w:t>
      </w:r>
      <w:r>
        <w:t>t</w:t>
      </w:r>
      <w:r w:rsidR="0088660C" w:rsidRPr="007D08E4">
        <w:t xml:space="preserve">he </w:t>
      </w:r>
      <w:r w:rsidR="000C7CD9" w:rsidRPr="007D08E4">
        <w:t xml:space="preserve">severe </w:t>
      </w:r>
      <w:r w:rsidR="00793893" w:rsidRPr="007D08E4">
        <w:t xml:space="preserve">disruption </w:t>
      </w:r>
      <w:r w:rsidR="0088660C" w:rsidRPr="007D08E4">
        <w:t xml:space="preserve">caused by the pandemic </w:t>
      </w:r>
      <w:r w:rsidR="00FC5B68" w:rsidRPr="007D08E4">
        <w:t xml:space="preserve">during 2020-2021 </w:t>
      </w:r>
      <w:r w:rsidR="0088660C" w:rsidRPr="007D08E4">
        <w:t xml:space="preserve">means </w:t>
      </w:r>
      <w:r w:rsidR="00FC5B68">
        <w:t>this decade</w:t>
      </w:r>
      <w:r w:rsidR="0088660C" w:rsidRPr="007D08E4">
        <w:t xml:space="preserve"> </w:t>
      </w:r>
      <w:r w:rsidR="00006381" w:rsidRPr="007D08E4">
        <w:t>will</w:t>
      </w:r>
      <w:r w:rsidR="0088660C" w:rsidRPr="007D08E4">
        <w:t xml:space="preserve"> </w:t>
      </w:r>
      <w:r w:rsidR="000C7CD9" w:rsidRPr="007D08E4">
        <w:t>be</w:t>
      </w:r>
      <w:r w:rsidR="0088660C" w:rsidRPr="007D08E4">
        <w:t xml:space="preserve"> the weakest for</w:t>
      </w:r>
      <w:r w:rsidR="00FC5B68">
        <w:t xml:space="preserve"> overall</w:t>
      </w:r>
      <w:r w:rsidR="0088660C" w:rsidRPr="007D08E4">
        <w:t xml:space="preserve"> </w:t>
      </w:r>
      <w:r w:rsidR="000C7CD9" w:rsidRPr="007D08E4">
        <w:t>GDP</w:t>
      </w:r>
      <w:r w:rsidR="0088660C" w:rsidRPr="007D08E4">
        <w:t xml:space="preserve"> growth since</w:t>
      </w:r>
      <w:r w:rsidR="00793893" w:rsidRPr="007D08E4">
        <w:t xml:space="preserve"> </w:t>
      </w:r>
      <w:r w:rsidR="00006381" w:rsidRPr="007D08E4">
        <w:t xml:space="preserve">the </w:t>
      </w:r>
      <w:r w:rsidR="00793893" w:rsidRPr="007D08E4">
        <w:t>1920s</w:t>
      </w:r>
      <w:r w:rsidR="00C70B9F" w:rsidRPr="007D08E4">
        <w:t xml:space="preserve">. </w:t>
      </w:r>
      <w:r w:rsidR="00793893" w:rsidRPr="007D08E4">
        <w:t>But</w:t>
      </w:r>
      <w:r w:rsidR="00871D9B" w:rsidRPr="007D08E4">
        <w:t xml:space="preserve">, using our production function framework for estimating </w:t>
      </w:r>
      <w:r w:rsidR="00FB6D2F" w:rsidRPr="007D08E4">
        <w:t xml:space="preserve">potential output </w:t>
      </w:r>
      <w:r w:rsidR="00871D9B" w:rsidRPr="007D08E4">
        <w:t>(</w:t>
      </w:r>
      <w:r>
        <w:t xml:space="preserve">see </w:t>
      </w:r>
      <w:r w:rsidR="00871D9B" w:rsidRPr="007D08E4">
        <w:rPr>
          <w:b/>
          <w:color w:val="003469"/>
        </w:rPr>
        <w:t>Box</w:t>
      </w:r>
      <w:r>
        <w:t xml:space="preserve"> for details</w:t>
      </w:r>
      <w:r w:rsidR="00871D9B" w:rsidRPr="007D08E4">
        <w:t xml:space="preserve">), we expect growth </w:t>
      </w:r>
      <w:r w:rsidR="008D2E06">
        <w:t>in</w:t>
      </w:r>
      <w:r w:rsidR="008D2E06" w:rsidRPr="007D08E4">
        <w:t xml:space="preserve"> </w:t>
      </w:r>
      <w:r w:rsidR="000A61EA" w:rsidRPr="007D08E4">
        <w:t xml:space="preserve">the second half of the decade </w:t>
      </w:r>
      <w:r w:rsidR="00871D9B" w:rsidRPr="007D08E4">
        <w:t>to be similar to that seen in the 2010s</w:t>
      </w:r>
      <w:r w:rsidR="00C70B9F" w:rsidRPr="007D08E4">
        <w:t xml:space="preserve"> (</w:t>
      </w:r>
      <w:r w:rsidR="0086062E" w:rsidRPr="003F46F7">
        <w:rPr>
          <w:b/>
          <w:color w:val="003469"/>
        </w:rPr>
        <w:fldChar w:fldCharType="begin"/>
      </w:r>
      <w:r w:rsidR="003F46F7" w:rsidRPr="003F46F7">
        <w:rPr>
          <w:b/>
          <w:color w:val="003469"/>
        </w:rPr>
        <w:instrText xml:space="preserve">REF _Ref158752239 \h \* Charformat </w:instrText>
      </w:r>
      <w:r w:rsidR="003F46F7" w:rsidRPr="003F46F7">
        <w:rPr>
          <w:b/>
          <w:color w:val="003469"/>
        </w:rPr>
      </w:r>
      <w:r w:rsidR="0086062E" w:rsidRPr="003F46F7">
        <w:rPr>
          <w:b/>
          <w:color w:val="003469"/>
        </w:rPr>
        <w:fldChar w:fldCharType="separate"/>
      </w:r>
      <w:r w:rsidR="00386394" w:rsidRPr="00386394">
        <w:rPr>
          <w:b/>
          <w:color w:val="003469"/>
        </w:rPr>
        <w:t>Chart 1</w:t>
      </w:r>
      <w:r w:rsidR="0086062E" w:rsidRPr="003F46F7">
        <w:rPr>
          <w:b/>
          <w:color w:val="003469"/>
        </w:rPr>
        <w:fldChar w:fldCharType="end"/>
      </w:r>
      <w:r w:rsidR="00C70B9F" w:rsidRPr="007D08E4">
        <w:t>).</w:t>
      </w:r>
      <w:r w:rsidR="00871D9B" w:rsidRPr="007D08E4">
        <w:t xml:space="preserve"> </w:t>
      </w:r>
      <w:r w:rsidR="00FC5B68">
        <w:t>The similarity between the</w:t>
      </w:r>
      <w:r w:rsidR="008D2E06" w:rsidRPr="007D08E4">
        <w:t xml:space="preserve"> </w:t>
      </w:r>
      <w:r w:rsidR="00C47163" w:rsidRPr="007D08E4">
        <w:t xml:space="preserve">overall growth rates masks a </w:t>
      </w:r>
      <w:r w:rsidR="008D2E06">
        <w:t>shift in</w:t>
      </w:r>
      <w:r w:rsidR="008D2E06" w:rsidRPr="007D08E4">
        <w:t xml:space="preserve"> </w:t>
      </w:r>
      <w:r w:rsidR="00C47163" w:rsidRPr="007D08E4">
        <w:t xml:space="preserve">composition, </w:t>
      </w:r>
      <w:r w:rsidR="00FC5B68">
        <w:t xml:space="preserve">however, </w:t>
      </w:r>
      <w:r w:rsidR="00C47163" w:rsidRPr="007D08E4">
        <w:t>with the economy set to become less reliant on strong growth</w:t>
      </w:r>
      <w:r w:rsidR="008D2E06">
        <w:t xml:space="preserve"> in</w:t>
      </w:r>
      <w:r w:rsidR="00C47163" w:rsidRPr="007D08E4">
        <w:t xml:space="preserve"> labour supply and more dependent on reversing the recent poor productivity performance. This transition will not be easy.</w:t>
      </w:r>
    </w:p>
    <w:p w14:paraId="6AE4ED75" w14:textId="0881B8E5" w:rsidR="006B3A7C" w:rsidRPr="007D08E4" w:rsidRDefault="006B3A7C" w:rsidP="00092961">
      <w:pPr>
        <w:pStyle w:val="ExhibitTitle"/>
        <w:jc w:val="center"/>
      </w:pPr>
      <w:bookmarkStart w:id="0" w:name="_Ref158752239"/>
      <w:r w:rsidRPr="007D08E4">
        <w:t xml:space="preserve">Chart </w:t>
      </w:r>
      <w:r w:rsidRPr="007D08E4">
        <w:fldChar w:fldCharType="begin"/>
      </w:r>
      <w:r w:rsidR="00092961">
        <w:instrText>SEQ CHART</w:instrText>
      </w:r>
      <w:r w:rsidRPr="007D08E4">
        <w:fldChar w:fldCharType="separate"/>
      </w:r>
      <w:r w:rsidR="00386394">
        <w:rPr>
          <w:noProof/>
        </w:rPr>
        <w:t>1</w:t>
      </w:r>
      <w:r w:rsidRPr="007D08E4">
        <w:fldChar w:fldCharType="end"/>
      </w:r>
      <w:bookmarkEnd w:id="0"/>
      <w:r w:rsidRPr="007D08E4">
        <w:t xml:space="preserve">: </w:t>
      </w:r>
      <w:r w:rsidR="00F308DF" w:rsidRPr="007D08E4">
        <w:t>We expect potential output growth to settle at 1.5% a year in the medium-term</w:t>
      </w:r>
    </w:p>
    <w:p w14:paraId="74CB0B86" w14:textId="3000280D" w:rsidR="00092961" w:rsidRDefault="00092961" w:rsidP="00092961">
      <w:pPr>
        <w:spacing w:after="0"/>
        <w:jc w:val="center"/>
        <w:rPr>
          <w:noProof/>
        </w:rPr>
      </w:pPr>
      <w:r>
        <w:rPr>
          <w:noProof/>
        </w:rPr>
        <w:drawing>
          <wp:inline distT="0" distB="0" distL="0" distR="0" wp14:anchorId="110D547D" wp14:editId="5249ED8D">
            <wp:extent cx="4006964" cy="3140642"/>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020853B6" w14:textId="2E208B20" w:rsidR="006B3A7C" w:rsidRPr="007D08E4" w:rsidRDefault="00092961" w:rsidP="00092961">
      <w:pPr>
        <w:pStyle w:val="ExhibitSource"/>
        <w:jc w:val="center"/>
      </w:pPr>
      <w:r>
        <w:t>Source: Oxford Economics</w:t>
      </w:r>
    </w:p>
    <w:p w14:paraId="31676BBC" w14:textId="003EBDE9" w:rsidR="006B3A7C" w:rsidRPr="007D08E4" w:rsidRDefault="006B3A7C" w:rsidP="006B3A7C">
      <w:pPr>
        <w:pStyle w:val="ExhibitSource"/>
        <w:jc w:val="center"/>
        <w:sectPr w:rsidR="006B3A7C" w:rsidRPr="007D08E4" w:rsidSect="00092961">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237633FA" w14:textId="79BD1C23" w:rsidR="00CF69CA" w:rsidRPr="007D08E4" w:rsidRDefault="00716168" w:rsidP="00717873">
      <w:pPr>
        <w:pStyle w:val="Heading3"/>
      </w:pPr>
      <w:r w:rsidRPr="007D08E4">
        <w:lastRenderedPageBreak/>
        <w:t xml:space="preserve">New </w:t>
      </w:r>
      <w:r w:rsidR="00CF69CA" w:rsidRPr="007D08E4">
        <w:t>ONS population projections look too high</w:t>
      </w:r>
    </w:p>
    <w:p w14:paraId="006F7CB3" w14:textId="5C2C64CC" w:rsidR="008032C0" w:rsidRPr="007D08E4" w:rsidRDefault="00D41543" w:rsidP="006B3A7C">
      <w:r w:rsidRPr="007D08E4">
        <w:t xml:space="preserve">Official </w:t>
      </w:r>
      <w:r w:rsidR="00FC5B68">
        <w:t xml:space="preserve">UK </w:t>
      </w:r>
      <w:r w:rsidRPr="007D08E4">
        <w:t>population estimates and projections have been in a state of flux for most of the period since the start of the pandemic</w:t>
      </w:r>
      <w:r w:rsidR="00792F8A" w:rsidRPr="007D08E4">
        <w:t xml:space="preserve">, initially </w:t>
      </w:r>
      <w:r w:rsidRPr="007D08E4">
        <w:t>due to problems measuring migration and then delays producing census-consistent historical estimates</w:t>
      </w:r>
      <w:r w:rsidR="006B3A7C" w:rsidRPr="007D08E4">
        <w:t>.</w:t>
      </w:r>
      <w:r w:rsidRPr="007D08E4">
        <w:t xml:space="preserve"> The historical picture remains incomplete because Scotland hasn't published its census-consistent data for 2011-2022. But the ONS </w:t>
      </w:r>
      <w:r w:rsidR="00E628D7" w:rsidRPr="007D08E4">
        <w:t xml:space="preserve">has pressed ahead and published </w:t>
      </w:r>
      <w:hyperlink r:id="rId17" w:history="1">
        <w:r w:rsidR="00097E01" w:rsidRPr="007D08E4">
          <w:rPr>
            <w:rStyle w:val="Hyperlink"/>
          </w:rPr>
          <w:t>interim UK projections</w:t>
        </w:r>
      </w:hyperlink>
      <w:r w:rsidR="00E628D7" w:rsidRPr="007D08E4">
        <w:t xml:space="preserve"> based on the mid-2021 data. </w:t>
      </w:r>
    </w:p>
    <w:p w14:paraId="274A8412" w14:textId="33C12B64" w:rsidR="0066210F" w:rsidRPr="007D08E4" w:rsidRDefault="00E628D7" w:rsidP="006B3A7C">
      <w:r w:rsidRPr="007D08E4">
        <w:t xml:space="preserve">The new projections </w:t>
      </w:r>
      <w:r w:rsidR="00DB19AD">
        <w:t>put</w:t>
      </w:r>
      <w:r w:rsidR="00DB19AD" w:rsidRPr="007D08E4">
        <w:t xml:space="preserve"> </w:t>
      </w:r>
      <w:r w:rsidR="008032C0" w:rsidRPr="007D08E4">
        <w:t>total population 4.4mn</w:t>
      </w:r>
      <w:r w:rsidRPr="007D08E4">
        <w:t xml:space="preserve"> </w:t>
      </w:r>
      <w:r w:rsidR="008032C0" w:rsidRPr="007D08E4">
        <w:t xml:space="preserve">(6%) </w:t>
      </w:r>
      <w:r w:rsidRPr="007D08E4">
        <w:t xml:space="preserve">higher </w:t>
      </w:r>
      <w:r w:rsidR="008032C0" w:rsidRPr="007D08E4">
        <w:t xml:space="preserve">in 2050 </w:t>
      </w:r>
      <w:r w:rsidRPr="007D08E4">
        <w:t xml:space="preserve">than </w:t>
      </w:r>
      <w:r w:rsidR="008032C0" w:rsidRPr="007D08E4">
        <w:t xml:space="preserve">the previous vintage, mainly due to a much higher assumption for net inward migration. </w:t>
      </w:r>
      <w:r w:rsidR="0066210F" w:rsidRPr="007D08E4">
        <w:t xml:space="preserve">The ONS based its long-term (post-2028) assumption on the average </w:t>
      </w:r>
      <w:r w:rsidR="007759D9" w:rsidRPr="007D08E4">
        <w:t>migration</w:t>
      </w:r>
      <w:r w:rsidR="0066210F" w:rsidRPr="007D08E4">
        <w:t xml:space="preserve"> </w:t>
      </w:r>
      <w:r w:rsidR="007759D9" w:rsidRPr="007D08E4">
        <w:t>f</w:t>
      </w:r>
      <w:r w:rsidR="0066210F" w:rsidRPr="007D08E4">
        <w:t xml:space="preserve">lows of the past ten years, applying a linear interpolation from the provisional 2023 outturn to </w:t>
      </w:r>
      <w:r w:rsidR="00DB19AD">
        <w:t>produce</w:t>
      </w:r>
      <w:r w:rsidR="0066210F" w:rsidRPr="007D08E4">
        <w:t xml:space="preserve"> its assumptions for the next five years. </w:t>
      </w:r>
    </w:p>
    <w:p w14:paraId="0F2D9FE6" w14:textId="31B5370E" w:rsidR="009659B2" w:rsidRPr="007D08E4" w:rsidRDefault="004F06C0" w:rsidP="006B3A7C">
      <w:r>
        <w:t>T</w:t>
      </w:r>
      <w:r w:rsidR="0066210F" w:rsidRPr="007D08E4">
        <w:t xml:space="preserve">his method results in an assumption </w:t>
      </w:r>
      <w:r w:rsidR="00DB19AD">
        <w:t xml:space="preserve">of </w:t>
      </w:r>
      <w:r w:rsidR="00552FB0" w:rsidRPr="007D08E4">
        <w:t>315,000 net inflows a year</w:t>
      </w:r>
      <w:r w:rsidR="00DB19AD">
        <w:t>,</w:t>
      </w:r>
      <w:r w:rsidR="00552FB0" w:rsidRPr="007D08E4">
        <w:t xml:space="preserve"> </w:t>
      </w:r>
      <w:r w:rsidR="0066210F" w:rsidRPr="007D08E4">
        <w:t>which</w:t>
      </w:r>
      <w:r w:rsidR="00DB19AD">
        <w:t xml:space="preserve"> we think</w:t>
      </w:r>
      <w:r w:rsidR="0066210F" w:rsidRPr="007D08E4">
        <w:t xml:space="preserve"> is too high. The ten-year average includes two years of exceptionally high inflows</w:t>
      </w:r>
      <w:r w:rsidR="00122402" w:rsidRPr="007D08E4">
        <w:t xml:space="preserve">, in part </w:t>
      </w:r>
      <w:r w:rsidR="0066210F" w:rsidRPr="007D08E4">
        <w:t xml:space="preserve">due to </w:t>
      </w:r>
      <w:r w:rsidR="00122402" w:rsidRPr="007D08E4">
        <w:t>special factors – visa schemes for migrants from Ukraine and Hong Kong, and the post-pandemic recovery in student inflows – that are unlikely to be repeated.</w:t>
      </w:r>
      <w:r w:rsidR="00552FB0" w:rsidRPr="007D08E4">
        <w:t xml:space="preserve"> In the ten years before the pandemic, net inflows averaged 241,000 a year</w:t>
      </w:r>
      <w:r w:rsidR="006B52F3" w:rsidRPr="007D08E4">
        <w:t xml:space="preserve"> and only one of those years saw net inflows as high as the ONS's assumption</w:t>
      </w:r>
      <w:r w:rsidR="00552FB0" w:rsidRPr="007D08E4">
        <w:t>.</w:t>
      </w:r>
    </w:p>
    <w:p w14:paraId="347CE974" w14:textId="100DE337" w:rsidR="009659B2" w:rsidRPr="007D08E4" w:rsidRDefault="00DB19AD" w:rsidP="006B3A7C">
      <w:r>
        <w:t xml:space="preserve">What's </w:t>
      </w:r>
      <w:r w:rsidRPr="007D08E4">
        <w:t>more</w:t>
      </w:r>
      <w:r w:rsidR="00552FB0" w:rsidRPr="007D08E4">
        <w:t>, t</w:t>
      </w:r>
      <w:r w:rsidR="00122402" w:rsidRPr="007D08E4">
        <w:t xml:space="preserve">he government has </w:t>
      </w:r>
      <w:r w:rsidR="00552FB0" w:rsidRPr="007D08E4">
        <w:t xml:space="preserve">announced a series of measures aimed at cutting legal immigration, including limiting the ability of foreign students to bring dependents to the UK, raising the minimum salary for a skilled worker visa, and increasing the minimum income required to qualify for a spousal visa. </w:t>
      </w:r>
    </w:p>
    <w:p w14:paraId="0768B467" w14:textId="773A8C20" w:rsidR="006B3A7C" w:rsidRPr="007D08E4" w:rsidRDefault="00552FB0" w:rsidP="006B3A7C">
      <w:r w:rsidRPr="007D08E4">
        <w:t xml:space="preserve">Therefore, we think it more appropriate to adopt </w:t>
      </w:r>
      <w:r w:rsidR="00534206" w:rsidRPr="007D08E4">
        <w:t xml:space="preserve">as our baseline assumption </w:t>
      </w:r>
      <w:r w:rsidRPr="007D08E4">
        <w:t>the ONS's low migration variant, which assumes net inflows of 253,000 a year over the medium-term (</w:t>
      </w:r>
      <w:r w:rsidR="00C53302" w:rsidRPr="003F46F7">
        <w:rPr>
          <w:b/>
          <w:color w:val="003469"/>
        </w:rPr>
        <w:fldChar w:fldCharType="begin"/>
      </w:r>
      <w:r w:rsidR="003F46F7" w:rsidRPr="003F46F7">
        <w:rPr>
          <w:b/>
          <w:color w:val="003469"/>
        </w:rPr>
        <w:instrText xml:space="preserve">REF _Ref158990475 \h \* Charformat </w:instrText>
      </w:r>
      <w:r w:rsidR="003F46F7" w:rsidRPr="003F46F7">
        <w:rPr>
          <w:b/>
          <w:color w:val="003469"/>
        </w:rPr>
      </w:r>
      <w:r w:rsidR="00C53302" w:rsidRPr="003F46F7">
        <w:rPr>
          <w:b/>
          <w:color w:val="003469"/>
        </w:rPr>
        <w:fldChar w:fldCharType="separate"/>
      </w:r>
      <w:r w:rsidR="00386394" w:rsidRPr="00386394">
        <w:rPr>
          <w:b/>
          <w:color w:val="003469"/>
        </w:rPr>
        <w:t>Chart 2</w:t>
      </w:r>
      <w:r w:rsidR="00C53302" w:rsidRPr="003F46F7">
        <w:rPr>
          <w:b/>
          <w:color w:val="003469"/>
        </w:rPr>
        <w:fldChar w:fldCharType="end"/>
      </w:r>
      <w:r w:rsidRPr="007D08E4">
        <w:t xml:space="preserve">). </w:t>
      </w:r>
      <w:r w:rsidR="000807E4" w:rsidRPr="007D08E4">
        <w:t>But this is still 48,000 a year higher than the central assumption used in the ONS's 2020-based projections.</w:t>
      </w:r>
    </w:p>
    <w:p w14:paraId="61DF7327" w14:textId="6ACE2C60" w:rsidR="006B3A7C" w:rsidRPr="007D08E4" w:rsidRDefault="006B3A7C" w:rsidP="00717873">
      <w:pPr>
        <w:pStyle w:val="ExhibitTitle"/>
      </w:pPr>
      <w:bookmarkStart w:id="1" w:name="_Ref158990475"/>
      <w:r w:rsidRPr="007D08E4">
        <w:t xml:space="preserve">Chart </w:t>
      </w:r>
      <w:r w:rsidRPr="007D08E4">
        <w:fldChar w:fldCharType="begin"/>
      </w:r>
      <w:r w:rsidR="00967066" w:rsidRPr="007D08E4">
        <w:instrText>SEQ CHART</w:instrText>
      </w:r>
      <w:r w:rsidRPr="007D08E4">
        <w:fldChar w:fldCharType="separate"/>
      </w:r>
      <w:r w:rsidR="00386394">
        <w:rPr>
          <w:noProof/>
        </w:rPr>
        <w:t>2</w:t>
      </w:r>
      <w:r w:rsidRPr="007D08E4">
        <w:fldChar w:fldCharType="end"/>
      </w:r>
      <w:bookmarkEnd w:id="1"/>
      <w:r w:rsidRPr="007D08E4">
        <w:t xml:space="preserve">: </w:t>
      </w:r>
      <w:r w:rsidR="006519FD" w:rsidRPr="007D08E4">
        <w:t>We think the ONS' low migration variant is the most realistic assumption</w:t>
      </w:r>
    </w:p>
    <w:p w14:paraId="24831F98" w14:textId="59839337" w:rsidR="00967066" w:rsidRPr="007D08E4" w:rsidRDefault="00967066" w:rsidP="00717873">
      <w:pPr>
        <w:spacing w:after="0"/>
      </w:pPr>
      <w:r w:rsidRPr="007D08E4">
        <w:rPr>
          <w:noProof/>
        </w:rPr>
        <w:drawing>
          <wp:inline distT="0" distB="0" distL="0" distR="0" wp14:anchorId="27B39992" wp14:editId="0559F3BB">
            <wp:extent cx="3250933" cy="2548068"/>
            <wp:effectExtent l="0" t="0" r="6985" b="508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05B828F2" w14:textId="3A692C78" w:rsidR="006B3A7C" w:rsidRPr="007D08E4" w:rsidRDefault="00967066" w:rsidP="00717873">
      <w:pPr>
        <w:pStyle w:val="ExhibitSource"/>
      </w:pPr>
      <w:r w:rsidRPr="007D08E4">
        <w:t>Sources: Oxford Economics, ONS</w:t>
      </w:r>
    </w:p>
    <w:p w14:paraId="1F977D9F" w14:textId="1B6B85A3" w:rsidR="00FC3B62" w:rsidRPr="007D08E4" w:rsidRDefault="00534206" w:rsidP="006B3A7C">
      <w:r>
        <w:t>Meanwhile</w:t>
      </w:r>
      <w:r w:rsidR="00FC3B62" w:rsidRPr="007D08E4">
        <w:t xml:space="preserve">, other demographic factors are likely to become less supportive. The </w:t>
      </w:r>
      <w:r>
        <w:t xml:space="preserve">UK </w:t>
      </w:r>
      <w:r w:rsidR="00FC3B62" w:rsidRPr="007D08E4">
        <w:t xml:space="preserve">population is ageing – 17% of the population were over 65 in 2010, but this has </w:t>
      </w:r>
      <w:r w:rsidRPr="007D08E4">
        <w:t xml:space="preserve">now </w:t>
      </w:r>
      <w:r w:rsidR="00FC3B62" w:rsidRPr="007D08E4">
        <w:t xml:space="preserve">increased to 19% and the ONS projects </w:t>
      </w:r>
      <w:r>
        <w:t>it</w:t>
      </w:r>
      <w:r w:rsidR="00FC3B62" w:rsidRPr="007D08E4">
        <w:t xml:space="preserve"> will rise to 23% in 2050. Participation tends to drop off steeply mov</w:t>
      </w:r>
      <w:r w:rsidR="00006381" w:rsidRPr="007D08E4">
        <w:t>ing</w:t>
      </w:r>
      <w:r w:rsidR="00FC3B62" w:rsidRPr="007D08E4">
        <w:t xml:space="preserve"> up the age distribution – activity rates for males and females aged 25 to 49 are above 90% and 80% respectively, but both drop by around 15ppts for the 50-64 cohort</w:t>
      </w:r>
      <w:r w:rsidR="00404BED" w:rsidRPr="007D08E4">
        <w:t xml:space="preserve">. </w:t>
      </w:r>
      <w:r>
        <w:t xml:space="preserve">And of those </w:t>
      </w:r>
      <w:r w:rsidRPr="007D08E4">
        <w:t>aged over 65</w:t>
      </w:r>
      <w:r>
        <w:t>,</w:t>
      </w:r>
      <w:r w:rsidRPr="007D08E4">
        <w:t xml:space="preserve"> </w:t>
      </w:r>
      <w:r>
        <w:t>j</w:t>
      </w:r>
      <w:r w:rsidR="00FC3B62" w:rsidRPr="007D08E4">
        <w:t xml:space="preserve">ust 15% of males and 8% of females are </w:t>
      </w:r>
      <w:r w:rsidR="00006381" w:rsidRPr="007D08E4">
        <w:t xml:space="preserve">currently </w:t>
      </w:r>
      <w:r w:rsidR="00FC3B62" w:rsidRPr="007D08E4">
        <w:t>classed as economically active.</w:t>
      </w:r>
    </w:p>
    <w:p w14:paraId="0606BF1B" w14:textId="7ACD9F0B" w:rsidR="00830C80" w:rsidRPr="007D08E4" w:rsidRDefault="00534206" w:rsidP="006B3A7C">
      <w:r w:rsidRPr="007D08E4">
        <w:t>Increas</w:t>
      </w:r>
      <w:r>
        <w:t>ed</w:t>
      </w:r>
      <w:r w:rsidRPr="007D08E4">
        <w:t xml:space="preserve"> </w:t>
      </w:r>
      <w:r w:rsidR="00FC3B62" w:rsidRPr="007D08E4">
        <w:t>longevity is one of the factors behind the rising share of older people, and that has been recognised in increases in t</w:t>
      </w:r>
      <w:r w:rsidR="003D18A6" w:rsidRPr="007D08E4">
        <w:t>he state pension age – from 60 in 2010 to 66 now for females, and from 65 to 66 for males</w:t>
      </w:r>
      <w:r w:rsidR="006B3A7C" w:rsidRPr="007D08E4">
        <w:t xml:space="preserve">. </w:t>
      </w:r>
      <w:r w:rsidR="003D18A6" w:rsidRPr="007D08E4">
        <w:t xml:space="preserve">The working age population today is just over 2mn larger than it would have been had the state pension ages remained at their 2010 levels. </w:t>
      </w:r>
      <w:r w:rsidR="00F36A84" w:rsidRPr="007D08E4">
        <w:t>T</w:t>
      </w:r>
      <w:r w:rsidR="00830C80" w:rsidRPr="007D08E4">
        <w:t>he</w:t>
      </w:r>
      <w:r w:rsidR="00457D64" w:rsidRPr="007D08E4">
        <w:t xml:space="preserve">re has also been a </w:t>
      </w:r>
      <w:r w:rsidR="00830C80" w:rsidRPr="007D08E4">
        <w:t>sharp rise in participation</w:t>
      </w:r>
      <w:r w:rsidR="00457D64" w:rsidRPr="007D08E4">
        <w:t xml:space="preserve"> </w:t>
      </w:r>
      <w:r w:rsidR="006B62F4" w:rsidRPr="007D08E4">
        <w:t>around</w:t>
      </w:r>
      <w:r w:rsidR="00457D64" w:rsidRPr="007D08E4">
        <w:t xml:space="preserve"> the state pension age</w:t>
      </w:r>
      <w:r w:rsidR="00830C80" w:rsidRPr="007D08E4">
        <w:t>.</w:t>
      </w:r>
      <w:r w:rsidR="002A635F" w:rsidRPr="007D08E4">
        <w:t xml:space="preserve"> Indeed, </w:t>
      </w:r>
      <w:r w:rsidR="00244F95" w:rsidRPr="007D08E4">
        <w:t>the number of people employed who are over 50 has increased by 2.9mn since the state pension age started rising</w:t>
      </w:r>
      <w:r>
        <w:t xml:space="preserve"> –</w:t>
      </w:r>
      <w:r w:rsidR="00244F95" w:rsidRPr="007D08E4">
        <w:t xml:space="preserve"> more than two-thirds of the increase in total employment </w:t>
      </w:r>
      <w:r w:rsidR="002A635F" w:rsidRPr="007D08E4">
        <w:t>(</w:t>
      </w:r>
      <w:r w:rsidR="003F46F7" w:rsidRPr="003F46F7">
        <w:rPr>
          <w:b/>
          <w:color w:val="003469"/>
        </w:rPr>
        <w:fldChar w:fldCharType="begin"/>
      </w:r>
      <w:r w:rsidR="003F46F7" w:rsidRPr="003F46F7">
        <w:rPr>
          <w:b/>
          <w:color w:val="003469"/>
        </w:rPr>
        <w:instrText xml:space="preserve">REF _Ref159335955 \h \* Charformat </w:instrText>
      </w:r>
      <w:r w:rsidR="003F46F7" w:rsidRPr="003F46F7">
        <w:rPr>
          <w:b/>
          <w:color w:val="003469"/>
        </w:rPr>
      </w:r>
      <w:r w:rsidR="003F46F7" w:rsidRPr="003F46F7">
        <w:rPr>
          <w:b/>
          <w:color w:val="003469"/>
        </w:rPr>
        <w:fldChar w:fldCharType="separate"/>
      </w:r>
      <w:r w:rsidR="00386394" w:rsidRPr="00386394">
        <w:rPr>
          <w:b/>
          <w:color w:val="003469"/>
        </w:rPr>
        <w:t>Chart 3</w:t>
      </w:r>
      <w:r w:rsidR="003F46F7" w:rsidRPr="003F46F7">
        <w:rPr>
          <w:b/>
          <w:color w:val="003469"/>
        </w:rPr>
        <w:fldChar w:fldCharType="end"/>
      </w:r>
      <w:r w:rsidR="002A635F" w:rsidRPr="007D08E4">
        <w:t>).</w:t>
      </w:r>
    </w:p>
    <w:p w14:paraId="25DAA4A2" w14:textId="5948BB7D" w:rsidR="002A635F" w:rsidRPr="007D08E4" w:rsidRDefault="002A635F" w:rsidP="00717873">
      <w:pPr>
        <w:pStyle w:val="ExhibitTitle"/>
      </w:pPr>
      <w:bookmarkStart w:id="2" w:name="_Ref159335955"/>
      <w:r w:rsidRPr="007D08E4">
        <w:lastRenderedPageBreak/>
        <w:t xml:space="preserve">Chart </w:t>
      </w:r>
      <w:r w:rsidR="00D776FC" w:rsidRPr="007D08E4">
        <w:fldChar w:fldCharType="begin"/>
      </w:r>
      <w:r w:rsidR="003F46F7">
        <w:instrText>SEQ CHART</w:instrText>
      </w:r>
      <w:r w:rsidR="00D776FC" w:rsidRPr="007D08E4">
        <w:fldChar w:fldCharType="separate"/>
      </w:r>
      <w:r w:rsidR="00386394">
        <w:rPr>
          <w:noProof/>
        </w:rPr>
        <w:t>3</w:t>
      </w:r>
      <w:r w:rsidR="00D776FC" w:rsidRPr="007D08E4">
        <w:fldChar w:fldCharType="end"/>
      </w:r>
      <w:bookmarkEnd w:id="2"/>
      <w:r w:rsidRPr="007D08E4">
        <w:t xml:space="preserve">: </w:t>
      </w:r>
      <w:r w:rsidR="00244F95" w:rsidRPr="007D08E4">
        <w:t>Older workers are responsible for the bulk of the rise in employment since 2009</w:t>
      </w:r>
    </w:p>
    <w:p w14:paraId="2B3A9D89" w14:textId="40712432" w:rsidR="00092961" w:rsidRDefault="00092961" w:rsidP="00717873">
      <w:pPr>
        <w:spacing w:after="0"/>
        <w:rPr>
          <w:noProof/>
        </w:rPr>
      </w:pPr>
      <w:r>
        <w:rPr>
          <w:noProof/>
        </w:rPr>
        <w:drawing>
          <wp:inline distT="0" distB="0" distL="0" distR="0" wp14:anchorId="4F8661D1" wp14:editId="6AC9ABD1">
            <wp:extent cx="3250933" cy="2548068"/>
            <wp:effectExtent l="0" t="0" r="6985" b="508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7D3DE05D" w14:textId="7D80EC34" w:rsidR="002A635F" w:rsidRPr="007D08E4" w:rsidRDefault="00092961" w:rsidP="00717873">
      <w:pPr>
        <w:pStyle w:val="ExhibitSource"/>
      </w:pPr>
      <w:r>
        <w:t>Source: Haver Analytics</w:t>
      </w:r>
    </w:p>
    <w:p w14:paraId="75F65AA2" w14:textId="3CA1BFEB" w:rsidR="006B3A7C" w:rsidRPr="007D08E4" w:rsidRDefault="00830C80" w:rsidP="006B3A7C">
      <w:r w:rsidRPr="007D08E4">
        <w:t xml:space="preserve">But </w:t>
      </w:r>
      <w:r w:rsidR="00006381" w:rsidRPr="007D08E4">
        <w:t xml:space="preserve">under </w:t>
      </w:r>
      <w:hyperlink r:id="rId22" w:history="1">
        <w:r w:rsidR="00006381" w:rsidRPr="007D08E4">
          <w:rPr>
            <w:rStyle w:val="Hyperlink"/>
          </w:rPr>
          <w:t>current plans</w:t>
        </w:r>
      </w:hyperlink>
      <w:r w:rsidR="00006381" w:rsidRPr="007D08E4">
        <w:t xml:space="preserve"> </w:t>
      </w:r>
      <w:r w:rsidRPr="007D08E4">
        <w:t xml:space="preserve">the support from a rising state pension age will </w:t>
      </w:r>
      <w:r w:rsidR="00AE5A78">
        <w:t>start to</w:t>
      </w:r>
      <w:r w:rsidR="00AE5A78" w:rsidRPr="007D08E4">
        <w:t xml:space="preserve"> </w:t>
      </w:r>
      <w:r w:rsidRPr="007D08E4">
        <w:t xml:space="preserve">fade. Just two more single year increases </w:t>
      </w:r>
      <w:r w:rsidR="00AE5A78">
        <w:t>have been</w:t>
      </w:r>
      <w:r w:rsidR="00AE5A78" w:rsidRPr="007D08E4">
        <w:t xml:space="preserve"> </w:t>
      </w:r>
      <w:r w:rsidR="00006381" w:rsidRPr="007D08E4">
        <w:t>legislated for</w:t>
      </w:r>
      <w:r w:rsidR="00AE5A78">
        <w:t>:</w:t>
      </w:r>
      <w:r w:rsidRPr="007D08E4">
        <w:t xml:space="preserve"> from 66 to 67 between 2026 and 2028, and from 67 to 68 between 2046 and 2048.</w:t>
      </w:r>
      <w:r w:rsidR="004F01CB" w:rsidRPr="007D08E4">
        <w:t xml:space="preserve"> </w:t>
      </w:r>
      <w:r w:rsidR="00457D64" w:rsidRPr="007D08E4">
        <w:t>This combination of p</w:t>
      </w:r>
      <w:r w:rsidR="004F01CB" w:rsidRPr="007D08E4">
        <w:t>opulation ageing</w:t>
      </w:r>
      <w:r w:rsidR="00AD114F" w:rsidRPr="007D08E4">
        <w:t xml:space="preserve"> and a relatively small increase in the state pension age</w:t>
      </w:r>
      <w:r w:rsidR="00457D64" w:rsidRPr="007D08E4">
        <w:t xml:space="preserve"> </w:t>
      </w:r>
      <w:r w:rsidR="004F01CB" w:rsidRPr="007D08E4">
        <w:t>will mitigate the boost to labour su</w:t>
      </w:r>
      <w:r w:rsidR="00FC3B62" w:rsidRPr="007D08E4">
        <w:t xml:space="preserve">pply from migration. </w:t>
      </w:r>
      <w:r w:rsidR="00AD114F" w:rsidRPr="007D08E4">
        <w:t>Working age population growth has averaged 1% a year over the past decade, but we forecast it will slow to 0.6% a year over the next ten years, and then just 0.1% a year in the following decade, when there is no increase in the state pension age</w:t>
      </w:r>
      <w:r w:rsidR="00E2167A" w:rsidRPr="007D08E4">
        <w:t xml:space="preserve"> planned</w:t>
      </w:r>
      <w:r w:rsidR="00AD114F" w:rsidRPr="007D08E4">
        <w:t xml:space="preserve"> (</w:t>
      </w:r>
      <w:r w:rsidR="00C53302" w:rsidRPr="003F46F7">
        <w:rPr>
          <w:b/>
          <w:color w:val="003469"/>
        </w:rPr>
        <w:fldChar w:fldCharType="begin"/>
      </w:r>
      <w:r w:rsidR="003F46F7" w:rsidRPr="003F46F7">
        <w:rPr>
          <w:b/>
          <w:color w:val="003469"/>
        </w:rPr>
        <w:instrText xml:space="preserve">REF _Ref158990476 \h \* Charformat </w:instrText>
      </w:r>
      <w:r w:rsidR="003F46F7" w:rsidRPr="003F46F7">
        <w:rPr>
          <w:b/>
          <w:color w:val="003469"/>
        </w:rPr>
      </w:r>
      <w:r w:rsidR="00C53302" w:rsidRPr="003F46F7">
        <w:rPr>
          <w:b/>
          <w:color w:val="003469"/>
        </w:rPr>
        <w:fldChar w:fldCharType="separate"/>
      </w:r>
      <w:r w:rsidR="00386394" w:rsidRPr="00386394">
        <w:rPr>
          <w:b/>
          <w:color w:val="003469"/>
        </w:rPr>
        <w:t>Chart 4</w:t>
      </w:r>
      <w:r w:rsidR="00C53302" w:rsidRPr="003F46F7">
        <w:rPr>
          <w:b/>
          <w:color w:val="003469"/>
        </w:rPr>
        <w:fldChar w:fldCharType="end"/>
      </w:r>
      <w:r w:rsidR="00AD114F" w:rsidRPr="007D08E4">
        <w:t>).</w:t>
      </w:r>
    </w:p>
    <w:p w14:paraId="348963FC" w14:textId="1234D853" w:rsidR="006B3A7C" w:rsidRPr="007D08E4" w:rsidRDefault="006B3A7C" w:rsidP="00717873">
      <w:pPr>
        <w:pStyle w:val="ExhibitTitle"/>
      </w:pPr>
      <w:bookmarkStart w:id="3" w:name="_Ref158990476"/>
      <w:r w:rsidRPr="007D08E4">
        <w:t xml:space="preserve">Chart </w:t>
      </w:r>
      <w:r w:rsidRPr="007D08E4">
        <w:fldChar w:fldCharType="begin"/>
      </w:r>
      <w:r w:rsidR="00386394">
        <w:instrText>SEQ CHART</w:instrText>
      </w:r>
      <w:r w:rsidRPr="007D08E4">
        <w:fldChar w:fldCharType="separate"/>
      </w:r>
      <w:r w:rsidR="00386394">
        <w:rPr>
          <w:noProof/>
        </w:rPr>
        <w:t>4</w:t>
      </w:r>
      <w:r w:rsidRPr="007D08E4">
        <w:fldChar w:fldCharType="end"/>
      </w:r>
      <w:bookmarkEnd w:id="3"/>
      <w:r w:rsidRPr="007D08E4">
        <w:t xml:space="preserve">: </w:t>
      </w:r>
      <w:r w:rsidR="00AD114F" w:rsidRPr="007D08E4">
        <w:t>Growth in working age population is set to slow sharply</w:t>
      </w:r>
    </w:p>
    <w:p w14:paraId="7107D973" w14:textId="60F29A16" w:rsidR="00386394" w:rsidRDefault="00386394" w:rsidP="00717873">
      <w:pPr>
        <w:spacing w:after="0"/>
        <w:rPr>
          <w:noProof/>
        </w:rPr>
      </w:pPr>
      <w:r>
        <w:rPr>
          <w:noProof/>
        </w:rPr>
        <w:drawing>
          <wp:inline distT="0" distB="0" distL="0" distR="0" wp14:anchorId="560E33C7" wp14:editId="5E6996AF">
            <wp:extent cx="3250933" cy="2548068"/>
            <wp:effectExtent l="0" t="0" r="6985" b="508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30A58DFD" w14:textId="7FD46E01" w:rsidR="006B3A7C" w:rsidRPr="007D08E4" w:rsidRDefault="00386394" w:rsidP="00717873">
      <w:pPr>
        <w:pStyle w:val="ExhibitSource"/>
      </w:pPr>
      <w:r>
        <w:t>Sources: Oxford Economics, ONS</w:t>
      </w:r>
    </w:p>
    <w:p w14:paraId="732885CF" w14:textId="77777777" w:rsidR="0030260C" w:rsidRPr="007D08E4" w:rsidRDefault="0030260C" w:rsidP="00717873">
      <w:pPr>
        <w:pStyle w:val="Heading3"/>
      </w:pPr>
      <w:r w:rsidRPr="007D08E4">
        <w:t>Rising sickness continues to weigh on participation</w:t>
      </w:r>
    </w:p>
    <w:p w14:paraId="0956B3C1" w14:textId="3CD80548" w:rsidR="006B3A7C" w:rsidRPr="007D08E4" w:rsidRDefault="0049020E" w:rsidP="009D238D">
      <w:r w:rsidRPr="007D08E4">
        <w:t xml:space="preserve">Ageing </w:t>
      </w:r>
      <w:r w:rsidR="009D238D" w:rsidRPr="007D08E4">
        <w:t xml:space="preserve">is also one of the factors underpinning the sharp rise in inactivity due to long-term sickness. The latest data shows 2.8mn people aged between 16-64 unable to </w:t>
      </w:r>
      <w:r w:rsidR="00531E46" w:rsidRPr="007D08E4">
        <w:t>participate in the labour market for this reason. This represents 30% of those who are inactive, comfortably the highest share since this data was first published in the early 1990s (</w:t>
      </w:r>
      <w:r w:rsidR="00C53302" w:rsidRPr="003F46F7">
        <w:rPr>
          <w:b/>
          <w:color w:val="003469"/>
        </w:rPr>
        <w:fldChar w:fldCharType="begin"/>
      </w:r>
      <w:r w:rsidR="003F46F7" w:rsidRPr="003F46F7">
        <w:rPr>
          <w:b/>
          <w:color w:val="003469"/>
        </w:rPr>
        <w:instrText xml:space="preserve">REF _Ref158990477 \h \* Charformat </w:instrText>
      </w:r>
      <w:r w:rsidR="003F46F7" w:rsidRPr="003F46F7">
        <w:rPr>
          <w:b/>
          <w:color w:val="003469"/>
        </w:rPr>
      </w:r>
      <w:r w:rsidR="00C53302" w:rsidRPr="003F46F7">
        <w:rPr>
          <w:b/>
          <w:color w:val="003469"/>
        </w:rPr>
        <w:fldChar w:fldCharType="separate"/>
      </w:r>
      <w:r w:rsidR="00386394" w:rsidRPr="00386394">
        <w:rPr>
          <w:b/>
          <w:color w:val="003469"/>
        </w:rPr>
        <w:t>Chart 5</w:t>
      </w:r>
      <w:r w:rsidR="00C53302" w:rsidRPr="003F46F7">
        <w:rPr>
          <w:b/>
          <w:color w:val="003469"/>
        </w:rPr>
        <w:fldChar w:fldCharType="end"/>
      </w:r>
      <w:r w:rsidR="00531E46" w:rsidRPr="007D08E4">
        <w:t>).</w:t>
      </w:r>
    </w:p>
    <w:p w14:paraId="1CA25975" w14:textId="52F33887" w:rsidR="00D105B2" w:rsidRPr="007D08E4" w:rsidRDefault="00D105B2" w:rsidP="00717873">
      <w:pPr>
        <w:pStyle w:val="ExhibitTitle"/>
      </w:pPr>
      <w:bookmarkStart w:id="4" w:name="_Ref158990477"/>
      <w:r w:rsidRPr="007D08E4">
        <w:lastRenderedPageBreak/>
        <w:t xml:space="preserve">Chart </w:t>
      </w:r>
      <w:r w:rsidR="0005174C" w:rsidRPr="007D08E4">
        <w:fldChar w:fldCharType="begin"/>
      </w:r>
      <w:r w:rsidR="00092961">
        <w:instrText>SEQ CHART</w:instrText>
      </w:r>
      <w:r w:rsidR="0005174C" w:rsidRPr="007D08E4">
        <w:fldChar w:fldCharType="separate"/>
      </w:r>
      <w:r w:rsidR="00386394">
        <w:rPr>
          <w:noProof/>
        </w:rPr>
        <w:t>5</w:t>
      </w:r>
      <w:r w:rsidR="0005174C" w:rsidRPr="007D08E4">
        <w:fldChar w:fldCharType="end"/>
      </w:r>
      <w:bookmarkEnd w:id="4"/>
      <w:r w:rsidRPr="007D08E4">
        <w:t xml:space="preserve">: </w:t>
      </w:r>
      <w:r w:rsidR="00B2687A" w:rsidRPr="007D08E4">
        <w:t>Ina</w:t>
      </w:r>
      <w:r w:rsidR="004D7B74" w:rsidRPr="007D08E4">
        <w:t>ctivity due to long-term sickness has risen sharply since the start of the pandemic</w:t>
      </w:r>
    </w:p>
    <w:p w14:paraId="0EF28713" w14:textId="42F086C7" w:rsidR="00092961" w:rsidRDefault="00092961" w:rsidP="00717873">
      <w:pPr>
        <w:spacing w:after="0"/>
        <w:rPr>
          <w:noProof/>
        </w:rPr>
      </w:pPr>
      <w:r>
        <w:rPr>
          <w:noProof/>
        </w:rPr>
        <w:drawing>
          <wp:inline distT="0" distB="0" distL="0" distR="0" wp14:anchorId="206F6A3E" wp14:editId="446939CF">
            <wp:extent cx="3250933" cy="2548068"/>
            <wp:effectExtent l="0" t="0" r="6985" b="508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rcRect b="1886"/>
                    <a:stretch>
                      <a:fillRect/>
                    </a:stretch>
                  </pic:blipFill>
                  <pic:spPr>
                    <a:xfrm>
                      <a:off x="0" y="0"/>
                      <a:ext cx="3250933" cy="2548068"/>
                    </a:xfrm>
                    <a:prstGeom prst="rect">
                      <a:avLst/>
                    </a:prstGeom>
                  </pic:spPr>
                </pic:pic>
              </a:graphicData>
            </a:graphic>
          </wp:inline>
        </w:drawing>
      </w:r>
    </w:p>
    <w:p w14:paraId="66356277" w14:textId="2284233E" w:rsidR="00D105B2" w:rsidRPr="007D08E4" w:rsidRDefault="00092961" w:rsidP="00717873">
      <w:pPr>
        <w:pStyle w:val="ExhibitSource"/>
      </w:pPr>
      <w:r>
        <w:t>Source: Haver Analytics</w:t>
      </w:r>
    </w:p>
    <w:p w14:paraId="2BF62492" w14:textId="66F69047" w:rsidR="00AE5A78" w:rsidRDefault="001C2E56" w:rsidP="006B3A7C">
      <w:r w:rsidRPr="007D08E4">
        <w:t xml:space="preserve">The increase since the start of the pandemic has been particularly marked, and only some of </w:t>
      </w:r>
      <w:r w:rsidR="00AE5A78">
        <w:t>it</w:t>
      </w:r>
      <w:r w:rsidRPr="007D08E4">
        <w:t xml:space="preserve"> is due to long Covid. Other factors include worsening mental health and </w:t>
      </w:r>
      <w:r w:rsidR="007A4E39" w:rsidRPr="007D08E4">
        <w:t>lengthening waiting lists for treatment via the National Health Service</w:t>
      </w:r>
      <w:r w:rsidR="006B3A7C" w:rsidRPr="007D08E4">
        <w:t>.</w:t>
      </w:r>
      <w:r w:rsidR="007A4E39" w:rsidRPr="007D08E4">
        <w:t xml:space="preserve"> </w:t>
      </w:r>
      <w:r w:rsidR="00F137ED" w:rsidRPr="007D08E4">
        <w:t xml:space="preserve">An </w:t>
      </w:r>
      <w:hyperlink r:id="rId27" w:history="1">
        <w:r w:rsidR="00F137ED" w:rsidRPr="007D08E4">
          <w:rPr>
            <w:rStyle w:val="Hyperlink"/>
          </w:rPr>
          <w:t>ONS deep dive</w:t>
        </w:r>
      </w:hyperlink>
      <w:r w:rsidR="00F137ED" w:rsidRPr="007D08E4">
        <w:t xml:space="preserve"> into the link between inactivity and ill health published last year demonstrates the scale of the challenge in turning this around. A large – and growing – share of this group report that more than one health condition is acting as a barrier to their return to the labour market. </w:t>
      </w:r>
    </w:p>
    <w:p w14:paraId="028A5BFE" w14:textId="4DA0C6C4" w:rsidR="00F137ED" w:rsidRPr="007D08E4" w:rsidRDefault="00F137ED" w:rsidP="006B3A7C">
      <w:r w:rsidRPr="007D08E4">
        <w:t>Furthermore, the problems extend beyond those who are currently inactive. The number of people of working age reporting one or two health conditions has risen from 8.5mn in 2016 to 10.6mn in 2023, suggesting there's a sizeable group who are at risk of becoming inactive if their conditions worsen.</w:t>
      </w:r>
      <w:r w:rsidR="006B5013" w:rsidRPr="007D08E4">
        <w:t xml:space="preserve"> But on the flip side, given how extreme the recent increase in long-term sickness has been, there is a good chance that some of the increase could be reversed if the government is able to make headway in reducing NHS waiting lists.</w:t>
      </w:r>
    </w:p>
    <w:p w14:paraId="43986831" w14:textId="34CA6054" w:rsidR="00597241" w:rsidRPr="007D08E4" w:rsidRDefault="00597241" w:rsidP="006B3A7C">
      <w:r w:rsidRPr="007D08E4">
        <w:t xml:space="preserve">Combining </w:t>
      </w:r>
      <w:r w:rsidR="00B7684E" w:rsidRPr="007D08E4">
        <w:t>our assumptions for demographics and participation</w:t>
      </w:r>
      <w:r w:rsidR="008607DC" w:rsidRPr="007D08E4">
        <w:t>, we expect the contribution of growth in labour supply to potential output to gradually slow, from 0.7ppts a year in the 2010s to 0.5ppts in the current decade and eventually falling to 0.2ppts in the 2040s.</w:t>
      </w:r>
    </w:p>
    <w:p w14:paraId="73494D87" w14:textId="2376713F" w:rsidR="00F137ED" w:rsidRPr="007D08E4" w:rsidRDefault="00F137ED" w:rsidP="00717873">
      <w:pPr>
        <w:pStyle w:val="Heading3"/>
      </w:pPr>
      <w:r w:rsidRPr="007D08E4">
        <w:t>Prospects for productivity growth remain subdued</w:t>
      </w:r>
    </w:p>
    <w:p w14:paraId="45AA4B34" w14:textId="110A8F7A" w:rsidR="006B3A7C" w:rsidRPr="007D08E4" w:rsidRDefault="000B3FCA" w:rsidP="006B3A7C">
      <w:r w:rsidRPr="007D08E4">
        <w:t xml:space="preserve">With the contribution of expanding labour supply likely to drop, this puts a bigger onus on productivity to drive potential output growth. But the </w:t>
      </w:r>
      <w:r w:rsidR="00D44A55" w:rsidRPr="007D08E4">
        <w:t xml:space="preserve">UK's </w:t>
      </w:r>
      <w:r w:rsidR="00045B12" w:rsidRPr="007D08E4">
        <w:t xml:space="preserve">productivity </w:t>
      </w:r>
      <w:r w:rsidRPr="007D08E4">
        <w:t xml:space="preserve">performance over the past fifteen years has been dismal </w:t>
      </w:r>
      <w:r w:rsidR="00AE5A78">
        <w:t>–</w:t>
      </w:r>
      <w:r w:rsidRPr="007D08E4">
        <w:t xml:space="preserve"> output per hour worked has averaged just 0.4% a year since the global financial crisis, compared with 2.2% a year in the previous 35 years (</w:t>
      </w:r>
      <w:r w:rsidR="00C53302" w:rsidRPr="003F46F7">
        <w:rPr>
          <w:b/>
          <w:color w:val="003469"/>
        </w:rPr>
        <w:fldChar w:fldCharType="begin"/>
      </w:r>
      <w:r w:rsidR="003F46F7" w:rsidRPr="003F46F7">
        <w:rPr>
          <w:b/>
          <w:color w:val="003469"/>
        </w:rPr>
        <w:instrText xml:space="preserve">REF _Ref158990478 \h \* Charformat </w:instrText>
      </w:r>
      <w:r w:rsidR="003F46F7" w:rsidRPr="003F46F7">
        <w:rPr>
          <w:b/>
          <w:color w:val="003469"/>
        </w:rPr>
      </w:r>
      <w:r w:rsidR="00C53302" w:rsidRPr="003F46F7">
        <w:rPr>
          <w:b/>
          <w:color w:val="003469"/>
        </w:rPr>
        <w:fldChar w:fldCharType="separate"/>
      </w:r>
      <w:r w:rsidR="00386394" w:rsidRPr="00386394">
        <w:rPr>
          <w:b/>
          <w:color w:val="003469"/>
        </w:rPr>
        <w:t>Chart 6</w:t>
      </w:r>
      <w:r w:rsidR="00C53302" w:rsidRPr="003F46F7">
        <w:rPr>
          <w:b/>
          <w:color w:val="003469"/>
        </w:rPr>
        <w:fldChar w:fldCharType="end"/>
      </w:r>
      <w:r w:rsidRPr="007D08E4">
        <w:t>).</w:t>
      </w:r>
    </w:p>
    <w:p w14:paraId="71D85A37" w14:textId="02810712" w:rsidR="00D105B2" w:rsidRPr="007D08E4" w:rsidRDefault="00D105B2" w:rsidP="00717873">
      <w:pPr>
        <w:pStyle w:val="ExhibitTitle"/>
      </w:pPr>
      <w:bookmarkStart w:id="5" w:name="_Ref158990478"/>
      <w:r w:rsidRPr="007D08E4">
        <w:lastRenderedPageBreak/>
        <w:t xml:space="preserve">Chart </w:t>
      </w:r>
      <w:r w:rsidRPr="007D08E4">
        <w:fldChar w:fldCharType="begin"/>
      </w:r>
      <w:r w:rsidR="008E65AA" w:rsidRPr="007D08E4">
        <w:instrText>SEQ CHART</w:instrText>
      </w:r>
      <w:r w:rsidRPr="007D08E4">
        <w:fldChar w:fldCharType="separate"/>
      </w:r>
      <w:r w:rsidR="00386394">
        <w:rPr>
          <w:noProof/>
        </w:rPr>
        <w:t>6</w:t>
      </w:r>
      <w:r w:rsidRPr="007D08E4">
        <w:fldChar w:fldCharType="end"/>
      </w:r>
      <w:bookmarkEnd w:id="5"/>
      <w:r w:rsidRPr="007D08E4">
        <w:t xml:space="preserve">: </w:t>
      </w:r>
      <w:r w:rsidR="00B63800" w:rsidRPr="007D08E4">
        <w:t>The UK's productivity performance since the global financial crisis has been dismal</w:t>
      </w:r>
    </w:p>
    <w:p w14:paraId="16D5C47E" w14:textId="25012257" w:rsidR="008E65AA" w:rsidRPr="007D08E4" w:rsidRDefault="008E65AA" w:rsidP="00717873">
      <w:pPr>
        <w:spacing w:after="0"/>
      </w:pPr>
      <w:r w:rsidRPr="007D08E4">
        <w:rPr>
          <w:noProof/>
        </w:rPr>
        <w:drawing>
          <wp:inline distT="0" distB="0" distL="0" distR="0" wp14:anchorId="378F3547" wp14:editId="6904BE3A">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631F81D3" w14:textId="60D287DB" w:rsidR="00D105B2" w:rsidRPr="007D08E4" w:rsidRDefault="008E65AA" w:rsidP="00717873">
      <w:pPr>
        <w:pStyle w:val="ExhibitSource"/>
      </w:pPr>
      <w:r w:rsidRPr="007D08E4">
        <w:t>Sources: Oxford Economics, Haver Analytics</w:t>
      </w:r>
    </w:p>
    <w:p w14:paraId="1BEABA89" w14:textId="3321319E" w:rsidR="0041273C" w:rsidRPr="007D08E4" w:rsidRDefault="00B63800" w:rsidP="006B3A7C">
      <w:r w:rsidRPr="007D08E4">
        <w:t xml:space="preserve">We analysed the </w:t>
      </w:r>
      <w:r w:rsidR="00556421" w:rsidRPr="007D08E4">
        <w:t xml:space="preserve">UK's </w:t>
      </w:r>
      <w:r w:rsidRPr="007D08E4">
        <w:t xml:space="preserve">poor productivity performance in a </w:t>
      </w:r>
      <w:hyperlink r:id="rId30" w:history="1">
        <w:r w:rsidR="00AE5A78" w:rsidRPr="007D08E4">
          <w:rPr>
            <w:rStyle w:val="Hyperlink"/>
          </w:rPr>
          <w:t xml:space="preserve">recent </w:t>
        </w:r>
        <w:r w:rsidR="00AE5A78">
          <w:rPr>
            <w:rStyle w:val="Hyperlink"/>
          </w:rPr>
          <w:t>report</w:t>
        </w:r>
      </w:hyperlink>
      <w:r w:rsidRPr="007D08E4">
        <w:t>,</w:t>
      </w:r>
      <w:r w:rsidR="00556421" w:rsidRPr="007D08E4">
        <w:t xml:space="preserve"> finding that the weakness was evident across most sectors of the economy. We </w:t>
      </w:r>
      <w:r w:rsidR="00B52B4F" w:rsidRPr="007D08E4">
        <w:t>argu</w:t>
      </w:r>
      <w:r w:rsidR="00556421" w:rsidRPr="007D08E4">
        <w:t>ed</w:t>
      </w:r>
      <w:r w:rsidR="00B52B4F" w:rsidRPr="007D08E4">
        <w:t xml:space="preserve"> </w:t>
      </w:r>
      <w:r w:rsidR="00556421" w:rsidRPr="007D08E4">
        <w:t xml:space="preserve">this </w:t>
      </w:r>
      <w:r w:rsidR="00B52B4F" w:rsidRPr="007D08E4">
        <w:t>reflected a variety of factors including the repercussions of the financial crisis, tight fiscal policy</w:t>
      </w:r>
      <w:r w:rsidR="00A54805" w:rsidRPr="007D08E4">
        <w:t xml:space="preserve"> stifling demand, low levels of public investment</w:t>
      </w:r>
      <w:r w:rsidR="00B52B4F" w:rsidRPr="007D08E4">
        <w:t>, Brexit, and a trend towards political short-termism</w:t>
      </w:r>
      <w:r w:rsidR="006B3A7C" w:rsidRPr="007D08E4">
        <w:t xml:space="preserve">. </w:t>
      </w:r>
    </w:p>
    <w:p w14:paraId="02010169" w14:textId="15E13985" w:rsidR="006D7ECB" w:rsidRPr="007D08E4" w:rsidRDefault="008366E0" w:rsidP="006B3A7C">
      <w:r w:rsidRPr="007D08E4">
        <w:t xml:space="preserve">Though the legacy of the financial crisis </w:t>
      </w:r>
      <w:r w:rsidR="00F8568C" w:rsidRPr="007D08E4">
        <w:t>has now</w:t>
      </w:r>
      <w:r w:rsidRPr="007D08E4">
        <w:t xml:space="preserve"> faded, m</w:t>
      </w:r>
      <w:r w:rsidR="00633737" w:rsidRPr="007D08E4">
        <w:t>any of the</w:t>
      </w:r>
      <w:r w:rsidRPr="007D08E4">
        <w:t xml:space="preserve"> other </w:t>
      </w:r>
      <w:r w:rsidR="00633737" w:rsidRPr="007D08E4">
        <w:t xml:space="preserve">factors </w:t>
      </w:r>
      <w:r w:rsidRPr="007D08E4">
        <w:t xml:space="preserve">are likely to </w:t>
      </w:r>
      <w:r w:rsidR="00633737" w:rsidRPr="007D08E4">
        <w:t xml:space="preserve">remain </w:t>
      </w:r>
      <w:r w:rsidR="00BB13D9" w:rsidRPr="007D08E4">
        <w:t>drags on productivity growth</w:t>
      </w:r>
      <w:r w:rsidRPr="007D08E4">
        <w:t xml:space="preserve"> </w:t>
      </w:r>
      <w:r w:rsidR="00AE5A78">
        <w:t>in the future</w:t>
      </w:r>
      <w:r w:rsidRPr="007D08E4">
        <w:t>.</w:t>
      </w:r>
      <w:r w:rsidR="00B74A1F" w:rsidRPr="007D08E4">
        <w:t xml:space="preserve"> Tight fiscal policy and low level</w:t>
      </w:r>
      <w:r w:rsidR="006A0D6D" w:rsidRPr="007D08E4">
        <w:t>s</w:t>
      </w:r>
      <w:r w:rsidR="00B74A1F" w:rsidRPr="007D08E4">
        <w:t xml:space="preserve"> of public investment are likely to remain particularly powerful headwinds over the next five years, with current government plans implying </w:t>
      </w:r>
      <w:r w:rsidR="0041273C" w:rsidRPr="007D08E4">
        <w:t xml:space="preserve">a significant tightening of policy after the election </w:t>
      </w:r>
      <w:r w:rsidR="00AE5A78">
        <w:t xml:space="preserve">this year, </w:t>
      </w:r>
      <w:r w:rsidR="00B74A1F" w:rsidRPr="007D08E4">
        <w:t xml:space="preserve">and a potential </w:t>
      </w:r>
      <w:hyperlink r:id="rId31" w:history="1">
        <w:r w:rsidR="00B74A1F" w:rsidRPr="007D08E4">
          <w:rPr>
            <w:rStyle w:val="Hyperlink"/>
          </w:rPr>
          <w:t xml:space="preserve">Labour government unlikely to have much </w:t>
        </w:r>
        <w:r w:rsidR="00D32CF1">
          <w:rPr>
            <w:rStyle w:val="Hyperlink"/>
          </w:rPr>
          <w:t xml:space="preserve">room </w:t>
        </w:r>
        <w:r w:rsidR="00B74A1F" w:rsidRPr="007D08E4">
          <w:rPr>
            <w:rStyle w:val="Hyperlink"/>
          </w:rPr>
          <w:t>for</w:t>
        </w:r>
        <w:r w:rsidR="0041273C" w:rsidRPr="007D08E4">
          <w:rPr>
            <w:rStyle w:val="Hyperlink"/>
          </w:rPr>
          <w:t xml:space="preserve"> manoeuvre</w:t>
        </w:r>
      </w:hyperlink>
      <w:r w:rsidR="0041273C" w:rsidRPr="007D08E4">
        <w:t xml:space="preserve"> given its own pledges.</w:t>
      </w:r>
    </w:p>
    <w:p w14:paraId="5225C100" w14:textId="5BB63460" w:rsidR="00BB13D9" w:rsidRPr="007D08E4" w:rsidRDefault="000E6A98" w:rsidP="006B3A7C">
      <w:r w:rsidRPr="007D08E4">
        <w:t>Still, we</w:t>
      </w:r>
      <w:r w:rsidR="00D32CF1">
        <w:t xml:space="preserve"> have</w:t>
      </w:r>
      <w:r w:rsidRPr="007D08E4">
        <w:t xml:space="preserve"> identif</w:t>
      </w:r>
      <w:r w:rsidR="00D32CF1">
        <w:t>ied</w:t>
      </w:r>
      <w:r w:rsidRPr="007D08E4">
        <w:t xml:space="preserve"> t</w:t>
      </w:r>
      <w:r w:rsidR="00BB13D9" w:rsidRPr="007D08E4">
        <w:t xml:space="preserve">wo </w:t>
      </w:r>
      <w:r w:rsidR="00D32CF1">
        <w:t>developments</w:t>
      </w:r>
      <w:r w:rsidR="00D32CF1" w:rsidRPr="007D08E4">
        <w:t xml:space="preserve"> </w:t>
      </w:r>
      <w:r w:rsidRPr="007D08E4">
        <w:t xml:space="preserve">that could </w:t>
      </w:r>
      <w:r w:rsidR="00BB13D9" w:rsidRPr="007D08E4">
        <w:t>potential</w:t>
      </w:r>
      <w:r w:rsidRPr="007D08E4">
        <w:t>ly</w:t>
      </w:r>
      <w:r w:rsidR="00BB13D9" w:rsidRPr="007D08E4">
        <w:t xml:space="preserve"> drive</w:t>
      </w:r>
      <w:r w:rsidRPr="007D08E4">
        <w:t xml:space="preserve"> </w:t>
      </w:r>
      <w:r w:rsidR="00BB13D9" w:rsidRPr="007D08E4">
        <w:t>strong</w:t>
      </w:r>
      <w:r w:rsidRPr="007D08E4">
        <w:t>er</w:t>
      </w:r>
      <w:r w:rsidR="00BB13D9" w:rsidRPr="007D08E4">
        <w:t xml:space="preserve"> productivity growth</w:t>
      </w:r>
      <w:r w:rsidRPr="007D08E4">
        <w:t xml:space="preserve">: </w:t>
      </w:r>
      <w:r w:rsidR="00BB13D9" w:rsidRPr="007D08E4">
        <w:t>artificial intelligence and investment in technologies to tackle climate change.</w:t>
      </w:r>
    </w:p>
    <w:p w14:paraId="0ED147F3" w14:textId="4B99C71D" w:rsidR="00997ED8" w:rsidRPr="007D08E4" w:rsidRDefault="00D776FC" w:rsidP="006B3A7C">
      <w:hyperlink r:id="rId32" w:history="1">
        <w:r w:rsidR="00997ED8" w:rsidRPr="007D08E4">
          <w:rPr>
            <w:rStyle w:val="Hyperlink"/>
          </w:rPr>
          <w:t>Our analysis</w:t>
        </w:r>
      </w:hyperlink>
      <w:r w:rsidR="00997ED8" w:rsidRPr="007D08E4">
        <w:t xml:space="preserve"> </w:t>
      </w:r>
      <w:r w:rsidR="00D32CF1">
        <w:t>shows</w:t>
      </w:r>
      <w:r w:rsidR="00D32CF1" w:rsidRPr="007D08E4">
        <w:t xml:space="preserve"> </w:t>
      </w:r>
      <w:r w:rsidR="00997ED8" w:rsidRPr="007D08E4">
        <w:t>that some of the periods of rapid productivity growth since the 19th century have been closely linked to the rise of new technologies, such as railways, electric power, and computers. Given AI is a general-purpose technology with potentially large spillovers, it too could have a large impact. However, not all new technologies have yielded large productivity gains, while those that have provided a big boost have only done so many years after the technology was invented.</w:t>
      </w:r>
    </w:p>
    <w:p w14:paraId="5A8FC12E" w14:textId="5B269545" w:rsidR="006F5972" w:rsidRPr="007D08E4" w:rsidRDefault="00997ED8" w:rsidP="006B3A7C">
      <w:r w:rsidRPr="007D08E4">
        <w:t xml:space="preserve">Our consultancy team has </w:t>
      </w:r>
      <w:hyperlink r:id="rId33" w:history="1">
        <w:r w:rsidRPr="007D08E4">
          <w:rPr>
            <w:rStyle w:val="Hyperlink"/>
          </w:rPr>
          <w:t>identified</w:t>
        </w:r>
      </w:hyperlink>
      <w:r w:rsidRPr="007D08E4">
        <w:t xml:space="preserve"> a large global opportunity from the transition to a greener global economy. </w:t>
      </w:r>
      <w:r w:rsidR="00D81E6C" w:rsidRPr="007D08E4">
        <w:t>The development of renewable power generation and electric vehicle manufacturing offer particularly large potential</w:t>
      </w:r>
      <w:r w:rsidRPr="007D08E4">
        <w:t xml:space="preserve"> </w:t>
      </w:r>
      <w:r w:rsidR="00D81E6C" w:rsidRPr="007D08E4">
        <w:t xml:space="preserve">gains, with clean energy manufacturing, biofuels, and green finance also offering opportunities. </w:t>
      </w:r>
      <w:r w:rsidR="00C41AE4" w:rsidRPr="007D08E4">
        <w:t xml:space="preserve">Government support will be particularly crucial to positioning the UK as a global leader in this field, but both main political parties have </w:t>
      </w:r>
      <w:r w:rsidR="006F5972" w:rsidRPr="007D08E4">
        <w:t xml:space="preserve">recently </w:t>
      </w:r>
      <w:r w:rsidR="00C41AE4" w:rsidRPr="007D08E4">
        <w:t xml:space="preserve">scaled back their commitments in this area. The government </w:t>
      </w:r>
      <w:r w:rsidR="006B7537" w:rsidRPr="007D08E4">
        <w:t>has watered down some of its net zero policies</w:t>
      </w:r>
      <w:r w:rsidR="00C41AE4" w:rsidRPr="007D08E4">
        <w:t>, while Labour has abandoned its flagship policy of investing £28bn a year in</w:t>
      </w:r>
      <w:r w:rsidR="006B7537" w:rsidRPr="007D08E4">
        <w:t xml:space="preserve"> green policies because it is unwilling to commit to higher government borrowing to finance it</w:t>
      </w:r>
      <w:r w:rsidR="00C41AE4" w:rsidRPr="007D08E4">
        <w:t>.</w:t>
      </w:r>
    </w:p>
    <w:p w14:paraId="179E884C" w14:textId="0110596C" w:rsidR="00997ED8" w:rsidRPr="007D08E4" w:rsidRDefault="00C41AE4" w:rsidP="006B3A7C">
      <w:r w:rsidRPr="007D08E4">
        <w:t>So</w:t>
      </w:r>
      <w:r w:rsidR="00D81E6C" w:rsidRPr="007D08E4">
        <w:t xml:space="preserve"> </w:t>
      </w:r>
      <w:r w:rsidR="00F46735" w:rsidRPr="007D08E4">
        <w:t xml:space="preserve">while we are optimistic that both </w:t>
      </w:r>
      <w:r w:rsidR="00D81E6C" w:rsidRPr="007D08E4">
        <w:t>AI</w:t>
      </w:r>
      <w:r w:rsidR="00F46735" w:rsidRPr="007D08E4">
        <w:t xml:space="preserve"> and climate change technologies</w:t>
      </w:r>
      <w:r w:rsidR="00D81E6C" w:rsidRPr="007D08E4">
        <w:t xml:space="preserve"> will offer </w:t>
      </w:r>
      <w:r w:rsidR="00F46735" w:rsidRPr="007D08E4">
        <w:t>support</w:t>
      </w:r>
      <w:r w:rsidR="00D81E6C" w:rsidRPr="007D08E4">
        <w:t xml:space="preserve"> to productivity growth, we're cautious about how large those gains will be</w:t>
      </w:r>
      <w:r w:rsidR="00EA5133" w:rsidRPr="007D08E4">
        <w:t xml:space="preserve"> and expect them to emerge slowly</w:t>
      </w:r>
      <w:r w:rsidR="00D81E6C" w:rsidRPr="007D08E4">
        <w:t>.</w:t>
      </w:r>
    </w:p>
    <w:p w14:paraId="116473FB" w14:textId="46C14016" w:rsidR="007E424F" w:rsidRPr="007D08E4" w:rsidRDefault="007E424F" w:rsidP="00717873">
      <w:pPr>
        <w:pStyle w:val="Heading3"/>
      </w:pPr>
      <w:r w:rsidRPr="007D08E4">
        <w:t>We expect potential output growth to settle at around 1.5% a year</w:t>
      </w:r>
    </w:p>
    <w:p w14:paraId="4EC89675" w14:textId="575F7822" w:rsidR="007E424F" w:rsidRPr="007D08E4" w:rsidRDefault="0018672D" w:rsidP="007E424F">
      <w:r w:rsidRPr="007D08E4">
        <w:t xml:space="preserve">Bringing the various elements of the forecast together, we expect potential output growth of around 1.5% a year for the rest of this decade. This is similar to the </w:t>
      </w:r>
      <w:hyperlink r:id="rId34" w:history="1">
        <w:r w:rsidRPr="007D08E4">
          <w:rPr>
            <w:rStyle w:val="Hyperlink"/>
          </w:rPr>
          <w:t xml:space="preserve">OBR's </w:t>
        </w:r>
        <w:r w:rsidR="00E402C3" w:rsidRPr="007D08E4">
          <w:rPr>
            <w:rStyle w:val="Hyperlink"/>
          </w:rPr>
          <w:t>November 2023</w:t>
        </w:r>
        <w:r w:rsidRPr="007D08E4">
          <w:rPr>
            <w:rStyle w:val="Hyperlink"/>
          </w:rPr>
          <w:t xml:space="preserve"> projection</w:t>
        </w:r>
      </w:hyperlink>
      <w:r w:rsidRPr="007D08E4">
        <w:t xml:space="preserve">, though the OBR's forecast pre-dates the new, </w:t>
      </w:r>
      <w:r w:rsidR="00AE0C08">
        <w:t>higher</w:t>
      </w:r>
      <w:r w:rsidRPr="007D08E4">
        <w:t>, population projections and relies on a stronger pickup in productivity growth (</w:t>
      </w:r>
      <w:r w:rsidR="00C53302" w:rsidRPr="003F46F7">
        <w:rPr>
          <w:b/>
          <w:color w:val="003469"/>
        </w:rPr>
        <w:fldChar w:fldCharType="begin"/>
      </w:r>
      <w:r w:rsidR="003F46F7" w:rsidRPr="003F46F7">
        <w:rPr>
          <w:b/>
          <w:color w:val="003469"/>
        </w:rPr>
        <w:instrText xml:space="preserve">REF _Ref158990479 \h \* Charformat </w:instrText>
      </w:r>
      <w:r w:rsidR="003F46F7" w:rsidRPr="003F46F7">
        <w:rPr>
          <w:b/>
          <w:color w:val="003469"/>
        </w:rPr>
      </w:r>
      <w:r w:rsidR="00C53302" w:rsidRPr="003F46F7">
        <w:rPr>
          <w:b/>
          <w:color w:val="003469"/>
        </w:rPr>
        <w:fldChar w:fldCharType="separate"/>
      </w:r>
      <w:r w:rsidR="00386394" w:rsidRPr="00386394">
        <w:rPr>
          <w:b/>
          <w:color w:val="003469"/>
        </w:rPr>
        <w:t>Chart 7</w:t>
      </w:r>
      <w:r w:rsidR="00C53302" w:rsidRPr="003F46F7">
        <w:rPr>
          <w:b/>
          <w:color w:val="003469"/>
        </w:rPr>
        <w:fldChar w:fldCharType="end"/>
      </w:r>
      <w:r w:rsidRPr="007D08E4">
        <w:t xml:space="preserve">). Though the Bank of England revised up its forecast for potential supply in </w:t>
      </w:r>
      <w:hyperlink r:id="rId35" w:history="1">
        <w:r w:rsidRPr="007D08E4">
          <w:rPr>
            <w:rStyle w:val="Hyperlink"/>
          </w:rPr>
          <w:t>February's Monetary Policy Report</w:t>
        </w:r>
      </w:hyperlink>
      <w:r w:rsidRPr="007D08E4">
        <w:t xml:space="preserve">, it's latest assumptions are still some way below ours. </w:t>
      </w:r>
      <w:r w:rsidR="00931FD2" w:rsidRPr="007D08E4">
        <w:t xml:space="preserve">However, </w:t>
      </w:r>
      <w:r w:rsidRPr="007D08E4">
        <w:t xml:space="preserve">the gap is likely to </w:t>
      </w:r>
      <w:r w:rsidR="00931FD2" w:rsidRPr="007D08E4">
        <w:t>narrow</w:t>
      </w:r>
      <w:r w:rsidRPr="007D08E4">
        <w:t xml:space="preserve"> when the BoE incorporates the new population projections.</w:t>
      </w:r>
    </w:p>
    <w:p w14:paraId="5CA5ADD9" w14:textId="3FC94B38" w:rsidR="001F184A" w:rsidRPr="007D08E4" w:rsidRDefault="001F184A" w:rsidP="00717873">
      <w:pPr>
        <w:pStyle w:val="ExhibitTitle"/>
      </w:pPr>
      <w:bookmarkStart w:id="6" w:name="_Ref158990479"/>
      <w:r w:rsidRPr="007D08E4">
        <w:lastRenderedPageBreak/>
        <w:t xml:space="preserve">Chart </w:t>
      </w:r>
      <w:r w:rsidR="0086062E" w:rsidRPr="007D08E4">
        <w:fldChar w:fldCharType="begin"/>
      </w:r>
      <w:r w:rsidR="00092961">
        <w:instrText>SEQ CHART</w:instrText>
      </w:r>
      <w:r w:rsidR="0086062E" w:rsidRPr="007D08E4">
        <w:fldChar w:fldCharType="separate"/>
      </w:r>
      <w:r w:rsidR="00386394">
        <w:rPr>
          <w:noProof/>
        </w:rPr>
        <w:t>7</w:t>
      </w:r>
      <w:r w:rsidR="0086062E" w:rsidRPr="007D08E4">
        <w:fldChar w:fldCharType="end"/>
      </w:r>
      <w:bookmarkEnd w:id="6"/>
      <w:r w:rsidRPr="007D08E4">
        <w:t xml:space="preserve">: </w:t>
      </w:r>
      <w:r w:rsidR="00F00E84" w:rsidRPr="007D08E4">
        <w:t>Our projections are similar to the OBR's latest forecast</w:t>
      </w:r>
    </w:p>
    <w:p w14:paraId="330B15B5" w14:textId="556BE409" w:rsidR="00092961" w:rsidRDefault="00092961" w:rsidP="00717873">
      <w:pPr>
        <w:spacing w:after="0"/>
        <w:rPr>
          <w:noProof/>
        </w:rPr>
      </w:pPr>
      <w:r>
        <w:rPr>
          <w:noProof/>
        </w:rPr>
        <w:drawing>
          <wp:inline distT="0" distB="0" distL="0" distR="0" wp14:anchorId="2718126D" wp14:editId="5DCB51CE">
            <wp:extent cx="3250933" cy="2548068"/>
            <wp:effectExtent l="0" t="0" r="6985" b="508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rcRect b="1886"/>
                    <a:stretch>
                      <a:fillRect/>
                    </a:stretch>
                  </pic:blipFill>
                  <pic:spPr>
                    <a:xfrm>
                      <a:off x="0" y="0"/>
                      <a:ext cx="3250933" cy="2548068"/>
                    </a:xfrm>
                    <a:prstGeom prst="rect">
                      <a:avLst/>
                    </a:prstGeom>
                  </pic:spPr>
                </pic:pic>
              </a:graphicData>
            </a:graphic>
          </wp:inline>
        </w:drawing>
      </w:r>
    </w:p>
    <w:p w14:paraId="6F70DCBA" w14:textId="4CF22539" w:rsidR="001F184A" w:rsidRPr="007D08E4" w:rsidRDefault="00092961" w:rsidP="00717873">
      <w:pPr>
        <w:pStyle w:val="ExhibitSource"/>
      </w:pPr>
      <w:r>
        <w:t>Sources: Oxford Economics, OBR, Bank of England</w:t>
      </w:r>
    </w:p>
    <w:p w14:paraId="78280A26" w14:textId="23D60B6A" w:rsidR="001F184A" w:rsidRPr="007D08E4" w:rsidRDefault="00507E59" w:rsidP="006B3A7C">
      <w:r w:rsidRPr="007D08E4">
        <w:t xml:space="preserve">Where we differ markedly from the OBR is on the extent to which </w:t>
      </w:r>
      <w:r w:rsidR="008A024B" w:rsidRPr="007D08E4">
        <w:t>productivity growth will accelerate in the 2030s and 2040s</w:t>
      </w:r>
      <w:r w:rsidR="00D81206" w:rsidRPr="007D08E4">
        <w:t>. E</w:t>
      </w:r>
      <w:r w:rsidR="00403E09" w:rsidRPr="007D08E4">
        <w:t>ven before the OBR has had the opportunity to incorporate the new population projections</w:t>
      </w:r>
      <w:r w:rsidR="002D2189" w:rsidRPr="007D08E4">
        <w:t>,</w:t>
      </w:r>
      <w:r w:rsidR="00403E09" w:rsidRPr="007D08E4">
        <w:t xml:space="preserve"> </w:t>
      </w:r>
      <w:r w:rsidR="00D32CF1">
        <w:t>its</w:t>
      </w:r>
      <w:r w:rsidR="00D32CF1" w:rsidRPr="007D08E4">
        <w:t xml:space="preserve"> </w:t>
      </w:r>
      <w:r w:rsidR="00403E09" w:rsidRPr="007D08E4">
        <w:t xml:space="preserve">forecast for </w:t>
      </w:r>
      <w:r w:rsidR="008A024B" w:rsidRPr="007D08E4">
        <w:t xml:space="preserve">2050 </w:t>
      </w:r>
      <w:r w:rsidR="00D32CF1">
        <w:t>puts</w:t>
      </w:r>
      <w:r w:rsidR="00D32CF1" w:rsidRPr="007D08E4">
        <w:t xml:space="preserve"> </w:t>
      </w:r>
      <w:r w:rsidR="002D2189" w:rsidRPr="007D08E4">
        <w:t xml:space="preserve">the level of </w:t>
      </w:r>
      <w:r w:rsidR="008A024B" w:rsidRPr="007D08E4">
        <w:t>GDP 5ppts higher than ours</w:t>
      </w:r>
      <w:r w:rsidR="00403E09" w:rsidRPr="007D08E4">
        <w:t xml:space="preserve"> </w:t>
      </w:r>
      <w:r w:rsidR="008A024B" w:rsidRPr="007D08E4">
        <w:t>(</w:t>
      </w:r>
      <w:r w:rsidR="00C53302" w:rsidRPr="003F46F7">
        <w:rPr>
          <w:b/>
          <w:color w:val="003469"/>
        </w:rPr>
        <w:fldChar w:fldCharType="begin"/>
      </w:r>
      <w:r w:rsidR="003F46F7" w:rsidRPr="003F46F7">
        <w:rPr>
          <w:b/>
          <w:color w:val="003469"/>
        </w:rPr>
        <w:instrText xml:space="preserve">REF _Ref158990480 \h \* Charformat </w:instrText>
      </w:r>
      <w:r w:rsidR="003F46F7" w:rsidRPr="003F46F7">
        <w:rPr>
          <w:b/>
          <w:color w:val="003469"/>
        </w:rPr>
      </w:r>
      <w:r w:rsidR="00C53302" w:rsidRPr="003F46F7">
        <w:rPr>
          <w:b/>
          <w:color w:val="003469"/>
        </w:rPr>
        <w:fldChar w:fldCharType="separate"/>
      </w:r>
      <w:r w:rsidR="00386394" w:rsidRPr="00386394">
        <w:rPr>
          <w:b/>
          <w:color w:val="003469"/>
        </w:rPr>
        <w:t>Chart 8</w:t>
      </w:r>
      <w:r w:rsidR="00C53302" w:rsidRPr="003F46F7">
        <w:rPr>
          <w:b/>
          <w:color w:val="003469"/>
        </w:rPr>
        <w:fldChar w:fldCharType="end"/>
      </w:r>
      <w:r w:rsidR="008A024B" w:rsidRPr="007D08E4">
        <w:t>).</w:t>
      </w:r>
      <w:r w:rsidR="00E34F2E" w:rsidRPr="007D08E4">
        <w:t xml:space="preserve"> The OBR expects the drag from Brexit-related factors will gradually fade, and that productivity growth will move closer to long-run historical norms than the experience of the past 15 years. </w:t>
      </w:r>
      <w:r w:rsidR="009766B8" w:rsidRPr="007D08E4">
        <w:t>T</w:t>
      </w:r>
      <w:r w:rsidR="00E34F2E" w:rsidRPr="007D08E4">
        <w:t>his assumption is not implausible, particularly if the gains from AI adoption and investment in climate change technologies begin to emerge</w:t>
      </w:r>
      <w:r w:rsidR="00D32CF1">
        <w:t xml:space="preserve"> quickly</w:t>
      </w:r>
      <w:r w:rsidR="009766B8" w:rsidRPr="007D08E4">
        <w:t xml:space="preserve">. But it looks optimistic in the context of </w:t>
      </w:r>
      <w:r w:rsidR="004B590C" w:rsidRPr="007D08E4">
        <w:t xml:space="preserve">the </w:t>
      </w:r>
      <w:r w:rsidR="009766B8" w:rsidRPr="007D08E4">
        <w:t>much weaker productivity growth</w:t>
      </w:r>
      <w:r w:rsidR="004B590C" w:rsidRPr="007D08E4">
        <w:t xml:space="preserve"> of the past 15 years</w:t>
      </w:r>
      <w:r w:rsidR="00E34F2E" w:rsidRPr="007D08E4">
        <w:t>.</w:t>
      </w:r>
    </w:p>
    <w:p w14:paraId="77335AE3" w14:textId="1326C765" w:rsidR="005C2AFE" w:rsidRPr="007D08E4" w:rsidRDefault="005C2AFE" w:rsidP="00717873">
      <w:pPr>
        <w:pStyle w:val="ExhibitTitle"/>
      </w:pPr>
      <w:bookmarkStart w:id="7" w:name="_Ref158990480"/>
      <w:r w:rsidRPr="007D08E4">
        <w:t xml:space="preserve">Chart </w:t>
      </w:r>
      <w:r w:rsidRPr="007D08E4">
        <w:fldChar w:fldCharType="begin"/>
      </w:r>
      <w:r w:rsidR="00092961">
        <w:instrText>SEQ CHART</w:instrText>
      </w:r>
      <w:r w:rsidRPr="007D08E4">
        <w:fldChar w:fldCharType="separate"/>
      </w:r>
      <w:r w:rsidR="00386394">
        <w:rPr>
          <w:noProof/>
        </w:rPr>
        <w:t>8</w:t>
      </w:r>
      <w:r w:rsidRPr="007D08E4">
        <w:fldChar w:fldCharType="end"/>
      </w:r>
      <w:bookmarkEnd w:id="7"/>
      <w:r w:rsidRPr="007D08E4">
        <w:t xml:space="preserve">: </w:t>
      </w:r>
      <w:r w:rsidR="00E34F2E" w:rsidRPr="007D08E4">
        <w:t xml:space="preserve">Our long-term </w:t>
      </w:r>
      <w:r w:rsidR="000E7CC9" w:rsidRPr="007D08E4">
        <w:t xml:space="preserve">growth </w:t>
      </w:r>
      <w:r w:rsidR="00E34F2E" w:rsidRPr="007D08E4">
        <w:t>forecast is more cautious than the OBR's</w:t>
      </w:r>
    </w:p>
    <w:p w14:paraId="104935A4" w14:textId="618B6993" w:rsidR="00092961" w:rsidRDefault="00092961" w:rsidP="00717873">
      <w:pPr>
        <w:spacing w:after="0"/>
        <w:rPr>
          <w:noProof/>
        </w:rPr>
      </w:pPr>
      <w:r>
        <w:rPr>
          <w:noProof/>
        </w:rPr>
        <w:drawing>
          <wp:inline distT="0" distB="0" distL="0" distR="0" wp14:anchorId="3C5E141B" wp14:editId="259A3197">
            <wp:extent cx="3250933" cy="2548068"/>
            <wp:effectExtent l="0" t="0" r="6985" b="508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rcRect b="1886"/>
                    <a:stretch>
                      <a:fillRect/>
                    </a:stretch>
                  </pic:blipFill>
                  <pic:spPr>
                    <a:xfrm>
                      <a:off x="0" y="0"/>
                      <a:ext cx="3250933" cy="2548068"/>
                    </a:xfrm>
                    <a:prstGeom prst="rect">
                      <a:avLst/>
                    </a:prstGeom>
                  </pic:spPr>
                </pic:pic>
              </a:graphicData>
            </a:graphic>
          </wp:inline>
        </w:drawing>
      </w:r>
    </w:p>
    <w:p w14:paraId="404964A0" w14:textId="6060EE68" w:rsidR="005C2AFE" w:rsidRPr="007D08E4" w:rsidRDefault="00092961" w:rsidP="00717873">
      <w:pPr>
        <w:pStyle w:val="ExhibitSource"/>
      </w:pPr>
      <w:r>
        <w:t>Sources: Oxford Economics, Haver Analytics, OBR</w:t>
      </w:r>
    </w:p>
    <w:p w14:paraId="710A2C77" w14:textId="78FB2A50" w:rsidR="005B4C92" w:rsidRPr="007D08E4" w:rsidRDefault="005B4C92" w:rsidP="00717873">
      <w:pPr>
        <w:pStyle w:val="Heading3"/>
      </w:pPr>
      <w:r w:rsidRPr="007D08E4">
        <w:t>A coherent long-term strategy could make a tangible difference</w:t>
      </w:r>
    </w:p>
    <w:p w14:paraId="251E81B8" w14:textId="4449E79D" w:rsidR="005C2AFE" w:rsidRPr="007D08E4" w:rsidRDefault="00C07190" w:rsidP="006B3A7C">
      <w:r w:rsidRPr="007D08E4">
        <w:t xml:space="preserve">The chances of achieving the OBR's forecast would be enhanced if the UK had a strategy for improving potential output growth. A year ago, we published a </w:t>
      </w:r>
      <w:hyperlink r:id="rId40" w:history="1">
        <w:r w:rsidRPr="007D08E4">
          <w:rPr>
            <w:rStyle w:val="Hyperlink"/>
          </w:rPr>
          <w:t>seven point plan for growth</w:t>
        </w:r>
      </w:hyperlink>
      <w:r w:rsidRPr="007D08E4">
        <w:t>, but little progress has been made</w:t>
      </w:r>
      <w:r w:rsidR="00794E43" w:rsidRPr="007D08E4">
        <w:t xml:space="preserve"> </w:t>
      </w:r>
      <w:r w:rsidR="00E72392" w:rsidRPr="007D08E4">
        <w:t>since then. W</w:t>
      </w:r>
      <w:r w:rsidR="00794E43" w:rsidRPr="007D08E4">
        <w:t xml:space="preserve">hile the government delivered on most of the recommendations we made for reforming childcare in the </w:t>
      </w:r>
      <w:hyperlink r:id="rId41" w:history="1">
        <w:r w:rsidR="00794E43" w:rsidRPr="007D08E4">
          <w:rPr>
            <w:rStyle w:val="Hyperlink"/>
          </w:rPr>
          <w:t>March 2023 Budget</w:t>
        </w:r>
      </w:hyperlink>
      <w:r w:rsidR="00794E43" w:rsidRPr="007D08E4">
        <w:t>, there's scant evidence of movement on the remaining six proposals</w:t>
      </w:r>
      <w:r w:rsidRPr="007D08E4">
        <w:t>.</w:t>
      </w:r>
    </w:p>
    <w:p w14:paraId="5EEA132E" w14:textId="64F47083" w:rsidR="0074535A" w:rsidRPr="007D08E4" w:rsidRDefault="008F1CA5" w:rsidP="006B3A7C">
      <w:r w:rsidRPr="007D08E4">
        <w:t>It appears unlikely that the government will make much progress in the forthcoming Budget either, with the focus seeming</w:t>
      </w:r>
      <w:r w:rsidR="00D32CF1">
        <w:t xml:space="preserve"> to be</w:t>
      </w:r>
      <w:r w:rsidRPr="007D08E4">
        <w:t xml:space="preserve"> on finding space for vote-winning tax cuts rather than a longer-term strategy. And while </w:t>
      </w:r>
      <w:hyperlink r:id="rId42" w:history="1">
        <w:r w:rsidRPr="007D08E4">
          <w:rPr>
            <w:rStyle w:val="Hyperlink"/>
          </w:rPr>
          <w:t>Labour</w:t>
        </w:r>
      </w:hyperlink>
      <w:r w:rsidRPr="007D08E4">
        <w:t xml:space="preserve"> has correctly identified the importance of planning reform</w:t>
      </w:r>
      <w:r w:rsidR="0074535A" w:rsidRPr="007D08E4">
        <w:t xml:space="preserve"> and housebuilding</w:t>
      </w:r>
      <w:r w:rsidRPr="007D08E4">
        <w:t>,</w:t>
      </w:r>
      <w:r w:rsidR="0074535A" w:rsidRPr="007D08E4">
        <w:t xml:space="preserve"> many </w:t>
      </w:r>
      <w:r w:rsidR="0074535A" w:rsidRPr="007D08E4">
        <w:lastRenderedPageBreak/>
        <w:t>governments and opposition parties have proposed structural reforms</w:t>
      </w:r>
      <w:r w:rsidR="00D32CF1">
        <w:t xml:space="preserve"> in this area</w:t>
      </w:r>
      <w:r w:rsidR="0074535A" w:rsidRPr="007D08E4">
        <w:t xml:space="preserve"> but have struggled to deliver them because they've not had detailed and coherent </w:t>
      </w:r>
      <w:r w:rsidR="00D32CF1" w:rsidRPr="007D08E4">
        <w:t>implement</w:t>
      </w:r>
      <w:r w:rsidR="00D32CF1">
        <w:t>ation</w:t>
      </w:r>
      <w:r w:rsidR="00D32CF1" w:rsidRPr="007D08E4">
        <w:t xml:space="preserve"> </w:t>
      </w:r>
      <w:r w:rsidR="0074535A" w:rsidRPr="007D08E4">
        <w:t>plans.</w:t>
      </w:r>
    </w:p>
    <w:p w14:paraId="2EE134E2" w14:textId="63B6CC8F" w:rsidR="008F1CA5" w:rsidRPr="007D08E4" w:rsidRDefault="0074535A" w:rsidP="006B3A7C">
      <w:r w:rsidRPr="007D08E4">
        <w:t xml:space="preserve">In the absence of substantive policy proposals from either party, we </w:t>
      </w:r>
      <w:r w:rsidR="001058D2" w:rsidRPr="007D08E4">
        <w:t xml:space="preserve">will </w:t>
      </w:r>
      <w:r w:rsidRPr="007D08E4">
        <w:t xml:space="preserve">publish a </w:t>
      </w:r>
      <w:r w:rsidR="00D32CF1">
        <w:t>report</w:t>
      </w:r>
      <w:r w:rsidR="00D32CF1" w:rsidRPr="007D08E4">
        <w:t xml:space="preserve"> </w:t>
      </w:r>
      <w:r w:rsidRPr="007D08E4">
        <w:t xml:space="preserve">after the Budget that will present our take on the optimal </w:t>
      </w:r>
      <w:r w:rsidR="00B72AFC" w:rsidRPr="007D08E4">
        <w:t xml:space="preserve">approach to </w:t>
      </w:r>
      <w:r w:rsidRPr="007D08E4">
        <w:t>fiscal policy, balancing the trade-off between boosting a stagnant economy and the need for fiscal consolidation.</w:t>
      </w:r>
      <w:r w:rsidR="00D855C8" w:rsidRPr="007D08E4">
        <w:t xml:space="preserve"> We </w:t>
      </w:r>
      <w:r w:rsidR="001058D2" w:rsidRPr="007D08E4">
        <w:t xml:space="preserve">plan to </w:t>
      </w:r>
      <w:r w:rsidR="00D855C8" w:rsidRPr="007D08E4">
        <w:t>use our Global Economic Model to quantify the impact of better policymaking on potential output and the key fiscal metrics.</w:t>
      </w:r>
    </w:p>
    <w:p w14:paraId="1C1202EA" w14:textId="39ACE059" w:rsidR="006D7ECB" w:rsidRPr="007D08E4" w:rsidRDefault="006D7ECB" w:rsidP="00717873">
      <w:pPr>
        <w:pStyle w:val="Heading3"/>
        <w:pBdr>
          <w:top w:val="single" w:sz="4" w:space="1" w:color="999999"/>
          <w:left w:val="single" w:sz="4" w:space="4" w:color="999999"/>
          <w:bottom w:val="single" w:sz="4" w:space="1" w:color="999999"/>
          <w:right w:val="single" w:sz="4" w:space="4" w:color="999999"/>
        </w:pBdr>
      </w:pPr>
      <w:r w:rsidRPr="007D08E4">
        <w:t xml:space="preserve">Box: </w:t>
      </w:r>
      <w:r w:rsidR="005533D1" w:rsidRPr="007D08E4">
        <w:t>A production function approach to estimating potential output</w:t>
      </w:r>
    </w:p>
    <w:p w14:paraId="3B1901E6" w14:textId="77777777" w:rsidR="00D32CF1" w:rsidRDefault="006D7ECB" w:rsidP="006D7ECB">
      <w:pPr>
        <w:pBdr>
          <w:top w:val="single" w:sz="4" w:space="1" w:color="999999"/>
          <w:left w:val="single" w:sz="4" w:space="4" w:color="999999"/>
          <w:bottom w:val="single" w:sz="4" w:space="1" w:color="999999"/>
          <w:right w:val="single" w:sz="4" w:space="4" w:color="999999"/>
        </w:pBdr>
      </w:pPr>
      <w:r w:rsidRPr="007D08E4">
        <w:t xml:space="preserve">We use a production function approach to estimate potential output. This provides a framework that relates the level of potential output to contributions from factor inputs – labour, human capital, and capital – and the efficiency with which those inputs are used (‘total factor productivity’). </w:t>
      </w:r>
    </w:p>
    <w:p w14:paraId="259E2015" w14:textId="61314B0C" w:rsidR="006F0C87" w:rsidRPr="007D08E4" w:rsidRDefault="006D7ECB" w:rsidP="006D7ECB">
      <w:pPr>
        <w:pBdr>
          <w:top w:val="single" w:sz="4" w:space="1" w:color="999999"/>
          <w:left w:val="single" w:sz="4" w:space="4" w:color="999999"/>
          <w:bottom w:val="single" w:sz="4" w:space="1" w:color="999999"/>
          <w:right w:val="single" w:sz="4" w:space="4" w:color="999999"/>
        </w:pBdr>
      </w:pPr>
      <w:r w:rsidRPr="007D08E4">
        <w:t xml:space="preserve">It also provides a consistent method for forecasting future growth in potential output, taking into account important changes such as demographic trends. </w:t>
      </w:r>
    </w:p>
    <w:p w14:paraId="00A922D3" w14:textId="51DCFB36"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Potential output is calculated as:</w:t>
      </w:r>
    </w:p>
    <w:p w14:paraId="510C0AD7" w14:textId="19ABB46D"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ln(Y*) = 0.65ln(L) + 0.3ln(H) + 0.35ln(K) + ln(A)</w:t>
      </w:r>
    </w:p>
    <w:p w14:paraId="26E65CD9" w14:textId="7BB0DE60"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 xml:space="preserve">where: </w:t>
      </w:r>
    </w:p>
    <w:p w14:paraId="72CB2EEB" w14:textId="06A81F75"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Y* is potential output;</w:t>
      </w:r>
    </w:p>
    <w:p w14:paraId="17457E0D" w14:textId="0DA3B069"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L is potential labour supply, which is equal to the labour supply at the non-accelerating inflation rate of unemployment (NAIRU) multiplied by average hours worked;</w:t>
      </w:r>
    </w:p>
    <w:p w14:paraId="0CF4D697" w14:textId="2ECB4202"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H is human capital, which is defined as the average years of education in the working age population;</w:t>
      </w:r>
    </w:p>
    <w:p w14:paraId="697FFEA7" w14:textId="5B99D7F7" w:rsidR="006D7ECB" w:rsidRPr="007D08E4" w:rsidRDefault="006D7ECB" w:rsidP="006D7ECB">
      <w:pPr>
        <w:pBdr>
          <w:top w:val="single" w:sz="4" w:space="1" w:color="999999"/>
          <w:left w:val="single" w:sz="4" w:space="4" w:color="999999"/>
          <w:bottom w:val="single" w:sz="4" w:space="1" w:color="999999"/>
          <w:right w:val="single" w:sz="4" w:space="4" w:color="999999"/>
        </w:pBdr>
      </w:pPr>
      <w:r w:rsidRPr="007D08E4">
        <w:t>K is the capital stock;</w:t>
      </w:r>
    </w:p>
    <w:p w14:paraId="10CA1FE9" w14:textId="77777777" w:rsidR="00FE4720" w:rsidRPr="007D08E4" w:rsidRDefault="006D7ECB" w:rsidP="006D7ECB">
      <w:pPr>
        <w:pBdr>
          <w:top w:val="single" w:sz="4" w:space="1" w:color="999999"/>
          <w:left w:val="single" w:sz="4" w:space="4" w:color="999999"/>
          <w:bottom w:val="single" w:sz="4" w:space="1" w:color="999999"/>
          <w:right w:val="single" w:sz="4" w:space="4" w:color="999999"/>
        </w:pBdr>
      </w:pPr>
      <w:r w:rsidRPr="007D08E4">
        <w:t>A is total factor productivity (TFP).</w:t>
      </w:r>
    </w:p>
    <w:p w14:paraId="5C020E41" w14:textId="3AC0C81F" w:rsidR="006D7ECB" w:rsidRPr="007D08E4" w:rsidRDefault="006D7ECB" w:rsidP="006D7ECB">
      <w:pPr>
        <w:spacing w:before="0" w:after="160" w:line="259" w:lineRule="auto"/>
      </w:pPr>
    </w:p>
    <w:sectPr w:rsidR="006D7ECB" w:rsidRPr="007D08E4" w:rsidSect="00092961">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73872" w14:textId="77777777" w:rsidR="006B3A7C" w:rsidRDefault="006B3A7C" w:rsidP="006B3A7C">
      <w:pPr>
        <w:spacing w:before="0" w:after="0"/>
      </w:pPr>
      <w:r>
        <w:separator/>
      </w:r>
    </w:p>
  </w:endnote>
  <w:endnote w:type="continuationSeparator" w:id="0">
    <w:p w14:paraId="5289A694" w14:textId="77777777" w:rsidR="006B3A7C" w:rsidRDefault="006B3A7C" w:rsidP="006B3A7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60626" w14:textId="59CA3F56" w:rsidR="006B3A7C" w:rsidRPr="006B3A7C" w:rsidRDefault="006B3A7C" w:rsidP="006B3A7C">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12556" w14:textId="582C543D" w:rsidR="006B3A7C" w:rsidRDefault="006B3A7C" w:rsidP="006B3A7C">
    <w:pPr>
      <w:pStyle w:val="Author"/>
    </w:pPr>
    <w:r>
      <w:t>Andrew Goodwin</w:t>
    </w:r>
    <w:r w:rsidR="00717873">
      <w:t xml:space="preserve"> - </w:t>
    </w:r>
    <w:r>
      <w:t>Chief UK Economist</w:t>
    </w:r>
    <w:r w:rsidR="00717873">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74BEA" w14:textId="77777777" w:rsidR="006B3A7C" w:rsidRDefault="006B3A7C" w:rsidP="006B3A7C">
      <w:pPr>
        <w:spacing w:before="0" w:after="0"/>
      </w:pPr>
      <w:r>
        <w:separator/>
      </w:r>
    </w:p>
  </w:footnote>
  <w:footnote w:type="continuationSeparator" w:id="0">
    <w:p w14:paraId="2FF790A6" w14:textId="77777777" w:rsidR="006B3A7C" w:rsidRDefault="006B3A7C" w:rsidP="006B3A7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6B3A7" w14:textId="77777777" w:rsidR="006B3A7C" w:rsidRDefault="006B3A7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C063D" w14:textId="457AEF9F" w:rsidR="006B3A7C" w:rsidRDefault="006B3A7C" w:rsidP="006B3A7C">
    <w:pPr>
      <w:pStyle w:val="Headline"/>
      <w:spacing w:before="120"/>
      <w:ind w:right="-1000"/>
    </w:pPr>
    <w:r w:rsidRPr="006B3A7C">
      <w:rPr>
        <w:noProof/>
      </w:rPr>
      <w:drawing>
        <wp:anchor distT="0" distB="0" distL="114300" distR="114300" simplePos="0" relativeHeight="251658239" behindDoc="1" locked="1" layoutInCell="1" allowOverlap="1" wp14:anchorId="6435CE7C" wp14:editId="6D3D4311">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E70657" w:rsidRPr="00E70657">
      <w:t>Slowing labour supply puts the onus on productivity gains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AED8" w14:textId="155F4272" w:rsidR="006B3A7C" w:rsidRDefault="006B3A7C" w:rsidP="006B3A7C">
    <w:r w:rsidRPr="006B3A7C">
      <w:rPr>
        <w:noProof/>
      </w:rPr>
      <w:drawing>
        <wp:anchor distT="0" distB="0" distL="114300" distR="114300" simplePos="0" relativeHeight="251659264" behindDoc="1" locked="1" layoutInCell="1" allowOverlap="1" wp14:anchorId="0284DC4B" wp14:editId="21671297">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580366590"/>
      <w:lock w:val="sdtLocked"/>
      <w:placeholder>
        <w:docPart w:val="DefaultPlaceholder_-1854013437"/>
      </w:placeholder>
      <w:date w:fullDate="2024-02-20T00:00:00Z">
        <w:dateFormat w:val="d MMMM yyyy"/>
        <w:lid w:val="en-GB"/>
        <w:storeMappedDataAs w:val="dateTime"/>
        <w:calendar w:val="gregorian"/>
      </w:date>
    </w:sdtPr>
    <w:sdtEndPr/>
    <w:sdtContent>
      <w:p w14:paraId="5BF8B6B0" w14:textId="7E7C8D01" w:rsidR="006B3A7C" w:rsidRDefault="006B3A7C" w:rsidP="006B3A7C">
        <w:pPr>
          <w:pStyle w:val="PublishDate"/>
          <w:framePr w:w="2835" w:h="340" w:hRule="exact" w:hSpace="180" w:wrap="around" w:vAnchor="page" w:hAnchor="page" w:x="7801" w:y="601" w:anchorLock="1"/>
        </w:pPr>
        <w:r>
          <w:t>20 February 2024</w:t>
        </w:r>
      </w:p>
    </w:sdtContent>
  </w:sdt>
  <w:p w14:paraId="41A2D788" w14:textId="6A22C938" w:rsidR="006B3A7C" w:rsidRDefault="006B3A7C" w:rsidP="006B3A7C">
    <w:pPr>
      <w:pStyle w:val="ProductDescription"/>
      <w:framePr w:w="11339" w:h="1474" w:hRule="exact" w:hSpace="180" w:wrap="around" w:vAnchor="page" w:hAnchor="page" w:x="401" w:y="1141" w:anchorLock="1"/>
      <w:spacing w:after="200"/>
    </w:pPr>
    <w:r>
      <w:t>Research Briefing | UK</w:t>
    </w:r>
  </w:p>
  <w:p w14:paraId="6A42F66D" w14:textId="25431409" w:rsidR="006B3A7C" w:rsidRDefault="00E70657" w:rsidP="006B3A7C">
    <w:pPr>
      <w:pStyle w:val="Headline"/>
      <w:framePr w:w="11339" w:h="1474" w:hRule="exact" w:hSpace="180" w:wrap="around" w:vAnchor="page" w:hAnchor="page" w:x="401" w:y="1141" w:anchorLock="1"/>
      <w:spacing w:line="200" w:lineRule="auto"/>
    </w:pPr>
    <w:r w:rsidRPr="00E70657">
      <w:t>Slowing labour supply puts the onus on productivity gains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546586">
    <w:abstractNumId w:val="34"/>
  </w:num>
  <w:num w:numId="2" w16cid:durableId="550725598">
    <w:abstractNumId w:val="24"/>
  </w:num>
  <w:num w:numId="3" w16cid:durableId="1842741793">
    <w:abstractNumId w:val="26"/>
  </w:num>
  <w:num w:numId="4" w16cid:durableId="1317536874">
    <w:abstractNumId w:val="19"/>
  </w:num>
  <w:num w:numId="5" w16cid:durableId="2005666950">
    <w:abstractNumId w:val="21"/>
  </w:num>
  <w:num w:numId="6" w16cid:durableId="586115219">
    <w:abstractNumId w:val="28"/>
  </w:num>
  <w:num w:numId="7" w16cid:durableId="210926594">
    <w:abstractNumId w:val="42"/>
  </w:num>
  <w:num w:numId="8" w16cid:durableId="537397650">
    <w:abstractNumId w:val="15"/>
  </w:num>
  <w:num w:numId="9" w16cid:durableId="1297835790">
    <w:abstractNumId w:val="43"/>
  </w:num>
  <w:num w:numId="10" w16cid:durableId="1619868437">
    <w:abstractNumId w:val="12"/>
  </w:num>
  <w:num w:numId="11" w16cid:durableId="1658457037">
    <w:abstractNumId w:val="29"/>
  </w:num>
  <w:num w:numId="12" w16cid:durableId="1699548288">
    <w:abstractNumId w:val="39"/>
  </w:num>
  <w:num w:numId="13" w16cid:durableId="904998681">
    <w:abstractNumId w:val="17"/>
  </w:num>
  <w:num w:numId="14" w16cid:durableId="201288766">
    <w:abstractNumId w:val="46"/>
  </w:num>
  <w:num w:numId="15" w16cid:durableId="1148353627">
    <w:abstractNumId w:val="35"/>
  </w:num>
  <w:num w:numId="16" w16cid:durableId="352535667">
    <w:abstractNumId w:val="32"/>
  </w:num>
  <w:num w:numId="17" w16cid:durableId="709036464">
    <w:abstractNumId w:val="18"/>
  </w:num>
  <w:num w:numId="18" w16cid:durableId="1466388103">
    <w:abstractNumId w:val="16"/>
  </w:num>
  <w:num w:numId="19" w16cid:durableId="1720862043">
    <w:abstractNumId w:val="47"/>
  </w:num>
  <w:num w:numId="20" w16cid:durableId="1920212900">
    <w:abstractNumId w:val="48"/>
  </w:num>
  <w:num w:numId="21" w16cid:durableId="494145805">
    <w:abstractNumId w:val="9"/>
  </w:num>
  <w:num w:numId="22" w16cid:durableId="1425419776">
    <w:abstractNumId w:val="7"/>
  </w:num>
  <w:num w:numId="23" w16cid:durableId="1719819373">
    <w:abstractNumId w:val="6"/>
  </w:num>
  <w:num w:numId="24" w16cid:durableId="175507337">
    <w:abstractNumId w:val="5"/>
  </w:num>
  <w:num w:numId="25" w16cid:durableId="1185246354">
    <w:abstractNumId w:val="4"/>
  </w:num>
  <w:num w:numId="26" w16cid:durableId="1933276722">
    <w:abstractNumId w:val="8"/>
  </w:num>
  <w:num w:numId="27" w16cid:durableId="858129332">
    <w:abstractNumId w:val="3"/>
  </w:num>
  <w:num w:numId="28" w16cid:durableId="1220633108">
    <w:abstractNumId w:val="2"/>
  </w:num>
  <w:num w:numId="29" w16cid:durableId="1410732985">
    <w:abstractNumId w:val="1"/>
  </w:num>
  <w:num w:numId="30" w16cid:durableId="1243678993">
    <w:abstractNumId w:val="0"/>
  </w:num>
  <w:num w:numId="31" w16cid:durableId="2106997001">
    <w:abstractNumId w:val="40"/>
  </w:num>
  <w:num w:numId="32" w16cid:durableId="1518884983">
    <w:abstractNumId w:val="45"/>
  </w:num>
  <w:num w:numId="33" w16cid:durableId="170876794">
    <w:abstractNumId w:val="20"/>
  </w:num>
  <w:num w:numId="34" w16cid:durableId="631130239">
    <w:abstractNumId w:val="23"/>
  </w:num>
  <w:num w:numId="35" w16cid:durableId="1966501792">
    <w:abstractNumId w:val="14"/>
  </w:num>
  <w:num w:numId="36" w16cid:durableId="345326591">
    <w:abstractNumId w:val="31"/>
  </w:num>
  <w:num w:numId="37" w16cid:durableId="1159930201">
    <w:abstractNumId w:val="13"/>
  </w:num>
  <w:num w:numId="38" w16cid:durableId="256720965">
    <w:abstractNumId w:val="30"/>
  </w:num>
  <w:num w:numId="39" w16cid:durableId="1300652121">
    <w:abstractNumId w:val="27"/>
  </w:num>
  <w:num w:numId="40" w16cid:durableId="2106922901">
    <w:abstractNumId w:val="38"/>
  </w:num>
  <w:num w:numId="41" w16cid:durableId="1565145395">
    <w:abstractNumId w:val="22"/>
  </w:num>
  <w:num w:numId="42" w16cid:durableId="607855214">
    <w:abstractNumId w:val="33"/>
  </w:num>
  <w:num w:numId="43" w16cid:durableId="191698717">
    <w:abstractNumId w:val="36"/>
  </w:num>
  <w:num w:numId="44" w16cid:durableId="2062971182">
    <w:abstractNumId w:val="11"/>
  </w:num>
  <w:num w:numId="45" w16cid:durableId="2074311132">
    <w:abstractNumId w:val="11"/>
    <w:lvlOverride w:ilvl="0">
      <w:startOverride w:val="1"/>
    </w:lvlOverride>
  </w:num>
  <w:num w:numId="46" w16cid:durableId="1377200554">
    <w:abstractNumId w:val="44"/>
  </w:num>
  <w:num w:numId="47" w16cid:durableId="2040279438">
    <w:abstractNumId w:val="41"/>
  </w:num>
  <w:num w:numId="48" w16cid:durableId="1371607120">
    <w:abstractNumId w:val="37"/>
  </w:num>
  <w:num w:numId="49" w16cid:durableId="244920628">
    <w:abstractNumId w:val="25"/>
  </w:num>
  <w:num w:numId="50" w16cid:durableId="1190221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7C"/>
    <w:rsid w:val="00003BA7"/>
    <w:rsid w:val="00006381"/>
    <w:rsid w:val="00013BB9"/>
    <w:rsid w:val="00022761"/>
    <w:rsid w:val="000375AF"/>
    <w:rsid w:val="00045B12"/>
    <w:rsid w:val="0005174C"/>
    <w:rsid w:val="00053D75"/>
    <w:rsid w:val="00071911"/>
    <w:rsid w:val="000807E4"/>
    <w:rsid w:val="00084D79"/>
    <w:rsid w:val="00092961"/>
    <w:rsid w:val="00097E01"/>
    <w:rsid w:val="000A61EA"/>
    <w:rsid w:val="000B3FCA"/>
    <w:rsid w:val="000B44A7"/>
    <w:rsid w:val="000C026C"/>
    <w:rsid w:val="000C0ADF"/>
    <w:rsid w:val="000C7CD9"/>
    <w:rsid w:val="000D3E43"/>
    <w:rsid w:val="000E2BD3"/>
    <w:rsid w:val="000E6A98"/>
    <w:rsid w:val="000E7CC9"/>
    <w:rsid w:val="000F3F52"/>
    <w:rsid w:val="000F7014"/>
    <w:rsid w:val="001018E9"/>
    <w:rsid w:val="001058D2"/>
    <w:rsid w:val="00120D7A"/>
    <w:rsid w:val="00122402"/>
    <w:rsid w:val="00124E58"/>
    <w:rsid w:val="00160F71"/>
    <w:rsid w:val="0016316B"/>
    <w:rsid w:val="0017078A"/>
    <w:rsid w:val="00174DC3"/>
    <w:rsid w:val="0018672D"/>
    <w:rsid w:val="00192CDF"/>
    <w:rsid w:val="001A5775"/>
    <w:rsid w:val="001A6993"/>
    <w:rsid w:val="001B2B67"/>
    <w:rsid w:val="001B2C32"/>
    <w:rsid w:val="001C2E56"/>
    <w:rsid w:val="001E0785"/>
    <w:rsid w:val="001E0C4A"/>
    <w:rsid w:val="001F184A"/>
    <w:rsid w:val="001F3317"/>
    <w:rsid w:val="00244F95"/>
    <w:rsid w:val="002615F6"/>
    <w:rsid w:val="00262D94"/>
    <w:rsid w:val="00263E48"/>
    <w:rsid w:val="002745D6"/>
    <w:rsid w:val="00286754"/>
    <w:rsid w:val="0029566B"/>
    <w:rsid w:val="002A635F"/>
    <w:rsid w:val="002C34CB"/>
    <w:rsid w:val="002D0DC9"/>
    <w:rsid w:val="002D2189"/>
    <w:rsid w:val="002E0B09"/>
    <w:rsid w:val="003017D9"/>
    <w:rsid w:val="0030260C"/>
    <w:rsid w:val="0031169C"/>
    <w:rsid w:val="00316CBE"/>
    <w:rsid w:val="00370974"/>
    <w:rsid w:val="00374E02"/>
    <w:rsid w:val="00386394"/>
    <w:rsid w:val="003B0CAB"/>
    <w:rsid w:val="003B715A"/>
    <w:rsid w:val="003D18A6"/>
    <w:rsid w:val="003F0F4E"/>
    <w:rsid w:val="003F46F7"/>
    <w:rsid w:val="0040359C"/>
    <w:rsid w:val="00403E09"/>
    <w:rsid w:val="00404BED"/>
    <w:rsid w:val="00405D65"/>
    <w:rsid w:val="0041273C"/>
    <w:rsid w:val="004258C9"/>
    <w:rsid w:val="004458BB"/>
    <w:rsid w:val="0045603A"/>
    <w:rsid w:val="00457D64"/>
    <w:rsid w:val="0046292D"/>
    <w:rsid w:val="004677EA"/>
    <w:rsid w:val="004827E3"/>
    <w:rsid w:val="0049020E"/>
    <w:rsid w:val="004A2A92"/>
    <w:rsid w:val="004B4F66"/>
    <w:rsid w:val="004B590C"/>
    <w:rsid w:val="004C7923"/>
    <w:rsid w:val="004D473F"/>
    <w:rsid w:val="004D650E"/>
    <w:rsid w:val="004D7B74"/>
    <w:rsid w:val="004F01CB"/>
    <w:rsid w:val="004F06C0"/>
    <w:rsid w:val="004F0DF7"/>
    <w:rsid w:val="004F54AE"/>
    <w:rsid w:val="00507E59"/>
    <w:rsid w:val="005131C5"/>
    <w:rsid w:val="005169D8"/>
    <w:rsid w:val="005176F2"/>
    <w:rsid w:val="00531E46"/>
    <w:rsid w:val="00534206"/>
    <w:rsid w:val="005414BA"/>
    <w:rsid w:val="0054280C"/>
    <w:rsid w:val="005473C6"/>
    <w:rsid w:val="00552FB0"/>
    <w:rsid w:val="005533D1"/>
    <w:rsid w:val="00556421"/>
    <w:rsid w:val="00563FEB"/>
    <w:rsid w:val="00576CB8"/>
    <w:rsid w:val="00592138"/>
    <w:rsid w:val="00597241"/>
    <w:rsid w:val="005B4C92"/>
    <w:rsid w:val="005C2AFE"/>
    <w:rsid w:val="005F04E9"/>
    <w:rsid w:val="005F1735"/>
    <w:rsid w:val="0061104D"/>
    <w:rsid w:val="006125A3"/>
    <w:rsid w:val="006166EE"/>
    <w:rsid w:val="00633737"/>
    <w:rsid w:val="006519FD"/>
    <w:rsid w:val="00657D88"/>
    <w:rsid w:val="0066210F"/>
    <w:rsid w:val="00671564"/>
    <w:rsid w:val="006739BF"/>
    <w:rsid w:val="0067595A"/>
    <w:rsid w:val="00696683"/>
    <w:rsid w:val="006A0D6D"/>
    <w:rsid w:val="006A1630"/>
    <w:rsid w:val="006A58AE"/>
    <w:rsid w:val="006A676D"/>
    <w:rsid w:val="006B1128"/>
    <w:rsid w:val="006B3A7C"/>
    <w:rsid w:val="006B5013"/>
    <w:rsid w:val="006B52F3"/>
    <w:rsid w:val="006B62F4"/>
    <w:rsid w:val="006B7537"/>
    <w:rsid w:val="006C5152"/>
    <w:rsid w:val="006D0EC9"/>
    <w:rsid w:val="006D7ECB"/>
    <w:rsid w:val="006F0C87"/>
    <w:rsid w:val="006F5972"/>
    <w:rsid w:val="00716168"/>
    <w:rsid w:val="0071771A"/>
    <w:rsid w:val="00717873"/>
    <w:rsid w:val="007207ED"/>
    <w:rsid w:val="0074535A"/>
    <w:rsid w:val="007723AE"/>
    <w:rsid w:val="007759D9"/>
    <w:rsid w:val="00786A1D"/>
    <w:rsid w:val="00792F8A"/>
    <w:rsid w:val="00793893"/>
    <w:rsid w:val="00794E43"/>
    <w:rsid w:val="007A0F18"/>
    <w:rsid w:val="007A4E39"/>
    <w:rsid w:val="007C5EBA"/>
    <w:rsid w:val="007D08E4"/>
    <w:rsid w:val="007E424F"/>
    <w:rsid w:val="008032C0"/>
    <w:rsid w:val="00830C80"/>
    <w:rsid w:val="008366E0"/>
    <w:rsid w:val="00842C25"/>
    <w:rsid w:val="00847933"/>
    <w:rsid w:val="00855D68"/>
    <w:rsid w:val="0086062E"/>
    <w:rsid w:val="008607DC"/>
    <w:rsid w:val="0086090E"/>
    <w:rsid w:val="0086285C"/>
    <w:rsid w:val="00871D9B"/>
    <w:rsid w:val="00874A72"/>
    <w:rsid w:val="00874B7C"/>
    <w:rsid w:val="0088455B"/>
    <w:rsid w:val="0088660C"/>
    <w:rsid w:val="008A024B"/>
    <w:rsid w:val="008A6C07"/>
    <w:rsid w:val="008D2E06"/>
    <w:rsid w:val="008E11F0"/>
    <w:rsid w:val="008E65AA"/>
    <w:rsid w:val="008E721D"/>
    <w:rsid w:val="008F1A70"/>
    <w:rsid w:val="008F1CA5"/>
    <w:rsid w:val="0090387D"/>
    <w:rsid w:val="00912D88"/>
    <w:rsid w:val="00920D15"/>
    <w:rsid w:val="00923CA7"/>
    <w:rsid w:val="00931FD2"/>
    <w:rsid w:val="00933B30"/>
    <w:rsid w:val="009634AC"/>
    <w:rsid w:val="009659B2"/>
    <w:rsid w:val="00967066"/>
    <w:rsid w:val="009766B8"/>
    <w:rsid w:val="0097683C"/>
    <w:rsid w:val="009936E0"/>
    <w:rsid w:val="00995E6B"/>
    <w:rsid w:val="00997ED8"/>
    <w:rsid w:val="009C7C16"/>
    <w:rsid w:val="009D238D"/>
    <w:rsid w:val="009D76AB"/>
    <w:rsid w:val="009E07F1"/>
    <w:rsid w:val="009E5F70"/>
    <w:rsid w:val="009F37D1"/>
    <w:rsid w:val="009F3F01"/>
    <w:rsid w:val="00A158FC"/>
    <w:rsid w:val="00A25234"/>
    <w:rsid w:val="00A332D4"/>
    <w:rsid w:val="00A50835"/>
    <w:rsid w:val="00A52669"/>
    <w:rsid w:val="00A54805"/>
    <w:rsid w:val="00A63323"/>
    <w:rsid w:val="00A66B32"/>
    <w:rsid w:val="00A9430E"/>
    <w:rsid w:val="00A977A2"/>
    <w:rsid w:val="00AD07ED"/>
    <w:rsid w:val="00AD114F"/>
    <w:rsid w:val="00AE0C08"/>
    <w:rsid w:val="00AE5A78"/>
    <w:rsid w:val="00AE76E6"/>
    <w:rsid w:val="00B04E07"/>
    <w:rsid w:val="00B16B5A"/>
    <w:rsid w:val="00B2687A"/>
    <w:rsid w:val="00B52B4F"/>
    <w:rsid w:val="00B63800"/>
    <w:rsid w:val="00B72AFC"/>
    <w:rsid w:val="00B7343B"/>
    <w:rsid w:val="00B74A1F"/>
    <w:rsid w:val="00B7684E"/>
    <w:rsid w:val="00B8363B"/>
    <w:rsid w:val="00B846EA"/>
    <w:rsid w:val="00B910EA"/>
    <w:rsid w:val="00BB13D9"/>
    <w:rsid w:val="00BB6195"/>
    <w:rsid w:val="00BD67DB"/>
    <w:rsid w:val="00BE1485"/>
    <w:rsid w:val="00BE1493"/>
    <w:rsid w:val="00BF6A2A"/>
    <w:rsid w:val="00C00372"/>
    <w:rsid w:val="00C07190"/>
    <w:rsid w:val="00C17065"/>
    <w:rsid w:val="00C323E0"/>
    <w:rsid w:val="00C41AE4"/>
    <w:rsid w:val="00C47163"/>
    <w:rsid w:val="00C53302"/>
    <w:rsid w:val="00C65A69"/>
    <w:rsid w:val="00C70B9F"/>
    <w:rsid w:val="00C72052"/>
    <w:rsid w:val="00C7372F"/>
    <w:rsid w:val="00C75153"/>
    <w:rsid w:val="00C76458"/>
    <w:rsid w:val="00C84AD7"/>
    <w:rsid w:val="00C90088"/>
    <w:rsid w:val="00C90D41"/>
    <w:rsid w:val="00C93538"/>
    <w:rsid w:val="00C9768F"/>
    <w:rsid w:val="00CA4BF3"/>
    <w:rsid w:val="00CB7716"/>
    <w:rsid w:val="00CC3321"/>
    <w:rsid w:val="00CF69CA"/>
    <w:rsid w:val="00D105B2"/>
    <w:rsid w:val="00D32CF1"/>
    <w:rsid w:val="00D379EC"/>
    <w:rsid w:val="00D41543"/>
    <w:rsid w:val="00D44A55"/>
    <w:rsid w:val="00D645EE"/>
    <w:rsid w:val="00D776FC"/>
    <w:rsid w:val="00D81206"/>
    <w:rsid w:val="00D81E6C"/>
    <w:rsid w:val="00D855C8"/>
    <w:rsid w:val="00DB19AD"/>
    <w:rsid w:val="00DC3B6C"/>
    <w:rsid w:val="00DE568D"/>
    <w:rsid w:val="00DF73F9"/>
    <w:rsid w:val="00DF77FE"/>
    <w:rsid w:val="00E213A8"/>
    <w:rsid w:val="00E2167A"/>
    <w:rsid w:val="00E23560"/>
    <w:rsid w:val="00E32282"/>
    <w:rsid w:val="00E34F2E"/>
    <w:rsid w:val="00E402C3"/>
    <w:rsid w:val="00E628D7"/>
    <w:rsid w:val="00E70657"/>
    <w:rsid w:val="00E72392"/>
    <w:rsid w:val="00EA0803"/>
    <w:rsid w:val="00EA2025"/>
    <w:rsid w:val="00EA5133"/>
    <w:rsid w:val="00ED615F"/>
    <w:rsid w:val="00ED6FF0"/>
    <w:rsid w:val="00F00E84"/>
    <w:rsid w:val="00F137ED"/>
    <w:rsid w:val="00F2643F"/>
    <w:rsid w:val="00F308DF"/>
    <w:rsid w:val="00F36A84"/>
    <w:rsid w:val="00F46735"/>
    <w:rsid w:val="00F52C66"/>
    <w:rsid w:val="00F72F2A"/>
    <w:rsid w:val="00F8568C"/>
    <w:rsid w:val="00FB17D5"/>
    <w:rsid w:val="00FB6D2F"/>
    <w:rsid w:val="00FC1EA7"/>
    <w:rsid w:val="00FC3B62"/>
    <w:rsid w:val="00FC5B68"/>
    <w:rsid w:val="00FE0EF6"/>
    <w:rsid w:val="00FE4720"/>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485689CE"/>
  <w15:chartTrackingRefBased/>
  <w15:docId w15:val="{24E3A3CA-1CE8-4272-B02D-FE7D80D1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A7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B3A7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B3A7C"/>
    <w:pPr>
      <w:outlineLvl w:val="1"/>
    </w:pPr>
    <w:rPr>
      <w:sz w:val="28"/>
    </w:rPr>
  </w:style>
  <w:style w:type="paragraph" w:styleId="Heading3">
    <w:name w:val="heading 3"/>
    <w:basedOn w:val="Normal"/>
    <w:next w:val="Normal"/>
    <w:link w:val="Heading3Char"/>
    <w:uiPriority w:val="9"/>
    <w:unhideWhenUsed/>
    <w:qFormat/>
    <w:rsid w:val="006B3A7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B3A7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B3A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6B3A7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6B3A7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6B3A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B3A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6B3A7C"/>
    <w:pPr>
      <w:tabs>
        <w:tab w:val="center" w:pos="4320"/>
        <w:tab w:val="right" w:pos="8640"/>
      </w:tabs>
    </w:pPr>
  </w:style>
  <w:style w:type="character" w:customStyle="1" w:styleId="HeaderChar">
    <w:name w:val="Header Char"/>
    <w:basedOn w:val="DefaultParagraphFont"/>
    <w:link w:val="Header"/>
    <w:uiPriority w:val="99"/>
    <w:rsid w:val="006B3A7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B3A7C"/>
    <w:pPr>
      <w:tabs>
        <w:tab w:val="center" w:pos="4320"/>
        <w:tab w:val="right" w:pos="8640"/>
      </w:tabs>
    </w:pPr>
  </w:style>
  <w:style w:type="character" w:customStyle="1" w:styleId="FooterChar">
    <w:name w:val="Footer Char"/>
    <w:basedOn w:val="DefaultParagraphFont"/>
    <w:link w:val="Footer"/>
    <w:uiPriority w:val="99"/>
    <w:rsid w:val="006B3A7C"/>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6B3A7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B3A7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B3A7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B3A7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B3A7C"/>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6B3A7C"/>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6B3A7C"/>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6B3A7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B3A7C"/>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6B3A7C"/>
    <w:rPr>
      <w:noProof w:val="0"/>
    </w:rPr>
  </w:style>
  <w:style w:type="character" w:styleId="Hyperlink">
    <w:name w:val="Hyperlink"/>
    <w:basedOn w:val="DefaultParagraphFont"/>
    <w:uiPriority w:val="99"/>
    <w:unhideWhenUsed/>
    <w:rsid w:val="006B3A7C"/>
    <w:rPr>
      <w:noProof w:val="0"/>
      <w:color w:val="0563C1" w:themeColor="hyperlink"/>
      <w:u w:val="single"/>
    </w:rPr>
  </w:style>
  <w:style w:type="paragraph" w:styleId="ListParagraph">
    <w:name w:val="List Paragraph"/>
    <w:next w:val="Normal"/>
    <w:link w:val="ListParagraphChar"/>
    <w:uiPriority w:val="34"/>
    <w:locked/>
    <w:rsid w:val="006B3A7C"/>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6B3A7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B3A7C"/>
    <w:pPr>
      <w:spacing w:after="120"/>
    </w:pPr>
    <w:rPr>
      <w:b/>
      <w:bCs/>
      <w:color w:val="FFFFFF"/>
      <w:sz w:val="32"/>
      <w:szCs w:val="32"/>
    </w:rPr>
  </w:style>
  <w:style w:type="paragraph" w:customStyle="1" w:styleId="Headline">
    <w:name w:val="Headline"/>
    <w:basedOn w:val="Normal"/>
    <w:next w:val="Normal"/>
    <w:link w:val="HeadlineChar"/>
    <w:qFormat/>
    <w:rsid w:val="006B3A7C"/>
    <w:rPr>
      <w:rFonts w:ascii="Segoe UI Semilight" w:hAnsi="Segoe UI Semilight" w:cs="Segoe UI Semilight"/>
      <w:b/>
      <w:bCs/>
      <w:color w:val="FFFFFF"/>
      <w:sz w:val="40"/>
      <w:szCs w:val="40"/>
    </w:rPr>
  </w:style>
  <w:style w:type="paragraph" w:customStyle="1" w:styleId="ExhibitTitle">
    <w:name w:val="Exhibit Title"/>
    <w:basedOn w:val="Normal"/>
    <w:qFormat/>
    <w:rsid w:val="006B3A7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B3A7C"/>
    <w:pPr>
      <w:shd w:val="clear" w:color="auto" w:fill="D6E2FA"/>
      <w:spacing w:after="0"/>
    </w:pPr>
    <w:rPr>
      <w:color w:val="595959" w:themeColor="text1" w:themeTint="A6"/>
      <w:sz w:val="18"/>
    </w:rPr>
  </w:style>
  <w:style w:type="paragraph" w:customStyle="1" w:styleId="ExhibitSource">
    <w:name w:val="Exhibit Source"/>
    <w:next w:val="Normal"/>
    <w:qFormat/>
    <w:rsid w:val="006B3A7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B3A7C"/>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6B3A7C"/>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B3A7C"/>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6B3A7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B3A7C"/>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6B3A7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B3A7C"/>
    <w:rPr>
      <w:rFonts w:ascii="Segoe UI" w:hAnsi="Segoe UI" w:cs="Segoe UI"/>
      <w:noProof w:val="0"/>
      <w:color w:val="000000" w:themeColor="text1"/>
    </w:rPr>
  </w:style>
  <w:style w:type="paragraph" w:customStyle="1" w:styleId="Summary">
    <w:name w:val="Summary"/>
    <w:basedOn w:val="Normal"/>
    <w:link w:val="SummaryChar"/>
    <w:qFormat/>
    <w:rsid w:val="006B3A7C"/>
    <w:pPr>
      <w:numPr>
        <w:numId w:val="34"/>
      </w:numPr>
      <w:ind w:left="1797" w:hanging="357"/>
    </w:pPr>
    <w:rPr>
      <w:kern w:val="2"/>
      <w:sz w:val="22"/>
      <w14:ligatures w14:val="standardContextual"/>
    </w:rPr>
  </w:style>
  <w:style w:type="paragraph" w:customStyle="1" w:styleId="TableData">
    <w:name w:val="Table Data"/>
    <w:link w:val="TableDataChar"/>
    <w:qFormat/>
    <w:rsid w:val="006B3A7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B3A7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B3A7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B3A7C"/>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B3A7C"/>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B3A7C"/>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B3A7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B3A7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B3A7C"/>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B3A7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B3A7C"/>
    <w:rPr>
      <w:color w:val="003469"/>
    </w:rPr>
  </w:style>
  <w:style w:type="character" w:customStyle="1" w:styleId="RepeatingFooterChar">
    <w:name w:val="Repeating Footer Char"/>
    <w:basedOn w:val="FooterChar"/>
    <w:link w:val="RepeatingFooter"/>
    <w:rsid w:val="006B3A7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B3A7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B3A7C"/>
    <w:rPr>
      <w:b/>
      <w:bCs/>
      <w:noProof w:val="0"/>
    </w:rPr>
  </w:style>
  <w:style w:type="character" w:customStyle="1" w:styleId="Italics">
    <w:name w:val="Italics"/>
    <w:uiPriority w:val="1"/>
    <w:qFormat/>
    <w:rsid w:val="006B3A7C"/>
    <w:rPr>
      <w:i/>
      <w:iCs/>
      <w:noProof w:val="0"/>
    </w:rPr>
  </w:style>
  <w:style w:type="table" w:customStyle="1" w:styleId="TableGridHeader">
    <w:name w:val="Table Grid Header"/>
    <w:basedOn w:val="TableNormal"/>
    <w:uiPriority w:val="99"/>
    <w:rsid w:val="006B3A7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svg"/><Relationship Id="rId39" Type="http://schemas.openxmlformats.org/officeDocument/2006/relationships/image" Target="media/image18.svg"/><Relationship Id="rId21" Type="http://schemas.openxmlformats.org/officeDocument/2006/relationships/image" Target="media/image8.svg"/><Relationship Id="rId34" Type="http://schemas.openxmlformats.org/officeDocument/2006/relationships/hyperlink" Target="https://obr.uk/efo/economic-and-fiscal-outlook-november-2023/" TargetMode="External"/><Relationship Id="rId42" Type="http://schemas.openxmlformats.org/officeDocument/2006/relationships/hyperlink" Target="https://my.oxfordeconomics.com/reportaction/6cc9942e89D545D5b49Ed9/Toc"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10.svg"/><Relationship Id="rId32" Type="http://schemas.openxmlformats.org/officeDocument/2006/relationships/hyperlink" Target="https://my.oxfordeconomics.com/reports/d96F9735961C4a24a2e113" TargetMode="External"/><Relationship Id="rId37" Type="http://schemas.openxmlformats.org/officeDocument/2006/relationships/image" Target="media/image16.svg"/><Relationship Id="rId40" Type="http://schemas.openxmlformats.org/officeDocument/2006/relationships/hyperlink" Target="https://my.oxfordeconomics.com/chapters/625AA23922EE45Fe9Bf454/UKAPlanforGrowth-pro"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svg"/><Relationship Id="rId31" Type="http://schemas.openxmlformats.org/officeDocument/2006/relationships/hyperlink" Target="https://my.oxfordeconomics.com/reportaction/6cc9942e89D545D5b49Ed9/Toc" TargetMode="External"/><Relationship Id="rId44"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assets.publishing.service.gov.uk/media/5a7f02e640f0b62305b84929/spa-timetable.pdf" TargetMode="External"/><Relationship Id="rId27" Type="http://schemas.openxmlformats.org/officeDocument/2006/relationships/hyperlink" Target="https://www.ons.gov.uk/employmentandlabourmarket/peoplenotinwork/economicinactivity/articles/risingillhealthandeconomicinactivitybecauseoflongtermsicknessuk/2019to2023" TargetMode="External"/><Relationship Id="rId30" Type="http://schemas.openxmlformats.org/officeDocument/2006/relationships/hyperlink" Target="https://my.oxfordeconomics.com/chapters/079dCecAb1FC4B31bE25BA/UKAfterthecriseswher" TargetMode="External"/><Relationship Id="rId35" Type="http://schemas.openxmlformats.org/officeDocument/2006/relationships/hyperlink" Target="https://my.oxfordeconomics.com/reports/15b19350842741C1923B4f"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ons.gov.uk/peoplepopulationandcommunity/populationandmigration/populationprojections/bulletins/nationalpopulationprojections/2021basedinterim" TargetMode="External"/><Relationship Id="rId25" Type="http://schemas.openxmlformats.org/officeDocument/2006/relationships/image" Target="media/image11.png"/><Relationship Id="rId33" Type="http://schemas.openxmlformats.org/officeDocument/2006/relationships/hyperlink" Target="https://www.oxfordeconomics.com/resource/the-global-green-economy-understanding-and-capturing-the-opportunity/" TargetMode="External"/><Relationship Id="rId38" Type="http://schemas.openxmlformats.org/officeDocument/2006/relationships/image" Target="media/image17.png"/><Relationship Id="rId20" Type="http://schemas.openxmlformats.org/officeDocument/2006/relationships/image" Target="media/image7.png"/><Relationship Id="rId41" Type="http://schemas.openxmlformats.org/officeDocument/2006/relationships/hyperlink" Target="https://my.oxfordeconomics.com/reportaction/c96BFd0b670E44628327d0/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59909498-A65D-4511-B4E6-5AB6FA443ACD}"/>
      </w:docPartPr>
      <w:docPartBody>
        <w:p w:rsidR="00D158E7" w:rsidRDefault="00D158E7">
          <w:r w:rsidRPr="0052696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E7"/>
    <w:rsid w:val="00D158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1BFB63-7DCD-459B-A853-751B58791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AB8E77-F8B5-46F9-A7D5-37DE69994A08}">
  <ds:schemaRefs>
    <ds:schemaRef ds:uri="http://purl.org/dc/terms/"/>
    <ds:schemaRef ds:uri="http://www.w3.org/XML/1998/namespace"/>
    <ds:schemaRef ds:uri="6ec33f61-c765-4e3b-9958-53c32fd1fd0b"/>
    <ds:schemaRef ds:uri="http://schemas.microsoft.com/office/infopath/2007/PartnerControls"/>
    <ds:schemaRef ds:uri="6c77b332-7df6-4eff-997f-266963d55fc4"/>
    <ds:schemaRef ds:uri="http://schemas.microsoft.com/office/2006/documentManagement/types"/>
    <ds:schemaRef ds:uri="http://purl.org/dc/elements/1.1/"/>
    <ds:schemaRef ds:uri="http://purl.org/dc/dcmitype/"/>
    <ds:schemaRef ds:uri="http://schemas.microsoft.com/office/2006/metadata/properties"/>
    <ds:schemaRef ds:uri="http://schemas.openxmlformats.org/package/2006/metadata/core-properties"/>
  </ds:schemaRefs>
</ds:datastoreItem>
</file>

<file path=customXml/itemProps3.xml><?xml version="1.0" encoding="utf-8"?>
<ds:datastoreItem xmlns:ds="http://schemas.openxmlformats.org/officeDocument/2006/customXml" ds:itemID="{57A9025F-6B29-486B-A4F2-7AFAE7B1B1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2748</Words>
  <Characters>14240</Characters>
  <Application>Microsoft Office Word</Application>
  <DocSecurity>0</DocSecurity>
  <Lines>203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2024-02-20T15:28:00Z</dcterms:created>
  <dcterms:modified xsi:type="dcterms:W3CDTF">2024-02-20T16:02:00Z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2024-02-20T15:38:54.000Z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v0.8.0.4</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Briefing\20240220 RB UK LT outlook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Themes:growth,demographics,labour trends,secular stagnation,productivity,politics</vt:lpwstr>
  </property>
  <property fmtid="{D5CDD505-2E9C-101B-9397-08002B2CF9AE}" pid="17" name="ContentTypeId">
    <vt:lpwstr>0x01010009401BB7205AF745BAD4FA98BDE0B98F</vt:lpwstr>
  </property>
  <property fmtid="{D5CDD505-2E9C-101B-9397-08002B2CF9AE}" pid="18" name="OEP_CHART1">
    <vt:lpwstr>Chart - Potential output,Z:\UK Team\UK Research Briefing\20240220 RB UK LT outlook - Charts.xlsx</vt:lpwstr>
  </property>
  <property fmtid="{D5CDD505-2E9C-101B-9397-08002B2CF9AE}" pid="19" name="OEP_DATA_FILEPATH">
    <vt:lpwstr>Z:\UK Team\UK Research Briefing\20240220 RB UK LT outlook.xlsx</vt:lpwstr>
  </property>
  <property fmtid="{D5CDD505-2E9C-101B-9397-08002B2CF9AE}" pid="20" name="OEP_PRODUCT_CODE">
    <vt:lpwstr>e72EB461b29B45C79706eb</vt:lpwstr>
  </property>
  <property fmtid="{D5CDD505-2E9C-101B-9397-08002B2CF9AE}" pid="21" name="OEP_PUBLISH_DATE">
    <vt:lpwstr/>
  </property>
  <property fmtid="{D5CDD505-2E9C-101B-9397-08002B2CF9AE}" pid="22" name="OEP_CHART4">
    <vt:lpwstr>Chart - POPW &amp; SPA,Z:\UK Team\UK Research Briefing\20240220 RB UK LT outlook - Charts.xlsx</vt:lpwstr>
  </property>
  <property fmtid="{D5CDD505-2E9C-101B-9397-08002B2CF9AE}" pid="23" name="OEP_CHART4_DATA">
    <vt:lpwstr>Chart - POPW &amp; SPA,Z:\UK Team\UK Research Briefing\20240220 RB UK LT outlook - Charts.xlsx</vt:lpwstr>
  </property>
</Properties>
</file>