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99DEF" w14:textId="38E48480" w:rsidR="00CB1C24" w:rsidRDefault="007E46C7" w:rsidP="00CB1C24">
      <w:pPr>
        <w:pStyle w:val="Bullet"/>
      </w:pPr>
      <w:r>
        <w:t>W</w:t>
      </w:r>
      <w:r w:rsidR="00CB1C24">
        <w:t xml:space="preserve">e think the prospect of a quicker decline in inflation </w:t>
      </w:r>
      <w:r w:rsidR="006D76D3">
        <w:t xml:space="preserve">increases the chances of a consumer-led recovery in UK GDP growth </w:t>
      </w:r>
      <w:r w:rsidR="00BD779F">
        <w:t>taking hold</w:t>
      </w:r>
      <w:r w:rsidR="006D76D3">
        <w:t xml:space="preserve"> </w:t>
      </w:r>
      <w:r w:rsidR="00BD779F">
        <w:t>in 2024</w:t>
      </w:r>
      <w:r w:rsidR="0072002E">
        <w:t>.</w:t>
      </w:r>
      <w:r w:rsidR="001F4870">
        <w:t xml:space="preserve"> </w:t>
      </w:r>
      <w:r w:rsidR="005F3463">
        <w:t>S</w:t>
      </w:r>
      <w:r w:rsidR="00BD779F">
        <w:t>pending fell sharply in H2 2023, but s</w:t>
      </w:r>
      <w:r w:rsidR="005F3463">
        <w:t>teady growth in real incomes</w:t>
      </w:r>
      <w:r w:rsidR="00451E7E">
        <w:t xml:space="preserve">, with some dissaving, </w:t>
      </w:r>
      <w:r w:rsidR="005F3463">
        <w:t xml:space="preserve">should </w:t>
      </w:r>
      <w:r w:rsidR="0013189F">
        <w:t>drive a consumer pickup</w:t>
      </w:r>
      <w:r w:rsidR="00BD779F">
        <w:t xml:space="preserve"> this year</w:t>
      </w:r>
      <w:r w:rsidR="006D11CA">
        <w:t>.</w:t>
      </w:r>
    </w:p>
    <w:p w14:paraId="035E79CB" w14:textId="651B5CC6" w:rsidR="00FC1E4D" w:rsidRDefault="005D42F9" w:rsidP="00CB1C24">
      <w:pPr>
        <w:pStyle w:val="Bullet"/>
      </w:pPr>
      <w:r>
        <w:t>Wages recently started growing in real terms again and</w:t>
      </w:r>
      <w:r w:rsidR="0066179C">
        <w:t>,</w:t>
      </w:r>
      <w:r>
        <w:t xml:space="preserve"> with</w:t>
      </w:r>
      <w:r w:rsidR="00BD7690">
        <w:t xml:space="preserve"> inflation </w:t>
      </w:r>
      <w:r>
        <w:t xml:space="preserve">set to drop sharply in the </w:t>
      </w:r>
      <w:r w:rsidR="00A3780B">
        <w:t>coming</w:t>
      </w:r>
      <w:r>
        <w:t xml:space="preserve"> months</w:t>
      </w:r>
      <w:r w:rsidR="0066179C">
        <w:t>,</w:t>
      </w:r>
      <w:r w:rsidR="0066179C" w:rsidRPr="0066179C">
        <w:t xml:space="preserve"> </w:t>
      </w:r>
      <w:r w:rsidR="0066179C">
        <w:t>should rise further</w:t>
      </w:r>
      <w:r w:rsidR="00530116">
        <w:t xml:space="preserve">. </w:t>
      </w:r>
      <w:r w:rsidR="0066179C">
        <w:t>In addition</w:t>
      </w:r>
      <w:r w:rsidR="007822E5">
        <w:t xml:space="preserve">, </w:t>
      </w:r>
      <w:r w:rsidR="0066179C">
        <w:t>state benefits and the national living wage will be boosted by large inflation-linked increases</w:t>
      </w:r>
      <w:r w:rsidR="00704194">
        <w:t xml:space="preserve"> in</w:t>
      </w:r>
      <w:r w:rsidR="0066179C">
        <w:t xml:space="preserve"> </w:t>
      </w:r>
      <w:r w:rsidR="007822E5">
        <w:t>April</w:t>
      </w:r>
      <w:r w:rsidR="009D07E6">
        <w:t xml:space="preserve">. </w:t>
      </w:r>
      <w:r w:rsidR="00704194">
        <w:t>So</w:t>
      </w:r>
      <w:r w:rsidR="009D07E6">
        <w:t>,</w:t>
      </w:r>
      <w:r w:rsidR="000A49B9">
        <w:t xml:space="preserve"> we expect real income growth to remain </w:t>
      </w:r>
      <w:r w:rsidR="00376A07">
        <w:t xml:space="preserve">reasonably </w:t>
      </w:r>
      <w:r w:rsidR="000A49B9">
        <w:t>strong</w:t>
      </w:r>
      <w:r w:rsidR="00032592">
        <w:t xml:space="preserve">, </w:t>
      </w:r>
      <w:r w:rsidR="00305809">
        <w:t>particularly</w:t>
      </w:r>
      <w:r w:rsidR="00032592">
        <w:t xml:space="preserve"> for those lower down the income distribution.</w:t>
      </w:r>
    </w:p>
    <w:p w14:paraId="61842E79" w14:textId="69FAB867" w:rsidR="00CB1C24" w:rsidRDefault="0004524D" w:rsidP="00CB1C24">
      <w:pPr>
        <w:pStyle w:val="Bullet"/>
      </w:pPr>
      <w:r>
        <w:t>T</w:t>
      </w:r>
      <w:r w:rsidR="00CB1C24">
        <w:t xml:space="preserve">he loss of </w:t>
      </w:r>
      <w:r w:rsidR="00AA0802">
        <w:t xml:space="preserve">universal </w:t>
      </w:r>
      <w:r w:rsidR="00CB1C24">
        <w:t>energy payments</w:t>
      </w:r>
      <w:r w:rsidR="00137BD4">
        <w:t>, ongoing fiscal drag</w:t>
      </w:r>
      <w:r>
        <w:t>,</w:t>
      </w:r>
      <w:r w:rsidR="00CB1C24">
        <w:t xml:space="preserve"> and </w:t>
      </w:r>
      <w:r w:rsidR="0081756A">
        <w:t>rising debt servicing costs</w:t>
      </w:r>
      <w:r w:rsidR="00CB1C24">
        <w:t xml:space="preserve"> mean real</w:t>
      </w:r>
      <w:r w:rsidR="00137BD4">
        <w:t xml:space="preserve"> disposable</w:t>
      </w:r>
      <w:r w:rsidR="00CB1C24">
        <w:t xml:space="preserve"> income growth is still likely to slow on a calendar year basis in 2024. But this will mask a gradual improvement</w:t>
      </w:r>
      <w:r w:rsidR="00132799">
        <w:t>,</w:t>
      </w:r>
      <w:r w:rsidR="00CB1C24">
        <w:t xml:space="preserve"> which should become much clearer in 2025</w:t>
      </w:r>
      <w:r w:rsidR="008A140B">
        <w:t xml:space="preserve"> and 2026.</w:t>
      </w:r>
    </w:p>
    <w:p w14:paraId="376C829B" w14:textId="1A8C4D9D" w:rsidR="001C542D" w:rsidRDefault="0064149E" w:rsidP="00CB1C24">
      <w:r>
        <w:t>An improvement in the consumer outlook is central to our forecast that GDP growth will strengthen in 2024</w:t>
      </w:r>
      <w:r w:rsidR="006F512F">
        <w:t xml:space="preserve">. We think </w:t>
      </w:r>
      <w:hyperlink r:id="rId10" w:history="1">
        <w:r w:rsidR="00A44985">
          <w:rPr>
            <w:rStyle w:val="Hyperlink"/>
          </w:rPr>
          <w:t>r</w:t>
        </w:r>
        <w:r w:rsidR="00A44985" w:rsidRPr="00BB5215">
          <w:rPr>
            <w:rStyle w:val="Hyperlink"/>
          </w:rPr>
          <w:t>ecent inflation developments</w:t>
        </w:r>
      </w:hyperlink>
      <w:r w:rsidR="0042773C">
        <w:t xml:space="preserve"> </w:t>
      </w:r>
      <w:r w:rsidR="001F7D61">
        <w:t xml:space="preserve">have improved </w:t>
      </w:r>
      <w:r w:rsidR="002E430C">
        <w:t xml:space="preserve">the </w:t>
      </w:r>
      <w:r w:rsidR="00A44985">
        <w:t>chances of this scenario playing out</w:t>
      </w:r>
      <w:r w:rsidR="00132799">
        <w:t>.</w:t>
      </w:r>
      <w:r w:rsidR="005C099C">
        <w:t xml:space="preserve"> </w:t>
      </w:r>
      <w:r w:rsidR="00132799">
        <w:t>Here,</w:t>
      </w:r>
      <w:r w:rsidR="005C099C">
        <w:t xml:space="preserve"> </w:t>
      </w:r>
      <w:r w:rsidR="00132799">
        <w:t xml:space="preserve">we </w:t>
      </w:r>
      <w:r w:rsidR="004818C4">
        <w:t>focus on</w:t>
      </w:r>
      <w:r w:rsidR="00E706EB">
        <w:t xml:space="preserve"> </w:t>
      </w:r>
      <w:r w:rsidR="00277D21">
        <w:t xml:space="preserve">why </w:t>
      </w:r>
      <w:r w:rsidR="00132799">
        <w:t xml:space="preserve">we think </w:t>
      </w:r>
      <w:r w:rsidR="00277D21">
        <w:t>real income</w:t>
      </w:r>
      <w:r w:rsidR="001D3E55">
        <w:t xml:space="preserve"> growth </w:t>
      </w:r>
      <w:r w:rsidR="00081580">
        <w:t>will remain supportive</w:t>
      </w:r>
      <w:r w:rsidR="00132799">
        <w:t xml:space="preserve"> and we will publish a follow-up report on why</w:t>
      </w:r>
      <w:r w:rsidR="00097FFE">
        <w:t xml:space="preserve"> we think this</w:t>
      </w:r>
      <w:r w:rsidR="00A02332">
        <w:t>,</w:t>
      </w:r>
      <w:r w:rsidR="009B52DF">
        <w:t xml:space="preserve"> </w:t>
      </w:r>
      <w:r w:rsidR="00411C63">
        <w:t>in combination with dissaving</w:t>
      </w:r>
      <w:r w:rsidR="00A02332">
        <w:t>,</w:t>
      </w:r>
      <w:r w:rsidR="00097FFE">
        <w:t xml:space="preserve"> will translate into </w:t>
      </w:r>
      <w:r w:rsidR="00D56803">
        <w:t xml:space="preserve">a </w:t>
      </w:r>
      <w:r w:rsidR="00837D55">
        <w:t>consumer-led recovery.</w:t>
      </w:r>
    </w:p>
    <w:p w14:paraId="47023CC1" w14:textId="583901B1" w:rsidR="00493B6A" w:rsidRDefault="001A1099" w:rsidP="00CB1C24">
      <w:r>
        <w:t xml:space="preserve">Consumer spending </w:t>
      </w:r>
      <w:r w:rsidR="001C4C3C">
        <w:t>grew just 0.3% in 2023</w:t>
      </w:r>
      <w:r w:rsidR="00E2173F">
        <w:t xml:space="preserve"> and</w:t>
      </w:r>
      <w:r w:rsidR="00667EED">
        <w:t xml:space="preserve"> even</w:t>
      </w:r>
      <w:r w:rsidR="00E2173F">
        <w:t xml:space="preserve"> fell by 1% in the second half of the year</w:t>
      </w:r>
      <w:r w:rsidR="001C4C3C">
        <w:t xml:space="preserve">. </w:t>
      </w:r>
      <w:r w:rsidR="00E2173F">
        <w:t>This was despite</w:t>
      </w:r>
      <w:r w:rsidR="00596ABD">
        <w:t xml:space="preserve"> real disposable income </w:t>
      </w:r>
      <w:r w:rsidR="009D0472">
        <w:t>growing by around</w:t>
      </w:r>
      <w:r w:rsidR="00596ABD">
        <w:t xml:space="preserve"> 1.7%</w:t>
      </w:r>
      <w:r w:rsidR="00BE7AEF">
        <w:t xml:space="preserve"> last year</w:t>
      </w:r>
      <w:r w:rsidR="009D0472">
        <w:t>. H</w:t>
      </w:r>
      <w:r w:rsidR="004E5BB5">
        <w:t>igher wage</w:t>
      </w:r>
      <w:r w:rsidR="009D0472">
        <w:t xml:space="preserve"> growth</w:t>
      </w:r>
      <w:r w:rsidR="004E5BB5">
        <w:t xml:space="preserve"> mitigated the </w:t>
      </w:r>
      <w:r w:rsidR="00011B2A">
        <w:t>hit from</w:t>
      </w:r>
      <w:r w:rsidR="004E5BB5">
        <w:t xml:space="preserve"> </w:t>
      </w:r>
      <w:r w:rsidR="00BE7AEF">
        <w:t xml:space="preserve">high </w:t>
      </w:r>
      <w:r w:rsidR="004E5BB5">
        <w:t>inflation</w:t>
      </w:r>
      <w:r w:rsidR="00011B2A">
        <w:t xml:space="preserve"> </w:t>
      </w:r>
      <w:r w:rsidR="00B9067D">
        <w:t xml:space="preserve">with further support coming from </w:t>
      </w:r>
      <w:r w:rsidR="00011B2A">
        <w:t xml:space="preserve">large </w:t>
      </w:r>
      <w:r w:rsidR="00B8010C">
        <w:t xml:space="preserve">universal </w:t>
      </w:r>
      <w:r w:rsidR="00011B2A">
        <w:t>energy payments in Q1</w:t>
      </w:r>
      <w:r w:rsidR="00BF1A77">
        <w:t xml:space="preserve"> 2023, </w:t>
      </w:r>
      <w:r w:rsidR="000E547B">
        <w:t xml:space="preserve">a </w:t>
      </w:r>
      <w:r w:rsidR="009E50E3">
        <w:t>big</w:t>
      </w:r>
      <w:r w:rsidR="000E547B">
        <w:t xml:space="preserve"> inflation-linked uprating in benefits</w:t>
      </w:r>
      <w:r w:rsidR="00F53B5C">
        <w:t xml:space="preserve">, and strong employment </w:t>
      </w:r>
      <w:r w:rsidR="00324F7E">
        <w:t xml:space="preserve">and population </w:t>
      </w:r>
      <w:r w:rsidR="00F53B5C">
        <w:t>growth.</w:t>
      </w:r>
      <w:r w:rsidR="00085089">
        <w:t xml:space="preserve"> </w:t>
      </w:r>
      <w:r w:rsidR="00E612A2">
        <w:t>This suggests</w:t>
      </w:r>
      <w:r w:rsidR="00317D88">
        <w:t xml:space="preserve"> </w:t>
      </w:r>
      <w:r w:rsidR="00361EA4">
        <w:t>the consumer downturn</w:t>
      </w:r>
      <w:r w:rsidR="00791152">
        <w:t xml:space="preserve"> </w:t>
      </w:r>
      <w:r w:rsidR="00361EA4">
        <w:t xml:space="preserve">was more a function of </w:t>
      </w:r>
      <w:r w:rsidR="00156F08">
        <w:t>a greater propensity to save.</w:t>
      </w:r>
    </w:p>
    <w:p w14:paraId="41F6341A" w14:textId="45AE4B36" w:rsidR="0038709F" w:rsidRDefault="002E220D" w:rsidP="008620E3">
      <w:r>
        <w:t>Lower inflation</w:t>
      </w:r>
      <w:r w:rsidR="0033022C">
        <w:t xml:space="preserve"> points to a marked slowdown in </w:t>
      </w:r>
      <w:r w:rsidR="005A635E">
        <w:t xml:space="preserve">nominal income and consumption growth this year, </w:t>
      </w:r>
      <w:r w:rsidR="001D0899">
        <w:t xml:space="preserve">but </w:t>
      </w:r>
      <w:r w:rsidR="00D82BB8">
        <w:t xml:space="preserve">in real terms </w:t>
      </w:r>
      <w:r w:rsidR="001D0899">
        <w:t xml:space="preserve">the picture is </w:t>
      </w:r>
      <w:r w:rsidR="00D82BB8">
        <w:t>brighter</w:t>
      </w:r>
      <w:r w:rsidR="001D0899">
        <w:t xml:space="preserve">. </w:t>
      </w:r>
      <w:r w:rsidR="004B0B0A">
        <w:t>T</w:t>
      </w:r>
      <w:r w:rsidR="00A06290">
        <w:t>he</w:t>
      </w:r>
      <w:r w:rsidR="00960BA3">
        <w:t xml:space="preserve"> </w:t>
      </w:r>
      <w:r w:rsidR="00056B6E">
        <w:t>withdrawal</w:t>
      </w:r>
      <w:r w:rsidR="00960BA3">
        <w:t xml:space="preserve"> of</w:t>
      </w:r>
      <w:r w:rsidR="00B8010C">
        <w:t xml:space="preserve"> universal</w:t>
      </w:r>
      <w:r w:rsidR="00960BA3">
        <w:t xml:space="preserve"> </w:t>
      </w:r>
      <w:r w:rsidR="007C14B8">
        <w:t>energy payments</w:t>
      </w:r>
      <w:r w:rsidR="00B9067D">
        <w:t xml:space="preserve">, which contributed around </w:t>
      </w:r>
      <w:r w:rsidR="00B01573">
        <w:t>1</w:t>
      </w:r>
      <w:r w:rsidR="00667EED">
        <w:t>ppt</w:t>
      </w:r>
      <w:r w:rsidR="00B01573">
        <w:t>-1.5ppt</w:t>
      </w:r>
      <w:r w:rsidR="00190388">
        <w:t xml:space="preserve">s </w:t>
      </w:r>
      <w:r w:rsidR="00B9067D">
        <w:t>in 2023,</w:t>
      </w:r>
      <w:r w:rsidR="0030053E">
        <w:t xml:space="preserve"> </w:t>
      </w:r>
      <w:r w:rsidR="007C14B8">
        <w:t>mean</w:t>
      </w:r>
      <w:r w:rsidR="002F3898">
        <w:t>s</w:t>
      </w:r>
      <w:r w:rsidR="007C14B8">
        <w:t xml:space="preserve"> </w:t>
      </w:r>
      <w:r w:rsidR="00CC0D05">
        <w:t xml:space="preserve">real </w:t>
      </w:r>
      <w:r w:rsidR="007C14B8">
        <w:t>income growth</w:t>
      </w:r>
      <w:r w:rsidR="00E45099">
        <w:t xml:space="preserve"> </w:t>
      </w:r>
      <w:r w:rsidR="00056B6E">
        <w:t>in 2024</w:t>
      </w:r>
      <w:r w:rsidR="007C14B8">
        <w:t xml:space="preserve"> </w:t>
      </w:r>
      <w:r w:rsidR="00293B04">
        <w:t>is unlikely to be as strong</w:t>
      </w:r>
      <w:r w:rsidR="004B0B0A">
        <w:t xml:space="preserve">. But </w:t>
      </w:r>
      <w:r w:rsidR="005B136F">
        <w:t xml:space="preserve">this </w:t>
      </w:r>
      <w:r w:rsidR="00667EED">
        <w:t xml:space="preserve">will </w:t>
      </w:r>
      <w:r w:rsidR="005B136F">
        <w:t xml:space="preserve">mask </w:t>
      </w:r>
      <w:r w:rsidR="00193CD9">
        <w:t>a steady</w:t>
      </w:r>
      <w:r w:rsidR="00F86377">
        <w:t xml:space="preserve"> and sustained</w:t>
      </w:r>
      <w:r w:rsidR="00193CD9">
        <w:t xml:space="preserve"> pick</w:t>
      </w:r>
      <w:r w:rsidR="00C24626">
        <w:t xml:space="preserve"> up in</w:t>
      </w:r>
      <w:r w:rsidR="00CC0D05">
        <w:t xml:space="preserve"> real</w:t>
      </w:r>
      <w:r w:rsidR="00C24626">
        <w:t xml:space="preserve"> </w:t>
      </w:r>
      <w:r w:rsidR="00A92FB2">
        <w:t xml:space="preserve">disposable incomes </w:t>
      </w:r>
      <w:r w:rsidR="00F3769F">
        <w:t>throughout 2024</w:t>
      </w:r>
      <w:r w:rsidR="002D53A5">
        <w:t xml:space="preserve"> and in subsequent years</w:t>
      </w:r>
      <w:r w:rsidR="00D02F35" w:rsidRPr="00D02F35">
        <w:t> –</w:t>
      </w:r>
      <w:r w:rsidR="00D02F35">
        <w:t xml:space="preserve"> even on a per capita basis</w:t>
      </w:r>
      <w:r w:rsidR="00D02F35" w:rsidRPr="00D02F35">
        <w:t> –</w:t>
      </w:r>
      <w:r w:rsidR="00F3769F">
        <w:t xml:space="preserve"> </w:t>
      </w:r>
      <w:r w:rsidR="00DC3374">
        <w:t xml:space="preserve">as </w:t>
      </w:r>
      <w:r w:rsidR="00D86292">
        <w:t xml:space="preserve">softer inflation </w:t>
      </w:r>
      <w:r w:rsidR="0008188F">
        <w:t>points to consistently strong real wage growth</w:t>
      </w:r>
      <w:r w:rsidR="000C7ED5">
        <w:t xml:space="preserve"> (</w:t>
      </w:r>
      <w:r w:rsidR="00ED6F3E" w:rsidRPr="007923FC">
        <w:rPr>
          <w:b/>
          <w:color w:val="003469"/>
        </w:rPr>
        <w:fldChar w:fldCharType="begin"/>
      </w:r>
      <w:r w:rsidR="007923FC" w:rsidRPr="007923FC">
        <w:rPr>
          <w:b/>
          <w:color w:val="003469"/>
        </w:rPr>
        <w:instrText xml:space="preserve">REF _Ref159447231 \h \* Charformat </w:instrText>
      </w:r>
      <w:r w:rsidR="007923FC" w:rsidRPr="007923FC">
        <w:rPr>
          <w:b/>
          <w:color w:val="003469"/>
        </w:rPr>
      </w:r>
      <w:r w:rsidR="00ED6F3E" w:rsidRPr="007923FC">
        <w:rPr>
          <w:b/>
          <w:color w:val="003469"/>
        </w:rPr>
        <w:fldChar w:fldCharType="separate"/>
      </w:r>
      <w:r w:rsidR="007923FC" w:rsidRPr="007923FC">
        <w:rPr>
          <w:b/>
          <w:color w:val="003469"/>
        </w:rPr>
        <w:t>Chart 1</w:t>
      </w:r>
      <w:r w:rsidR="00ED6F3E" w:rsidRPr="007923FC">
        <w:rPr>
          <w:b/>
          <w:color w:val="003469"/>
        </w:rPr>
        <w:fldChar w:fldCharType="end"/>
      </w:r>
      <w:r w:rsidR="000C7ED5">
        <w:t>)</w:t>
      </w:r>
      <w:r w:rsidR="0008188F">
        <w:t>.</w:t>
      </w:r>
    </w:p>
    <w:p w14:paraId="18CABD33" w14:textId="4AE11806" w:rsidR="00CB1C24" w:rsidRDefault="00CB1C24" w:rsidP="008620E3">
      <w:pPr>
        <w:pStyle w:val="ExhibitTitle"/>
        <w:jc w:val="center"/>
      </w:pPr>
      <w:bookmarkStart w:id="0" w:name="_Ref159447231"/>
      <w:r>
        <w:t xml:space="preserve">Chart </w:t>
      </w:r>
      <w:r w:rsidR="00561D48">
        <w:fldChar w:fldCharType="begin"/>
      </w:r>
      <w:r w:rsidR="00ED6F3E">
        <w:instrText>SEQ CHART</w:instrText>
      </w:r>
      <w:r w:rsidR="00561D48">
        <w:fldChar w:fldCharType="separate"/>
      </w:r>
      <w:r w:rsidR="00ED6F3E">
        <w:t>1</w:t>
      </w:r>
      <w:r w:rsidR="00561D48">
        <w:fldChar w:fldCharType="end"/>
      </w:r>
      <w:bookmarkEnd w:id="0"/>
      <w:r>
        <w:t xml:space="preserve">: </w:t>
      </w:r>
      <w:r w:rsidR="00626895">
        <w:t xml:space="preserve">Loss of </w:t>
      </w:r>
      <w:r w:rsidR="00AA0802">
        <w:t xml:space="preserve">universal </w:t>
      </w:r>
      <w:r w:rsidR="00626895">
        <w:t>energy payments mask</w:t>
      </w:r>
      <w:r w:rsidR="00666534">
        <w:t xml:space="preserve">s a </w:t>
      </w:r>
      <w:r w:rsidR="00A12167">
        <w:t>steady</w:t>
      </w:r>
      <w:r w:rsidR="00666534">
        <w:t xml:space="preserve"> improvement in household incomes</w:t>
      </w:r>
    </w:p>
    <w:p w14:paraId="28441316" w14:textId="601F2EC7" w:rsidR="008620E3" w:rsidRDefault="008620E3" w:rsidP="008620E3">
      <w:pPr>
        <w:spacing w:after="0"/>
        <w:jc w:val="center"/>
      </w:pPr>
      <w:r>
        <w:rPr>
          <w:noProof/>
        </w:rPr>
        <w:drawing>
          <wp:inline distT="0" distB="0" distL="0" distR="0" wp14:anchorId="2752637C" wp14:editId="64BB6309">
            <wp:extent cx="4006964" cy="3132464"/>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b="2283"/>
                    <a:stretch>
                      <a:fillRect/>
                    </a:stretch>
                  </pic:blipFill>
                  <pic:spPr>
                    <a:xfrm>
                      <a:off x="0" y="0"/>
                      <a:ext cx="4006964" cy="3132464"/>
                    </a:xfrm>
                    <a:prstGeom prst="rect">
                      <a:avLst/>
                    </a:prstGeom>
                  </pic:spPr>
                </pic:pic>
              </a:graphicData>
            </a:graphic>
          </wp:inline>
        </w:drawing>
      </w:r>
    </w:p>
    <w:p w14:paraId="5BC5F38F" w14:textId="7F7B2F22" w:rsidR="00CB1C24" w:rsidRDefault="008620E3" w:rsidP="008620E3">
      <w:pPr>
        <w:pStyle w:val="ExhibitSource"/>
        <w:jc w:val="center"/>
      </w:pPr>
      <w:r>
        <w:t>Sources: Oxford Economics, Haver Analytics</w:t>
      </w:r>
    </w:p>
    <w:p w14:paraId="1A778874" w14:textId="4251EB8A" w:rsidR="00CB1C24" w:rsidRDefault="00CB1C24" w:rsidP="00CB1C24">
      <w:pPr>
        <w:pStyle w:val="ExhibitSource"/>
        <w:jc w:val="center"/>
        <w:sectPr w:rsidR="00CB1C24" w:rsidSect="008620E3">
          <w:headerReference w:type="even" r:id="rId13"/>
          <w:headerReference w:type="default" r:id="rId14"/>
          <w:footerReference w:type="default" r:id="rId15"/>
          <w:headerReference w:type="first" r:id="rId16"/>
          <w:footerReference w:type="first" r:id="rId17"/>
          <w:pgSz w:w="11906" w:h="16838"/>
          <w:pgMar w:top="2665" w:right="1276" w:bottom="838" w:left="1134" w:header="708" w:footer="300" w:gutter="0"/>
          <w:cols w:space="708"/>
          <w:titlePg/>
          <w:docGrid w:linePitch="360"/>
        </w:sectPr>
      </w:pPr>
    </w:p>
    <w:p w14:paraId="09A04D98" w14:textId="4DE51DC3" w:rsidR="00212A45" w:rsidRDefault="00D86DFD" w:rsidP="00292D6D">
      <w:pPr>
        <w:pStyle w:val="Heading3"/>
      </w:pPr>
      <w:r>
        <w:lastRenderedPageBreak/>
        <w:t xml:space="preserve">Above-inflation </w:t>
      </w:r>
      <w:r w:rsidR="00713A69">
        <w:t>wage and benefit</w:t>
      </w:r>
      <w:r>
        <w:t xml:space="preserve"> settlements to support household incomes</w:t>
      </w:r>
    </w:p>
    <w:p w14:paraId="3FE25A80" w14:textId="5A8BED8B" w:rsidR="00EC0447" w:rsidRDefault="00C2043A" w:rsidP="006B62F2">
      <w:r>
        <w:t xml:space="preserve">Reflecting a </w:t>
      </w:r>
      <w:r w:rsidR="00536F33">
        <w:t xml:space="preserve">period of </w:t>
      </w:r>
      <w:r w:rsidR="00060727">
        <w:t>high</w:t>
      </w:r>
      <w:r w:rsidR="00536F33">
        <w:t xml:space="preserve"> inflation and historically tight labour market conditions in 2022 and 2023, </w:t>
      </w:r>
      <w:r w:rsidR="000F0FB1">
        <w:t xml:space="preserve">nominal wage growth </w:t>
      </w:r>
      <w:r w:rsidR="00002A10">
        <w:t>accelerated</w:t>
      </w:r>
      <w:r w:rsidR="001A66FA">
        <w:t xml:space="preserve"> to </w:t>
      </w:r>
      <w:r w:rsidR="006B7845">
        <w:t>soften the blow from inflation</w:t>
      </w:r>
      <w:r w:rsidR="007F7821">
        <w:t xml:space="preserve">. </w:t>
      </w:r>
      <w:r w:rsidR="00002A10">
        <w:t>Though p</w:t>
      </w:r>
      <w:r w:rsidR="00E23956">
        <w:t xml:space="preserve">ay growth </w:t>
      </w:r>
      <w:r w:rsidR="00557459">
        <w:t>slowed in H2 2023, inflation dropped more rapidly</w:t>
      </w:r>
      <w:r w:rsidR="00277D69">
        <w:t xml:space="preserve">. As a result, </w:t>
      </w:r>
      <w:r w:rsidR="00B63D14">
        <w:t xml:space="preserve">following </w:t>
      </w:r>
      <w:r w:rsidR="00DF0D8E">
        <w:t xml:space="preserve">the </w:t>
      </w:r>
      <w:r w:rsidR="00B63D14">
        <w:t xml:space="preserve">deep </w:t>
      </w:r>
      <w:r w:rsidR="00DF0D8E">
        <w:t xml:space="preserve">squeeze on </w:t>
      </w:r>
      <w:r w:rsidR="00277D69">
        <w:t>real wage</w:t>
      </w:r>
      <w:r w:rsidR="00DF0D8E">
        <w:t>s</w:t>
      </w:r>
      <w:r w:rsidR="000D16BB">
        <w:t xml:space="preserve">, </w:t>
      </w:r>
      <w:r w:rsidR="00DF0D8E">
        <w:t xml:space="preserve">real terms </w:t>
      </w:r>
      <w:r w:rsidR="000D16BB">
        <w:t xml:space="preserve">pay </w:t>
      </w:r>
      <w:r w:rsidR="00277D69">
        <w:t>h</w:t>
      </w:r>
      <w:r w:rsidR="000D16BB">
        <w:t>as</w:t>
      </w:r>
      <w:r w:rsidR="00277D69">
        <w:t xml:space="preserve"> been </w:t>
      </w:r>
      <w:r w:rsidR="00D839D4">
        <w:t xml:space="preserve">rising since </w:t>
      </w:r>
      <w:r w:rsidR="00DF0D8E">
        <w:t xml:space="preserve">last </w:t>
      </w:r>
      <w:r w:rsidR="00D839D4">
        <w:t>summer</w:t>
      </w:r>
      <w:r w:rsidR="00DF0D8E">
        <w:t>,</w:t>
      </w:r>
      <w:r w:rsidR="001531B8">
        <w:t xml:space="preserve"> </w:t>
      </w:r>
      <w:r w:rsidR="00DF0D8E">
        <w:t>a</w:t>
      </w:r>
      <w:r w:rsidR="001531B8">
        <w:t xml:space="preserve">nd we expect </w:t>
      </w:r>
      <w:r w:rsidR="003824A6">
        <w:t xml:space="preserve">wages to </w:t>
      </w:r>
      <w:r w:rsidR="00C855C4">
        <w:t>consistently</w:t>
      </w:r>
      <w:r w:rsidR="003824A6">
        <w:t xml:space="preserve"> </w:t>
      </w:r>
      <w:r w:rsidR="00DF0D8E">
        <w:t>outpace</w:t>
      </w:r>
      <w:r w:rsidR="003824A6">
        <w:t xml:space="preserve"> inflation </w:t>
      </w:r>
      <w:r w:rsidR="00C855C4">
        <w:t xml:space="preserve">in </w:t>
      </w:r>
      <w:r w:rsidR="00667AFD">
        <w:t>2024 and 2025</w:t>
      </w:r>
      <w:r w:rsidR="003824A6">
        <w:t>.</w:t>
      </w:r>
    </w:p>
    <w:p w14:paraId="208C24B5" w14:textId="4996522F" w:rsidR="00DF0D8E" w:rsidRDefault="003824A6" w:rsidP="006B62F2">
      <w:r>
        <w:t xml:space="preserve">On one </w:t>
      </w:r>
      <w:r w:rsidR="00DF0D8E">
        <w:t>side</w:t>
      </w:r>
      <w:r w:rsidR="00530756">
        <w:t>, s</w:t>
      </w:r>
      <w:r w:rsidR="006B62F2">
        <w:t xml:space="preserve">teep falls in oil and wholesale gas prices, together with a softening in core pressures, means inflation is likely to </w:t>
      </w:r>
      <w:r w:rsidR="00A44346">
        <w:t xml:space="preserve">fall back to the 2% target </w:t>
      </w:r>
      <w:r w:rsidR="006B62F2">
        <w:t xml:space="preserve">much quicker than we had anticipated last Autumn. </w:t>
      </w:r>
      <w:r w:rsidR="00395151">
        <w:t>On the other</w:t>
      </w:r>
      <w:r w:rsidR="00DF0D8E">
        <w:t xml:space="preserve"> side</w:t>
      </w:r>
      <w:r w:rsidR="00395151">
        <w:t xml:space="preserve">, </w:t>
      </w:r>
      <w:r w:rsidR="007C07DF">
        <w:t xml:space="preserve">we expect </w:t>
      </w:r>
      <w:r w:rsidR="00A44346">
        <w:t xml:space="preserve">the cooling in </w:t>
      </w:r>
      <w:r w:rsidR="007C07DF">
        <w:t xml:space="preserve">wage settlements to </w:t>
      </w:r>
      <w:r w:rsidR="00A44346">
        <w:t>be much slower</w:t>
      </w:r>
      <w:r w:rsidR="004D4CDB">
        <w:t xml:space="preserve">. Our </w:t>
      </w:r>
      <w:hyperlink r:id="rId18" w:history="1">
        <w:r w:rsidR="004D4CDB" w:rsidRPr="000D66B6">
          <w:rPr>
            <w:rStyle w:val="Hyperlink"/>
          </w:rPr>
          <w:t xml:space="preserve">proprietary </w:t>
        </w:r>
        <w:r w:rsidR="00D81B5B" w:rsidRPr="000D66B6">
          <w:rPr>
            <w:rStyle w:val="Hyperlink"/>
          </w:rPr>
          <w:t xml:space="preserve">sentiment-based wage </w:t>
        </w:r>
        <w:r w:rsidR="00C10B3A">
          <w:rPr>
            <w:rStyle w:val="Hyperlink"/>
          </w:rPr>
          <w:t>nowcast</w:t>
        </w:r>
      </w:hyperlink>
      <w:r w:rsidR="00D81B5B">
        <w:t xml:space="preserve">, </w:t>
      </w:r>
      <w:r w:rsidR="00A609EC" w:rsidRPr="00A609EC">
        <w:t>developed with Penta, suggests nominal pay growth has levelled off at a high rate</w:t>
      </w:r>
      <w:r w:rsidR="00EE4934">
        <w:t xml:space="preserve"> in early 2024</w:t>
      </w:r>
      <w:r w:rsidR="00A609EC" w:rsidRPr="00A609EC">
        <w:t>.</w:t>
      </w:r>
      <w:r w:rsidR="00B0757B">
        <w:t xml:space="preserve"> </w:t>
      </w:r>
      <w:r w:rsidR="00DF0D8E">
        <w:t>T</w:t>
      </w:r>
      <w:r w:rsidR="0017282D">
        <w:t xml:space="preserve">his picture is </w:t>
      </w:r>
      <w:r w:rsidR="00A9329C" w:rsidRPr="00A9329C">
        <w:t xml:space="preserve">broadly consistent with the results of the </w:t>
      </w:r>
      <w:hyperlink r:id="rId19" w:history="1">
        <w:r w:rsidR="00A9329C" w:rsidRPr="00291FD2">
          <w:rPr>
            <w:rStyle w:val="Hyperlink"/>
          </w:rPr>
          <w:t>pay survey</w:t>
        </w:r>
      </w:hyperlink>
      <w:r w:rsidR="00A9329C" w:rsidRPr="00A9329C">
        <w:t xml:space="preserve"> conducted recently by the Bank of England's regional agents</w:t>
      </w:r>
      <w:r w:rsidR="00602976">
        <w:t>.</w:t>
      </w:r>
      <w:r w:rsidR="00F44182">
        <w:t xml:space="preserve"> </w:t>
      </w:r>
    </w:p>
    <w:p w14:paraId="2B97620A" w14:textId="251A4BDE" w:rsidR="0053359C" w:rsidRDefault="00935EDD" w:rsidP="006B62F2">
      <w:r>
        <w:t>T</w:t>
      </w:r>
      <w:r w:rsidR="00993DB1">
        <w:t xml:space="preserve">hose lower </w:t>
      </w:r>
      <w:r w:rsidR="00750E8A">
        <w:t xml:space="preserve">down </w:t>
      </w:r>
      <w:r w:rsidR="001C6AE4">
        <w:t xml:space="preserve">the </w:t>
      </w:r>
      <w:r w:rsidR="00993DB1">
        <w:t>income</w:t>
      </w:r>
      <w:r w:rsidR="001C6AE4">
        <w:t xml:space="preserve"> distribution</w:t>
      </w:r>
      <w:r>
        <w:t xml:space="preserve"> </w:t>
      </w:r>
      <w:r w:rsidR="00C54518">
        <w:t>stand</w:t>
      </w:r>
      <w:r>
        <w:t xml:space="preserve"> to benefit the most</w:t>
      </w:r>
      <w:r w:rsidR="00DF0D8E">
        <w:t xml:space="preserve"> –</w:t>
      </w:r>
      <w:r w:rsidR="00993DB1">
        <w:t xml:space="preserve"> </w:t>
      </w:r>
      <w:r w:rsidR="00DF0D8E">
        <w:t xml:space="preserve">in </w:t>
      </w:r>
      <w:r w:rsidR="00926D4D">
        <w:t>April</w:t>
      </w:r>
      <w:r w:rsidR="00DF0D8E">
        <w:t>,</w:t>
      </w:r>
      <w:r w:rsidR="00926D4D">
        <w:t xml:space="preserve"> </w:t>
      </w:r>
      <w:r w:rsidR="00E34869">
        <w:t xml:space="preserve">the national living wage (for those aged 21+). </w:t>
      </w:r>
      <w:r w:rsidR="00DF0D8E">
        <w:t xml:space="preserve">will also rise </w:t>
      </w:r>
      <w:hyperlink r:id="rId20" w:history="1">
        <w:r w:rsidR="00DF0D8E" w:rsidRPr="007B5C4F">
          <w:rPr>
            <w:rStyle w:val="Hyperlink"/>
          </w:rPr>
          <w:t>9.8%</w:t>
        </w:r>
      </w:hyperlink>
      <w:r w:rsidR="00DF0D8E">
        <w:t xml:space="preserve">. </w:t>
      </w:r>
      <w:r w:rsidR="00E34869">
        <w:t>Those out of work will also</w:t>
      </w:r>
      <w:r w:rsidR="00C54518">
        <w:t xml:space="preserve"> see </w:t>
      </w:r>
      <w:r w:rsidR="00344096">
        <w:t xml:space="preserve">their incomes boosted in April, when </w:t>
      </w:r>
      <w:r w:rsidR="00DF0D8E">
        <w:t xml:space="preserve">state benefits </w:t>
      </w:r>
      <w:r w:rsidR="00344096">
        <w:t>will be</w:t>
      </w:r>
      <w:r w:rsidR="00E34869">
        <w:t xml:space="preserve"> </w:t>
      </w:r>
      <w:r w:rsidR="00DF0D8E">
        <w:t xml:space="preserve">uprated by </w:t>
      </w:r>
      <w:hyperlink r:id="rId21" w:anchor=":~:text=DWP%20benefits%20that%20are%20linked,by%208.5%25%20from%20April%202024." w:history="1">
        <w:r w:rsidR="00475091" w:rsidRPr="004F1AB9">
          <w:rPr>
            <w:rStyle w:val="Hyperlink"/>
          </w:rPr>
          <w:t>6.7%</w:t>
        </w:r>
      </w:hyperlink>
      <w:r w:rsidR="00797009">
        <w:t xml:space="preserve"> </w:t>
      </w:r>
      <w:r w:rsidR="00344096">
        <w:t>and</w:t>
      </w:r>
      <w:r w:rsidR="00797009">
        <w:t xml:space="preserve"> </w:t>
      </w:r>
      <w:r w:rsidR="00DF0D8E">
        <w:t xml:space="preserve">the state pension will increase </w:t>
      </w:r>
      <w:hyperlink r:id="rId22" w:anchor=":~:text=Under%20the%20triple%20lock%2C%20State,summarises%20debates%20about%20its%20sustainability." w:history="1">
        <w:r w:rsidR="00797009" w:rsidRPr="00977859">
          <w:rPr>
            <w:rStyle w:val="Hyperlink"/>
          </w:rPr>
          <w:t>8.5%</w:t>
        </w:r>
      </w:hyperlink>
      <w:r w:rsidR="00797009">
        <w:t>.</w:t>
      </w:r>
      <w:r w:rsidR="00A364EC">
        <w:t xml:space="preserve"> </w:t>
      </w:r>
      <w:r w:rsidR="00DF0D8E">
        <w:t>Consequently</w:t>
      </w:r>
      <w:r w:rsidR="00D51141">
        <w:t xml:space="preserve">, </w:t>
      </w:r>
      <w:r w:rsidR="00805B28">
        <w:t xml:space="preserve">household incomes </w:t>
      </w:r>
      <w:r w:rsidR="00317C8E">
        <w:t xml:space="preserve">are set to </w:t>
      </w:r>
      <w:r w:rsidR="00DF0D8E">
        <w:t xml:space="preserve">consistently </w:t>
      </w:r>
      <w:r w:rsidR="00317C8E">
        <w:t>grow in real terms</w:t>
      </w:r>
      <w:r w:rsidR="00A364EC">
        <w:t>.</w:t>
      </w:r>
    </w:p>
    <w:p w14:paraId="20CFBC06" w14:textId="26BC3DE5" w:rsidR="00EC0447" w:rsidRDefault="003B3DA2" w:rsidP="00292D6D">
      <w:pPr>
        <w:pStyle w:val="Heading3"/>
      </w:pPr>
      <w:r>
        <w:t>But the freeze on tax thresholds and allowances will continue to bite</w:t>
      </w:r>
    </w:p>
    <w:p w14:paraId="36EB2A53" w14:textId="7CDD4129" w:rsidR="00867230" w:rsidRDefault="00EB4E30" w:rsidP="00867230">
      <w:r>
        <w:t xml:space="preserve">However, some of the boost from strong real pay growth will be eroded by the ongoing impact of 'fiscal drag'. </w:t>
      </w:r>
      <w:r w:rsidR="00867230">
        <w:t>Most personal tax thresholds and allowances have been frozen in cash terms since April 2021</w:t>
      </w:r>
      <w:r w:rsidR="00582E89">
        <w:t xml:space="preserve"> and are currently due to be frozen until the end of the 2027-2028 fiscal year</w:t>
      </w:r>
      <w:r w:rsidR="00867230">
        <w:t xml:space="preserve">. As nominal earnings have since grown significantly, this freeze has brought more people into higher tax brackets than would have occurred had thresholds continued to rise with inflation. </w:t>
      </w:r>
    </w:p>
    <w:p w14:paraId="394EAAA0" w14:textId="2AF2E259" w:rsidR="00AB0546" w:rsidRDefault="009320C8" w:rsidP="00867230">
      <w:r>
        <w:t xml:space="preserve">The </w:t>
      </w:r>
      <w:r w:rsidR="00C225A3">
        <w:t xml:space="preserve">cut in the rate of </w:t>
      </w:r>
      <w:r w:rsidR="004012A8">
        <w:t>employee national insurance contribution rate cut</w:t>
      </w:r>
      <w:r w:rsidR="0099467F">
        <w:t xml:space="preserve"> that came into force in early-January</w:t>
      </w:r>
      <w:r w:rsidR="004012A8">
        <w:t xml:space="preserve"> will mitigate some of the impact. Specifically, the OBR estimates that </w:t>
      </w:r>
      <w:r w:rsidR="00EA25D5">
        <w:t>the NICs cut will offset</w:t>
      </w:r>
      <w:r w:rsidR="00DA1FC5">
        <w:t xml:space="preserve"> </w:t>
      </w:r>
      <w:r w:rsidR="0083497C">
        <w:t xml:space="preserve">just over a third of the impact of </w:t>
      </w:r>
      <w:r w:rsidR="00C83877">
        <w:t xml:space="preserve">fiscal drag </w:t>
      </w:r>
      <w:r w:rsidR="0083497C">
        <w:t xml:space="preserve">in fiscal year </w:t>
      </w:r>
      <w:r w:rsidR="00C83877">
        <w:t xml:space="preserve">2024-2025, with this effect falling to </w:t>
      </w:r>
      <w:r w:rsidR="0083497C">
        <w:t>just over a fifth</w:t>
      </w:r>
      <w:r w:rsidR="00A24DAC">
        <w:t xml:space="preserve"> </w:t>
      </w:r>
      <w:r w:rsidR="00C5540A">
        <w:t>in</w:t>
      </w:r>
      <w:r w:rsidR="00A24DAC">
        <w:t xml:space="preserve"> 2028-2029. </w:t>
      </w:r>
    </w:p>
    <w:p w14:paraId="76C37BF4" w14:textId="74E77944" w:rsidR="00867230" w:rsidRPr="001B67B7" w:rsidRDefault="00AB0546" w:rsidP="00E70235">
      <w:r>
        <w:t>It's</w:t>
      </w:r>
      <w:r w:rsidR="00AF29B5">
        <w:t xml:space="preserve"> also </w:t>
      </w:r>
      <w:r w:rsidR="006F7C12">
        <w:t>possibl</w:t>
      </w:r>
      <w:r>
        <w:t>e</w:t>
      </w:r>
      <w:r w:rsidR="006F7C12">
        <w:t xml:space="preserve"> that</w:t>
      </w:r>
      <w:r w:rsidR="00AF29B5">
        <w:t xml:space="preserve"> the Chancellor </w:t>
      </w:r>
      <w:r w:rsidR="008A1D4F" w:rsidRPr="008A1D4F">
        <w:t>will announce</w:t>
      </w:r>
      <w:r w:rsidR="006F7C12">
        <w:t xml:space="preserve"> </w:t>
      </w:r>
      <w:r w:rsidR="00AF29B5">
        <w:t>further cuts</w:t>
      </w:r>
      <w:r w:rsidR="00F87E56">
        <w:t xml:space="preserve"> to personal tax rates </w:t>
      </w:r>
      <w:r w:rsidR="004C6424">
        <w:t xml:space="preserve">in </w:t>
      </w:r>
      <w:r w:rsidR="00F87E56">
        <w:t>his Spring Budget on March</w:t>
      </w:r>
      <w:r>
        <w:t xml:space="preserve"> 6</w:t>
      </w:r>
      <w:r w:rsidR="00F377B8">
        <w:t>.</w:t>
      </w:r>
      <w:r>
        <w:t xml:space="preserve"> </w:t>
      </w:r>
      <w:r w:rsidR="00112408">
        <w:t>But based on current policy</w:t>
      </w:r>
      <w:r w:rsidR="00E5506C">
        <w:t xml:space="preserve">, we </w:t>
      </w:r>
      <w:r w:rsidR="001E0E1A">
        <w:t xml:space="preserve">forecast that the recovery in </w:t>
      </w:r>
      <w:r w:rsidR="00643D55">
        <w:t xml:space="preserve">real post-tax </w:t>
      </w:r>
      <w:r w:rsidR="00E24276">
        <w:t xml:space="preserve">salaries per employee </w:t>
      </w:r>
      <w:r w:rsidR="00C13C5B">
        <w:t>in 2024</w:t>
      </w:r>
      <w:r w:rsidR="001E0E1A">
        <w:t xml:space="preserve"> will quickly </w:t>
      </w:r>
      <w:r w:rsidR="006321CD">
        <w:t xml:space="preserve">peter out </w:t>
      </w:r>
      <w:r w:rsidR="00E4304B">
        <w:t>in subsequent years</w:t>
      </w:r>
      <w:r w:rsidR="006321CD">
        <w:t xml:space="preserve"> because of the impact of fiscal drag</w:t>
      </w:r>
      <w:r w:rsidR="00E4304B">
        <w:t xml:space="preserve"> </w:t>
      </w:r>
      <w:r w:rsidR="00867230">
        <w:t>(</w:t>
      </w:r>
      <w:r w:rsidR="00ED6F3E" w:rsidRPr="007923FC">
        <w:rPr>
          <w:b/>
          <w:color w:val="003469"/>
        </w:rPr>
        <w:fldChar w:fldCharType="begin"/>
      </w:r>
      <w:r w:rsidR="007923FC" w:rsidRPr="007923FC">
        <w:rPr>
          <w:b/>
          <w:color w:val="003469"/>
        </w:rPr>
        <w:instrText xml:space="preserve">REF _Ref159447232 \h \* Charformat </w:instrText>
      </w:r>
      <w:r w:rsidR="007923FC" w:rsidRPr="007923FC">
        <w:rPr>
          <w:b/>
          <w:color w:val="003469"/>
        </w:rPr>
      </w:r>
      <w:r w:rsidR="00ED6F3E" w:rsidRPr="007923FC">
        <w:rPr>
          <w:b/>
          <w:color w:val="003469"/>
        </w:rPr>
        <w:fldChar w:fldCharType="separate"/>
      </w:r>
      <w:r w:rsidR="007923FC" w:rsidRPr="007923FC">
        <w:rPr>
          <w:b/>
          <w:color w:val="003469"/>
        </w:rPr>
        <w:t>Chart 2</w:t>
      </w:r>
      <w:r w:rsidR="00ED6F3E" w:rsidRPr="007923FC">
        <w:rPr>
          <w:b/>
          <w:color w:val="003469"/>
        </w:rPr>
        <w:fldChar w:fldCharType="end"/>
      </w:r>
      <w:r w:rsidR="00867230">
        <w:t>).</w:t>
      </w:r>
    </w:p>
    <w:p w14:paraId="61426F45" w14:textId="41A2DA92" w:rsidR="00CB1C24" w:rsidRDefault="00CB1C24" w:rsidP="00292D6D">
      <w:pPr>
        <w:pStyle w:val="ExhibitTitle"/>
      </w:pPr>
      <w:bookmarkStart w:id="1" w:name="_Ref159447232"/>
      <w:r>
        <w:t xml:space="preserve">Chart </w:t>
      </w:r>
      <w:r w:rsidR="00561D48">
        <w:fldChar w:fldCharType="begin"/>
      </w:r>
      <w:r w:rsidR="00ED6F3E">
        <w:instrText>SEQ CHART</w:instrText>
      </w:r>
      <w:r w:rsidR="00561D48">
        <w:fldChar w:fldCharType="separate"/>
      </w:r>
      <w:r w:rsidR="00ED6F3E">
        <w:t>2</w:t>
      </w:r>
      <w:r w:rsidR="00561D48">
        <w:fldChar w:fldCharType="end"/>
      </w:r>
      <w:bookmarkEnd w:id="1"/>
      <w:r>
        <w:t xml:space="preserve">: </w:t>
      </w:r>
      <w:r w:rsidR="00EA6408">
        <w:t xml:space="preserve">Gross real wages look set for a recovery, but the outlook for post-tax incomes is more </w:t>
      </w:r>
      <w:r w:rsidR="00E36A73">
        <w:t>subdued</w:t>
      </w:r>
    </w:p>
    <w:p w14:paraId="37EC7312" w14:textId="03395762" w:rsidR="008202DD" w:rsidRDefault="008202DD" w:rsidP="00292D6D">
      <w:pPr>
        <w:spacing w:after="0"/>
      </w:pPr>
      <w:r>
        <w:rPr>
          <w:noProof/>
        </w:rPr>
        <w:drawing>
          <wp:inline distT="0" distB="0" distL="0" distR="0" wp14:anchorId="49D9F72F" wp14:editId="57C3DD2E">
            <wp:extent cx="3250933" cy="2537762"/>
            <wp:effectExtent l="0" t="0" r="6985"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rcRect b="2283"/>
                    <a:stretch>
                      <a:fillRect/>
                    </a:stretch>
                  </pic:blipFill>
                  <pic:spPr>
                    <a:xfrm>
                      <a:off x="0" y="0"/>
                      <a:ext cx="3250933" cy="2537762"/>
                    </a:xfrm>
                    <a:prstGeom prst="rect">
                      <a:avLst/>
                    </a:prstGeom>
                  </pic:spPr>
                </pic:pic>
              </a:graphicData>
            </a:graphic>
          </wp:inline>
        </w:drawing>
      </w:r>
    </w:p>
    <w:p w14:paraId="432F36DD" w14:textId="76295633" w:rsidR="00CB1C24" w:rsidRDefault="008202DD" w:rsidP="00292D6D">
      <w:pPr>
        <w:pStyle w:val="ExhibitSource"/>
      </w:pPr>
      <w:r>
        <w:t>Source: Oxford Economics, Haver Analytics</w:t>
      </w:r>
    </w:p>
    <w:p w14:paraId="4EBA115C" w14:textId="03E175A6" w:rsidR="00873872" w:rsidRDefault="002C499A" w:rsidP="00292D6D">
      <w:pPr>
        <w:pStyle w:val="Heading3"/>
      </w:pPr>
      <w:r>
        <w:lastRenderedPageBreak/>
        <w:t>L</w:t>
      </w:r>
      <w:r w:rsidR="00D93DB7">
        <w:t>ower interest rates are unlikely to boost disposable income in the near-term</w:t>
      </w:r>
    </w:p>
    <w:p w14:paraId="7F4370C3" w14:textId="145D2305" w:rsidR="00953ABC" w:rsidRPr="00953ABC" w:rsidRDefault="00953ABC" w:rsidP="00953ABC">
      <w:r w:rsidRPr="00953ABC">
        <w:t xml:space="preserve">With CPI inflation now expected to return to the Bank of England's 2% target much earlier than previously expected, </w:t>
      </w:r>
      <w:r w:rsidR="00776A86">
        <w:t>Bank Rate looks likely to be cut earlier</w:t>
      </w:r>
      <w:r w:rsidR="00033248">
        <w:t xml:space="preserve"> than </w:t>
      </w:r>
      <w:r w:rsidR="00AB0546">
        <w:t xml:space="preserve">seemed </w:t>
      </w:r>
      <w:r w:rsidR="00033248">
        <w:t xml:space="preserve">likely </w:t>
      </w:r>
      <w:r w:rsidR="00AB0546">
        <w:t xml:space="preserve">just </w:t>
      </w:r>
      <w:r w:rsidR="00033248">
        <w:t>a few months ago</w:t>
      </w:r>
      <w:r w:rsidR="00E26946">
        <w:t>.</w:t>
      </w:r>
      <w:r w:rsidR="00033248">
        <w:t xml:space="preserve"> </w:t>
      </w:r>
      <w:hyperlink r:id="rId25" w:history="1">
        <w:r w:rsidR="00033248" w:rsidRPr="0018360F">
          <w:rPr>
            <w:rStyle w:val="Hyperlink"/>
          </w:rPr>
          <w:t>We now expect the first cut to</w:t>
        </w:r>
        <w:r w:rsidR="00017779" w:rsidRPr="0018360F">
          <w:rPr>
            <w:rStyle w:val="Hyperlink"/>
          </w:rPr>
          <w:t xml:space="preserve"> come in June</w:t>
        </w:r>
      </w:hyperlink>
      <w:r w:rsidR="00017779">
        <w:t>, with 75bps of rate cuts this year followed by 100bps in 2025.</w:t>
      </w:r>
    </w:p>
    <w:p w14:paraId="5949DE8D" w14:textId="3C330D0A" w:rsidR="00953ABC" w:rsidRPr="00953ABC" w:rsidRDefault="00E13DD8" w:rsidP="00953ABC">
      <w:bookmarkStart w:id="2" w:name="_Hlk159260078"/>
      <w:r>
        <w:t>But</w:t>
      </w:r>
      <w:r w:rsidR="00953ABC" w:rsidRPr="00953ABC">
        <w:t xml:space="preserve"> just the as popularity of fixed-rate mortgages slowed the passthrough of BoE rate hikes to average mortgage rates during 2022 and 2023, the same factor will also slow the transmission of cuts in Bank Rate to the average cost of home loans.</w:t>
      </w:r>
      <w:bookmarkEnd w:id="2"/>
      <w:r w:rsidR="00953ABC" w:rsidRPr="00953ABC">
        <w:t xml:space="preserve"> </w:t>
      </w:r>
      <w:r w:rsidR="00DD7F50">
        <w:t>A</w:t>
      </w:r>
      <w:r w:rsidR="00953ABC" w:rsidRPr="00953ABC">
        <w:t xml:space="preserve">lmost all of the 1.5mn mortgagors with fixed-rate deals expiring before the end of 2024 will face </w:t>
      </w:r>
      <w:r w:rsidR="00885B9A">
        <w:t xml:space="preserve">moving onto </w:t>
      </w:r>
      <w:r w:rsidR="00953ABC" w:rsidRPr="00953ABC">
        <w:t xml:space="preserve">much higher interest </w:t>
      </w:r>
      <w:r w:rsidR="00885B9A">
        <w:t xml:space="preserve">rates </w:t>
      </w:r>
      <w:r w:rsidR="00953ABC" w:rsidRPr="00953ABC">
        <w:t>when refinancing</w:t>
      </w:r>
      <w:r w:rsidR="006E5AA3">
        <w:t xml:space="preserve">. The fall in quoted mortgage rates since mid-2023 has </w:t>
      </w:r>
      <w:hyperlink r:id="rId26" w:history="1">
        <w:r w:rsidR="006E5AA3" w:rsidRPr="00A315B0">
          <w:rPr>
            <w:rStyle w:val="Hyperlink"/>
          </w:rPr>
          <w:t>reduced the uplift in borrowing costs</w:t>
        </w:r>
      </w:hyperlink>
      <w:r w:rsidR="006E5AA3">
        <w:t xml:space="preserve"> these </w:t>
      </w:r>
      <w:r w:rsidR="00885B9A">
        <w:t>mortga</w:t>
      </w:r>
      <w:r w:rsidR="006601A8">
        <w:t>g</w:t>
      </w:r>
      <w:r w:rsidR="00885B9A">
        <w:t>ors</w:t>
      </w:r>
      <w:r w:rsidR="006E5AA3">
        <w:t xml:space="preserve"> face</w:t>
      </w:r>
      <w:r w:rsidR="00631AC2">
        <w:t xml:space="preserve">, but </w:t>
      </w:r>
      <w:r w:rsidR="00953ABC" w:rsidRPr="00953ABC">
        <w:t xml:space="preserve">we </w:t>
      </w:r>
      <w:r w:rsidR="00631AC2">
        <w:t xml:space="preserve">still </w:t>
      </w:r>
      <w:r w:rsidR="00953ABC" w:rsidRPr="00953ABC">
        <w:t xml:space="preserve">forecast that personal sector debt interest payments will </w:t>
      </w:r>
      <w:r w:rsidR="006601A8">
        <w:t>rise to</w:t>
      </w:r>
      <w:r w:rsidR="006601A8" w:rsidRPr="00953ABC">
        <w:t xml:space="preserve"> </w:t>
      </w:r>
      <w:r w:rsidR="00953ABC" w:rsidRPr="00953ABC">
        <w:t>5.7% of disposable income this year from 5.1% in 2023.</w:t>
      </w:r>
    </w:p>
    <w:p w14:paraId="1AFC863F" w14:textId="4244A2D6" w:rsidR="00D93DB7" w:rsidRDefault="00953ABC" w:rsidP="00953ABC">
      <w:r w:rsidRPr="00953ABC">
        <w:t>In contrast</w:t>
      </w:r>
      <w:r w:rsidR="00A567B6">
        <w:t>,</w:t>
      </w:r>
      <w:r w:rsidRPr="00953ABC">
        <w:t xml:space="preserve"> the transmission of tighter monetary policy to interest rates </w:t>
      </w:r>
      <w:r w:rsidR="006601A8">
        <w:t xml:space="preserve">payable </w:t>
      </w:r>
      <w:r w:rsidRPr="00953ABC">
        <w:t xml:space="preserve">on household savings has been relatively quick. As a result, higher interest rates have so far been a net positive to household incomes. </w:t>
      </w:r>
      <w:r w:rsidR="0049675C">
        <w:t>But savings rates are likely to respond equally quickly to Bank Rate cuts</w:t>
      </w:r>
      <w:r w:rsidR="00507EA7">
        <w:t xml:space="preserve">, so interest receipts are likely to fall sharply over the next couple of years. </w:t>
      </w:r>
      <w:r w:rsidR="00CC600F">
        <w:t xml:space="preserve">So we expect to move from a position where </w:t>
      </w:r>
      <w:r w:rsidRPr="00953ABC">
        <w:t xml:space="preserve">net household interest receipts </w:t>
      </w:r>
      <w:r w:rsidR="00104159">
        <w:t>made a positive contribution to real income growth of around 0.3ppts in 2023 to one where they drag by 0.5ppts this year</w:t>
      </w:r>
      <w:r w:rsidRPr="00953ABC">
        <w:t xml:space="preserve"> </w:t>
      </w:r>
      <w:r w:rsidR="00867230">
        <w:t>(</w:t>
      </w:r>
      <w:r w:rsidR="00ED6F3E" w:rsidRPr="007923FC">
        <w:rPr>
          <w:b/>
          <w:color w:val="003469"/>
        </w:rPr>
        <w:fldChar w:fldCharType="begin"/>
      </w:r>
      <w:r w:rsidR="007923FC" w:rsidRPr="007923FC">
        <w:rPr>
          <w:b/>
          <w:color w:val="003469"/>
        </w:rPr>
        <w:instrText xml:space="preserve">REF _Ref159447233 \h \* Charformat </w:instrText>
      </w:r>
      <w:r w:rsidR="007923FC" w:rsidRPr="007923FC">
        <w:rPr>
          <w:b/>
          <w:color w:val="003469"/>
        </w:rPr>
      </w:r>
      <w:r w:rsidR="00ED6F3E" w:rsidRPr="007923FC">
        <w:rPr>
          <w:b/>
          <w:color w:val="003469"/>
        </w:rPr>
        <w:fldChar w:fldCharType="separate"/>
      </w:r>
      <w:r w:rsidR="007923FC" w:rsidRPr="007923FC">
        <w:rPr>
          <w:b/>
          <w:color w:val="003469"/>
        </w:rPr>
        <w:t>Chart 3</w:t>
      </w:r>
      <w:r w:rsidR="00ED6F3E" w:rsidRPr="007923FC">
        <w:rPr>
          <w:b/>
          <w:color w:val="003469"/>
        </w:rPr>
        <w:fldChar w:fldCharType="end"/>
      </w:r>
      <w:r w:rsidR="00867230">
        <w:t>).</w:t>
      </w:r>
    </w:p>
    <w:p w14:paraId="2C7DB241" w14:textId="35ACA2FB" w:rsidR="00CB1C24" w:rsidRDefault="00CB1C24" w:rsidP="00292D6D">
      <w:pPr>
        <w:pStyle w:val="ExhibitTitle"/>
      </w:pPr>
      <w:bookmarkStart w:id="3" w:name="_Ref159447233"/>
      <w:r>
        <w:t xml:space="preserve">Chart </w:t>
      </w:r>
      <w:r w:rsidR="00561D48">
        <w:fldChar w:fldCharType="begin"/>
      </w:r>
      <w:r w:rsidR="00ED6F3E">
        <w:instrText>SEQ CHART</w:instrText>
      </w:r>
      <w:r w:rsidR="00561D48">
        <w:fldChar w:fldCharType="separate"/>
      </w:r>
      <w:r w:rsidR="00ED6F3E">
        <w:t>3</w:t>
      </w:r>
      <w:r w:rsidR="00561D48">
        <w:fldChar w:fldCharType="end"/>
      </w:r>
      <w:bookmarkEnd w:id="3"/>
      <w:r>
        <w:t xml:space="preserve">: </w:t>
      </w:r>
      <w:r w:rsidR="00CF1AB7">
        <w:t>Rising debt interest payments will increasingly weigh on</w:t>
      </w:r>
      <w:r w:rsidR="00666534">
        <w:t xml:space="preserve"> disposable income growth</w:t>
      </w:r>
    </w:p>
    <w:p w14:paraId="5C999D84" w14:textId="0E2642C9" w:rsidR="0030263A" w:rsidRDefault="0030263A" w:rsidP="00292D6D">
      <w:pPr>
        <w:spacing w:after="0"/>
      </w:pPr>
      <w:r>
        <w:rPr>
          <w:noProof/>
        </w:rPr>
        <w:drawing>
          <wp:inline distT="0" distB="0" distL="0" distR="0" wp14:anchorId="6CDCC41A" wp14:editId="443FEBBC">
            <wp:extent cx="3250933" cy="2552005"/>
            <wp:effectExtent l="0" t="0" r="6985" b="127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27" cstate="print">
                      <a:extLst>
                        <a:ext uri="{28A0092B-C50C-407E-A947-70E740481C1C}">
                          <a14:useLocalDpi xmlns:a14="http://schemas.microsoft.com/office/drawing/2010/main" val="0"/>
                        </a:ext>
                        <a:ext uri="{96DAC541-7B7A-43D3-8B79-37D633B846F1}">
                          <asvg:svgBlip xmlns:asvg="http://schemas.microsoft.com/office/drawing/2016/SVG/main" r:embed="rId28"/>
                        </a:ext>
                      </a:extLst>
                    </a:blip>
                    <a:srcRect b="1799"/>
                    <a:stretch>
                      <a:fillRect/>
                    </a:stretch>
                  </pic:blipFill>
                  <pic:spPr>
                    <a:xfrm>
                      <a:off x="0" y="0"/>
                      <a:ext cx="3250933" cy="2552005"/>
                    </a:xfrm>
                    <a:prstGeom prst="rect">
                      <a:avLst/>
                    </a:prstGeom>
                  </pic:spPr>
                </pic:pic>
              </a:graphicData>
            </a:graphic>
          </wp:inline>
        </w:drawing>
      </w:r>
    </w:p>
    <w:p w14:paraId="6603CEAF" w14:textId="6CA30293" w:rsidR="00CB1C24" w:rsidRDefault="0030263A" w:rsidP="00292D6D">
      <w:pPr>
        <w:pStyle w:val="ExhibitSource"/>
      </w:pPr>
      <w:r>
        <w:t>Source: Oxford Economics, Haver Analytics</w:t>
      </w:r>
    </w:p>
    <w:p w14:paraId="6EA0F099" w14:textId="333600D9" w:rsidR="00953ABC" w:rsidRDefault="008259EF" w:rsidP="00953ABC">
      <w:r>
        <w:t xml:space="preserve">But while </w:t>
      </w:r>
      <w:r w:rsidR="0094399B">
        <w:t xml:space="preserve">net </w:t>
      </w:r>
      <w:r w:rsidR="000630E4">
        <w:t xml:space="preserve">interest receipts are likely to </w:t>
      </w:r>
      <w:r w:rsidR="0067722F">
        <w:t xml:space="preserve">weigh on real household disposable incomes </w:t>
      </w:r>
      <w:r w:rsidR="00AB0546">
        <w:t>on</w:t>
      </w:r>
      <w:r w:rsidR="000630E4">
        <w:t xml:space="preserve"> aggregate </w:t>
      </w:r>
      <w:r w:rsidR="00F01B19">
        <w:t xml:space="preserve">in 2024, </w:t>
      </w:r>
      <w:r w:rsidR="00AB6910">
        <w:t xml:space="preserve">this </w:t>
      </w:r>
      <w:r w:rsidR="00080F42">
        <w:t xml:space="preserve">will </w:t>
      </w:r>
      <w:r w:rsidR="00AB6910">
        <w:t xml:space="preserve">conceal </w:t>
      </w:r>
      <w:r w:rsidR="00080F42">
        <w:t xml:space="preserve">a significant divergence in outcomes </w:t>
      </w:r>
      <w:r w:rsidR="0067722F">
        <w:t xml:space="preserve">across different groups. </w:t>
      </w:r>
      <w:r w:rsidR="0072602A">
        <w:t xml:space="preserve">Two </w:t>
      </w:r>
      <w:r w:rsidR="00A527B0">
        <w:t xml:space="preserve">particular </w:t>
      </w:r>
      <w:r w:rsidR="0072602A">
        <w:t>groups ar</w:t>
      </w:r>
      <w:r w:rsidR="00B12CF2">
        <w:t>e likely to be losers from this year's events – m</w:t>
      </w:r>
      <w:r w:rsidR="00491207">
        <w:t xml:space="preserve">ortgagors </w:t>
      </w:r>
      <w:r w:rsidR="00177CE2">
        <w:t>refinanc</w:t>
      </w:r>
      <w:r w:rsidR="00B12CF2">
        <w:t>ing</w:t>
      </w:r>
      <w:r w:rsidR="00A527B0">
        <w:t>,</w:t>
      </w:r>
      <w:r w:rsidR="00177CE2">
        <w:t xml:space="preserve"> </w:t>
      </w:r>
      <w:r w:rsidR="00A527B0">
        <w:t>who</w:t>
      </w:r>
      <w:r w:rsidR="00177CE2">
        <w:t xml:space="preserve"> will face a </w:t>
      </w:r>
      <w:r w:rsidR="00CF0D09">
        <w:t xml:space="preserve">large hit </w:t>
      </w:r>
      <w:r w:rsidR="006A2F2F">
        <w:t xml:space="preserve">from </w:t>
      </w:r>
      <w:r w:rsidR="00303286">
        <w:t xml:space="preserve">a </w:t>
      </w:r>
      <w:r w:rsidR="00177CE2">
        <w:t xml:space="preserve">sharp rise in </w:t>
      </w:r>
      <w:r w:rsidR="00303A5C">
        <w:t>debt servicing costs</w:t>
      </w:r>
      <w:r w:rsidR="00A527B0">
        <w:t xml:space="preserve">, and </w:t>
      </w:r>
      <w:r w:rsidR="00E13FCF">
        <w:t>those with savings in bank accounts</w:t>
      </w:r>
      <w:r w:rsidR="001C44B8">
        <w:t xml:space="preserve">. </w:t>
      </w:r>
    </w:p>
    <w:p w14:paraId="1C380C0F" w14:textId="56411B61" w:rsidR="00953ABC" w:rsidRDefault="006103F5" w:rsidP="00292D6D">
      <w:pPr>
        <w:pStyle w:val="Heading3"/>
      </w:pPr>
      <w:r>
        <w:t>Stead</w:t>
      </w:r>
      <w:r w:rsidR="005E4A0A">
        <w:t xml:space="preserve">ily improving real disposable incomes </w:t>
      </w:r>
      <w:r w:rsidR="00285636">
        <w:t>is just one</w:t>
      </w:r>
      <w:r w:rsidR="00D647A9">
        <w:t>-</w:t>
      </w:r>
      <w:r w:rsidR="00285636">
        <w:t>half of the consumption jigsaw</w:t>
      </w:r>
    </w:p>
    <w:p w14:paraId="2CB73DE7" w14:textId="3CC7C142" w:rsidR="00F10853" w:rsidRDefault="00CF1AB7" w:rsidP="00CB1C24">
      <w:r>
        <w:t xml:space="preserve">Bringing </w:t>
      </w:r>
      <w:r w:rsidR="00F85E6B">
        <w:t xml:space="preserve">all </w:t>
      </w:r>
      <w:r>
        <w:t xml:space="preserve">of </w:t>
      </w:r>
      <w:r w:rsidR="00F85E6B">
        <w:t>these factors</w:t>
      </w:r>
      <w:r>
        <w:t xml:space="preserve"> together</w:t>
      </w:r>
      <w:r w:rsidR="00F85E6B">
        <w:t xml:space="preserve">, we </w:t>
      </w:r>
      <w:r w:rsidR="00625650">
        <w:t>think</w:t>
      </w:r>
      <w:r w:rsidR="00F85E6B">
        <w:t xml:space="preserve"> </w:t>
      </w:r>
      <w:r w:rsidR="00625650">
        <w:t xml:space="preserve">real household disposable income growth is likely to slow </w:t>
      </w:r>
      <w:r w:rsidR="00D95558">
        <w:t xml:space="preserve">to 1.1% in 2024, from </w:t>
      </w:r>
      <w:r w:rsidR="00747D9C">
        <w:t xml:space="preserve">1.7% in 2023. </w:t>
      </w:r>
      <w:r w:rsidR="00C408A2">
        <w:t xml:space="preserve">But this is largely due to the loss of </w:t>
      </w:r>
      <w:r w:rsidR="00B8010C">
        <w:t xml:space="preserve">universal </w:t>
      </w:r>
      <w:r w:rsidR="00C408A2">
        <w:t xml:space="preserve">energy payments, which </w:t>
      </w:r>
      <w:r w:rsidR="00AB0546">
        <w:t xml:space="preserve">will </w:t>
      </w:r>
      <w:r w:rsidR="00EE216B">
        <w:t xml:space="preserve">mask steady </w:t>
      </w:r>
      <w:r w:rsidR="00FD5762">
        <w:t>growth</w:t>
      </w:r>
      <w:r w:rsidR="00EE216B">
        <w:t xml:space="preserve"> in real incomes</w:t>
      </w:r>
      <w:r w:rsidR="00276029">
        <w:t xml:space="preserve"> </w:t>
      </w:r>
      <w:r w:rsidR="00AB0546">
        <w:t xml:space="preserve">over </w:t>
      </w:r>
      <w:r w:rsidR="005325CD">
        <w:t>2024</w:t>
      </w:r>
      <w:r w:rsidR="00276029">
        <w:t xml:space="preserve">. </w:t>
      </w:r>
      <w:r w:rsidR="00F63080">
        <w:t xml:space="preserve">As </w:t>
      </w:r>
      <w:r w:rsidR="00AB0546">
        <w:t xml:space="preserve">the distortion from the subsidy </w:t>
      </w:r>
      <w:r w:rsidR="00F63080">
        <w:t xml:space="preserve">fades, we expect real income growth to </w:t>
      </w:r>
      <w:r w:rsidR="00121ADC">
        <w:t>accelerate to 2%</w:t>
      </w:r>
      <w:r w:rsidR="00061A2D">
        <w:t xml:space="preserve"> in </w:t>
      </w:r>
      <w:r w:rsidR="00121ADC">
        <w:t xml:space="preserve">both </w:t>
      </w:r>
      <w:r w:rsidR="00061A2D">
        <w:t>2025 and 2026.</w:t>
      </w:r>
      <w:r w:rsidR="00087E3F">
        <w:t xml:space="preserve"> </w:t>
      </w:r>
    </w:p>
    <w:p w14:paraId="15283CF7" w14:textId="2A00F8F2" w:rsidR="00C43C05" w:rsidRDefault="00104328" w:rsidP="00CB1C24">
      <w:r>
        <w:t xml:space="preserve">Solid and sustained growth in household income should provide the foundation for a </w:t>
      </w:r>
      <w:r w:rsidR="00D96FA0">
        <w:t xml:space="preserve">pickup in consumer spending over the next couple of years. </w:t>
      </w:r>
      <w:r w:rsidR="00106964">
        <w:t>The extent to which spending responds to firm income growth</w:t>
      </w:r>
      <w:r w:rsidR="003130D7">
        <w:t xml:space="preserve"> will depend on how </w:t>
      </w:r>
      <w:r w:rsidR="006A03B4">
        <w:t xml:space="preserve">household savings </w:t>
      </w:r>
      <w:r w:rsidR="00DE46C2">
        <w:t>and</w:t>
      </w:r>
      <w:r w:rsidR="006A03B4">
        <w:t xml:space="preserve"> credit</w:t>
      </w:r>
      <w:r w:rsidR="00E136B7">
        <w:t xml:space="preserve"> demand </w:t>
      </w:r>
      <w:r w:rsidR="003130D7">
        <w:t xml:space="preserve">evolve – </w:t>
      </w:r>
      <w:r w:rsidR="00AB0546">
        <w:t xml:space="preserve">a topic </w:t>
      </w:r>
      <w:r w:rsidR="003130D7">
        <w:t>we will a</w:t>
      </w:r>
      <w:r w:rsidR="00E136B7">
        <w:t xml:space="preserve">nalyse </w:t>
      </w:r>
      <w:r w:rsidR="003130D7">
        <w:t>in a separate note to be published later this week</w:t>
      </w:r>
      <w:r w:rsidR="00561D48">
        <w:t>.</w:t>
      </w:r>
    </w:p>
    <w:sectPr w:rsidR="00C43C05" w:rsidSect="008620E3">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57D89" w14:textId="77777777" w:rsidR="00CB1C24" w:rsidRDefault="00CB1C24" w:rsidP="00CB1C24">
      <w:pPr>
        <w:spacing w:before="0" w:after="0"/>
      </w:pPr>
      <w:r>
        <w:separator/>
      </w:r>
    </w:p>
  </w:endnote>
  <w:endnote w:type="continuationSeparator" w:id="0">
    <w:p w14:paraId="15B6812D" w14:textId="77777777" w:rsidR="00CB1C24" w:rsidRDefault="00CB1C24" w:rsidP="00CB1C2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EE9A1" w14:textId="05235D69" w:rsidR="00CB1C24" w:rsidRPr="00CB1C24" w:rsidRDefault="00CB1C24" w:rsidP="00CB1C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Edward Allenby - eallenby@oxfordeconomics.com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77EFF" w14:textId="277FCA25" w:rsidR="00CB1C24" w:rsidRDefault="00CB1C24" w:rsidP="00CB1C24">
    <w:pPr>
      <w:pStyle w:val="Author"/>
    </w:pPr>
    <w:r>
      <w:t>Edward Allenby</w:t>
    </w:r>
    <w:r w:rsidR="00292D6D">
      <w:t xml:space="preserve"> - </w:t>
    </w:r>
    <w:r>
      <w:t>UK Economist</w:t>
    </w:r>
    <w:r w:rsidR="00292D6D">
      <w:t xml:space="preserve"> - </w:t>
    </w:r>
    <w:r>
      <w:t>eallenby@oxfordeconomics.com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12109" w14:textId="77777777" w:rsidR="00CB1C24" w:rsidRDefault="00CB1C24" w:rsidP="00CB1C24">
      <w:pPr>
        <w:spacing w:before="0" w:after="0"/>
      </w:pPr>
      <w:r>
        <w:separator/>
      </w:r>
    </w:p>
  </w:footnote>
  <w:footnote w:type="continuationSeparator" w:id="0">
    <w:p w14:paraId="7B602FE8" w14:textId="77777777" w:rsidR="00CB1C24" w:rsidRDefault="00CB1C24" w:rsidP="00CB1C2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DEBBB" w14:textId="77777777" w:rsidR="00CB1C24" w:rsidRDefault="00CB1C24">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B8B32" w14:textId="1DCADF49" w:rsidR="00CB1C24" w:rsidRDefault="00CB1C24" w:rsidP="00CB1C24">
    <w:pPr>
      <w:pStyle w:val="Headline"/>
      <w:spacing w:before="120"/>
      <w:ind w:right="-1000"/>
    </w:pPr>
    <w:r w:rsidRPr="00CB1C24">
      <w:rPr>
        <w:noProof/>
      </w:rPr>
      <w:drawing>
        <wp:anchor distT="0" distB="0" distL="114300" distR="114300" simplePos="0" relativeHeight="251658239" behindDoc="1" locked="1" layoutInCell="1" allowOverlap="1" wp14:anchorId="344F5E44" wp14:editId="52176FB6">
          <wp:simplePos x="0" y="0"/>
          <wp:positionH relativeFrom="page">
            <wp:posOffset>0</wp:posOffset>
          </wp:positionH>
          <wp:positionV relativeFrom="page">
            <wp:posOffset>0</wp:posOffset>
          </wp:positionV>
          <wp:extent cx="7553325" cy="10658475"/>
          <wp:effectExtent l="0" t="0" r="9525" b="9525"/>
          <wp:wrapNone/>
          <wp:docPr id="3" name="Picture 3"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932004">
      <w:t>Lower inflation to support a gradual recovery in real incomes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5DE6C" w14:textId="58E374D3" w:rsidR="00CB1C24" w:rsidRDefault="00CB1C24" w:rsidP="00CB1C24">
    <w:r w:rsidRPr="00CB1C24">
      <w:rPr>
        <w:noProof/>
      </w:rPr>
      <w:drawing>
        <wp:anchor distT="0" distB="0" distL="114300" distR="114300" simplePos="0" relativeHeight="251659264" behindDoc="1" locked="1" layoutInCell="1" allowOverlap="1" wp14:anchorId="29059F6A" wp14:editId="0F41FE04">
          <wp:simplePos x="0" y="0"/>
          <wp:positionH relativeFrom="page">
            <wp:posOffset>0</wp:posOffset>
          </wp:positionH>
          <wp:positionV relativeFrom="page">
            <wp:posOffset>190500</wp:posOffset>
          </wp:positionV>
          <wp:extent cx="7569200" cy="1503667"/>
          <wp:effectExtent l="0" t="0" r="0" b="1905"/>
          <wp:wrapNone/>
          <wp:docPr id="5" name="Picture 5"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563837163"/>
      <w:lock w:val="sdtLocked"/>
      <w:placeholder>
        <w:docPart w:val="DefaultPlaceholder_-1854013437"/>
      </w:placeholder>
      <w:date w:fullDate="2024-02-26T00:00:00Z">
        <w:dateFormat w:val="d MMMM yyyy"/>
        <w:lid w:val="en-GB"/>
        <w:storeMappedDataAs w:val="dateTime"/>
        <w:calendar w:val="gregorian"/>
      </w:date>
    </w:sdtPr>
    <w:sdtEndPr/>
    <w:sdtContent>
      <w:p w14:paraId="703DA4E7" w14:textId="70613312" w:rsidR="00CB1C24" w:rsidRDefault="00CB1C24" w:rsidP="00CB1C24">
        <w:pPr>
          <w:pStyle w:val="PublishDate"/>
          <w:framePr w:w="2835" w:h="340" w:hRule="exact" w:hSpace="180" w:wrap="around" w:vAnchor="page" w:hAnchor="page" w:x="7801" w:y="601" w:anchorLock="1"/>
        </w:pPr>
        <w:r>
          <w:t>2</w:t>
        </w:r>
        <w:r w:rsidR="00873872">
          <w:t>6</w:t>
        </w:r>
        <w:r>
          <w:t xml:space="preserve"> February 2024</w:t>
        </w:r>
      </w:p>
    </w:sdtContent>
  </w:sdt>
  <w:p w14:paraId="04FC4808" w14:textId="6D2A6807" w:rsidR="00CB1C24" w:rsidRDefault="00543F0D" w:rsidP="00CB1C24">
    <w:pPr>
      <w:pStyle w:val="ProductDescription"/>
      <w:framePr w:w="11339" w:h="1474" w:hRule="exact" w:hSpace="180" w:wrap="around" w:vAnchor="page" w:hAnchor="page" w:x="401" w:y="1141" w:anchorLock="1"/>
      <w:spacing w:after="200"/>
    </w:pPr>
    <w:r>
      <w:t>Research Briefing</w:t>
    </w:r>
    <w:r w:rsidR="00CB1C24">
      <w:t xml:space="preserve"> | </w:t>
    </w:r>
    <w:r>
      <w:t>UK</w:t>
    </w:r>
  </w:p>
  <w:p w14:paraId="07189161" w14:textId="34AF7CE6" w:rsidR="00CB1C24" w:rsidRDefault="00932004" w:rsidP="00CB1C24">
    <w:pPr>
      <w:pStyle w:val="Headline"/>
      <w:framePr w:w="11339" w:h="1474" w:hRule="exact" w:hSpace="180" w:wrap="around" w:vAnchor="page" w:hAnchor="page" w:x="401" w:y="1141" w:anchorLock="1"/>
      <w:spacing w:line="200" w:lineRule="auto"/>
    </w:pPr>
    <w:r>
      <w:t>Lower inflation to support a gradual recovery in real incomes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7C2884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D54AA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67222D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B6EB2D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9C4E34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BD6F2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688D6D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DC6C8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0C2EE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306BF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A631E12"/>
    <w:multiLevelType w:val="hybridMultilevel"/>
    <w:tmpl w:val="9EB8A598"/>
    <w:lvl w:ilvl="0" w:tplc="4AA61DF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C566A5E"/>
    <w:multiLevelType w:val="hybridMultilevel"/>
    <w:tmpl w:val="ACE8EDBE"/>
    <w:lvl w:ilvl="0" w:tplc="88FEDC1C">
      <w:start w:val="1"/>
      <w:numFmt w:val="bullet"/>
      <w:lvlText w:val=""/>
      <w:lvlJc w:val="left"/>
      <w:pPr>
        <w:ind w:left="720" w:hanging="360"/>
      </w:pPr>
      <w:rPr>
        <w:rFonts w:ascii="Wingdings" w:hAnsi="Wingdings"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36F32CF"/>
    <w:multiLevelType w:val="hybridMultilevel"/>
    <w:tmpl w:val="BE80DE78"/>
    <w:lvl w:ilvl="0" w:tplc="2ACE6AA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4AF2819"/>
    <w:multiLevelType w:val="hybridMultilevel"/>
    <w:tmpl w:val="157C753A"/>
    <w:lvl w:ilvl="0" w:tplc="047AFB1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90809A8"/>
    <w:multiLevelType w:val="hybridMultilevel"/>
    <w:tmpl w:val="5A90D112"/>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C912899"/>
    <w:multiLevelType w:val="hybridMultilevel"/>
    <w:tmpl w:val="80E44722"/>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027C37"/>
    <w:multiLevelType w:val="hybridMultilevel"/>
    <w:tmpl w:val="2BB0871A"/>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B14A7F"/>
    <w:multiLevelType w:val="hybridMultilevel"/>
    <w:tmpl w:val="5FC0DC60"/>
    <w:lvl w:ilvl="0" w:tplc="C2F4A66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4DD68A8"/>
    <w:multiLevelType w:val="hybridMultilevel"/>
    <w:tmpl w:val="C1EC2B32"/>
    <w:lvl w:ilvl="0" w:tplc="88E8C1B2">
      <w:start w:val="1"/>
      <w:numFmt w:val="bullet"/>
      <w:lvlText w:val=""/>
      <w:lvlJc w:val="left"/>
      <w:pPr>
        <w:ind w:left="-720" w:hanging="360"/>
      </w:pPr>
      <w:rPr>
        <w:rFonts w:ascii="Wingdings" w:hAnsi="Wingdings" w:hint="default"/>
        <w:color w:val="3D4D79"/>
      </w:rPr>
    </w:lvl>
    <w:lvl w:ilvl="1" w:tplc="08090003" w:tentative="1">
      <w:start w:val="1"/>
      <w:numFmt w:val="bullet"/>
      <w:lvlText w:val="o"/>
      <w:lvlJc w:val="left"/>
      <w:pPr>
        <w:ind w:left="0" w:hanging="360"/>
      </w:pPr>
      <w:rPr>
        <w:rFonts w:ascii="Courier New" w:hAnsi="Courier New" w:cs="Courier New" w:hint="default"/>
      </w:rPr>
    </w:lvl>
    <w:lvl w:ilvl="2" w:tplc="08090005" w:tentative="1">
      <w:start w:val="1"/>
      <w:numFmt w:val="bullet"/>
      <w:lvlText w:val=""/>
      <w:lvlJc w:val="left"/>
      <w:pPr>
        <w:ind w:left="720" w:hanging="360"/>
      </w:pPr>
      <w:rPr>
        <w:rFonts w:ascii="Wingdings" w:hAnsi="Wingdings" w:hint="default"/>
      </w:rPr>
    </w:lvl>
    <w:lvl w:ilvl="3" w:tplc="08090001" w:tentative="1">
      <w:start w:val="1"/>
      <w:numFmt w:val="bullet"/>
      <w:lvlText w:val=""/>
      <w:lvlJc w:val="left"/>
      <w:pPr>
        <w:ind w:left="1440" w:hanging="360"/>
      </w:pPr>
      <w:rPr>
        <w:rFonts w:ascii="Symbol" w:hAnsi="Symbol" w:hint="default"/>
      </w:rPr>
    </w:lvl>
    <w:lvl w:ilvl="4" w:tplc="08090003" w:tentative="1">
      <w:start w:val="1"/>
      <w:numFmt w:val="bullet"/>
      <w:lvlText w:val="o"/>
      <w:lvlJc w:val="left"/>
      <w:pPr>
        <w:ind w:left="2160" w:hanging="360"/>
      </w:pPr>
      <w:rPr>
        <w:rFonts w:ascii="Courier New" w:hAnsi="Courier New" w:cs="Courier New" w:hint="default"/>
      </w:rPr>
    </w:lvl>
    <w:lvl w:ilvl="5" w:tplc="08090005" w:tentative="1">
      <w:start w:val="1"/>
      <w:numFmt w:val="bullet"/>
      <w:lvlText w:val=""/>
      <w:lvlJc w:val="left"/>
      <w:pPr>
        <w:ind w:left="2880" w:hanging="360"/>
      </w:pPr>
      <w:rPr>
        <w:rFonts w:ascii="Wingdings" w:hAnsi="Wingdings" w:hint="default"/>
      </w:rPr>
    </w:lvl>
    <w:lvl w:ilvl="6" w:tplc="08090001" w:tentative="1">
      <w:start w:val="1"/>
      <w:numFmt w:val="bullet"/>
      <w:lvlText w:val=""/>
      <w:lvlJc w:val="left"/>
      <w:pPr>
        <w:ind w:left="3600" w:hanging="360"/>
      </w:pPr>
      <w:rPr>
        <w:rFonts w:ascii="Symbol" w:hAnsi="Symbol" w:hint="default"/>
      </w:rPr>
    </w:lvl>
    <w:lvl w:ilvl="7" w:tplc="08090003" w:tentative="1">
      <w:start w:val="1"/>
      <w:numFmt w:val="bullet"/>
      <w:lvlText w:val="o"/>
      <w:lvlJc w:val="left"/>
      <w:pPr>
        <w:ind w:left="4320" w:hanging="360"/>
      </w:pPr>
      <w:rPr>
        <w:rFonts w:ascii="Courier New" w:hAnsi="Courier New" w:cs="Courier New" w:hint="default"/>
      </w:rPr>
    </w:lvl>
    <w:lvl w:ilvl="8" w:tplc="08090005" w:tentative="1">
      <w:start w:val="1"/>
      <w:numFmt w:val="bullet"/>
      <w:lvlText w:val=""/>
      <w:lvlJc w:val="left"/>
      <w:pPr>
        <w:ind w:left="5040" w:hanging="360"/>
      </w:pPr>
      <w:rPr>
        <w:rFonts w:ascii="Wingdings" w:hAnsi="Wingdings" w:hint="default"/>
      </w:rPr>
    </w:lvl>
  </w:abstractNum>
  <w:abstractNum w:abstractNumId="21" w15:restartNumberingAfterBreak="0">
    <w:nsid w:val="2937580B"/>
    <w:multiLevelType w:val="hybridMultilevel"/>
    <w:tmpl w:val="EB047A7C"/>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C7249EA"/>
    <w:multiLevelType w:val="hybridMultilevel"/>
    <w:tmpl w:val="8CAAC5DC"/>
    <w:lvl w:ilvl="0" w:tplc="9CB8E808">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341F448B"/>
    <w:multiLevelType w:val="hybridMultilevel"/>
    <w:tmpl w:val="7F02F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58C6CA2"/>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367277C7"/>
    <w:multiLevelType w:val="hybridMultilevel"/>
    <w:tmpl w:val="D158A6DA"/>
    <w:lvl w:ilvl="0" w:tplc="C2F4A66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6E539D0"/>
    <w:multiLevelType w:val="hybridMultilevel"/>
    <w:tmpl w:val="42541D1C"/>
    <w:lvl w:ilvl="0" w:tplc="60121A1E">
      <w:start w:val="1"/>
      <w:numFmt w:val="bullet"/>
      <w:lvlText w:val=""/>
      <w:lvlJc w:val="left"/>
      <w:pPr>
        <w:ind w:left="720" w:hanging="360"/>
      </w:pPr>
      <w:rPr>
        <w:rFonts w:ascii="Webdings" w:hAnsi="Web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9FE14C4"/>
    <w:multiLevelType w:val="hybridMultilevel"/>
    <w:tmpl w:val="C9484A32"/>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BEB67AD"/>
    <w:multiLevelType w:val="hybridMultilevel"/>
    <w:tmpl w:val="44E8EBD6"/>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CEC682A"/>
    <w:multiLevelType w:val="hybridMultilevel"/>
    <w:tmpl w:val="9EE8CC52"/>
    <w:lvl w:ilvl="0" w:tplc="79764228">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0A541FD"/>
    <w:multiLevelType w:val="hybridMultilevel"/>
    <w:tmpl w:val="9574031A"/>
    <w:lvl w:ilvl="0" w:tplc="3C4A3C32">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10C224E"/>
    <w:multiLevelType w:val="hybridMultilevel"/>
    <w:tmpl w:val="656E90C8"/>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2ED3B55"/>
    <w:multiLevelType w:val="hybridMultilevel"/>
    <w:tmpl w:val="DF6E0320"/>
    <w:lvl w:ilvl="0" w:tplc="EE083EF2">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5714373"/>
    <w:multiLevelType w:val="hybridMultilevel"/>
    <w:tmpl w:val="C3145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8162A0F"/>
    <w:multiLevelType w:val="hybridMultilevel"/>
    <w:tmpl w:val="62FAAB68"/>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9D775CD"/>
    <w:multiLevelType w:val="hybridMultilevel"/>
    <w:tmpl w:val="6B0E6210"/>
    <w:lvl w:ilvl="0" w:tplc="6AA6C10E">
      <w:start w:val="1"/>
      <w:numFmt w:val="bullet"/>
      <w:lvlText w:val=""/>
      <w:lvlJc w:val="left"/>
      <w:pPr>
        <w:ind w:left="720" w:hanging="360"/>
      </w:pPr>
      <w:rPr>
        <w:rFonts w:ascii="Wingdings" w:hAnsi="Wingdings" w:hint="default"/>
        <w:color w:val="9CC2E5" w:themeColor="accent5" w:themeTint="99"/>
        <w:sz w:val="20"/>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1934573"/>
    <w:multiLevelType w:val="multilevel"/>
    <w:tmpl w:val="B352DD0C"/>
    <w:lvl w:ilvl="0">
      <w:start w:val="1"/>
      <w:numFmt w:val="bullet"/>
      <w:lvlText w:val=""/>
      <w:lvlJc w:val="left"/>
      <w:pPr>
        <w:ind w:left="284" w:hanging="284"/>
      </w:pPr>
      <w:rPr>
        <w:rFonts w:ascii="Wingdings" w:hAnsi="Wingdings" w:hint="default"/>
        <w:color w:val="9CC2E5" w:themeColor="accent5" w:themeTint="99"/>
        <w:sz w:val="20"/>
        <w:u w:val="none"/>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8" w15:restartNumberingAfterBreak="0">
    <w:nsid w:val="571A5AA8"/>
    <w:multiLevelType w:val="hybridMultilevel"/>
    <w:tmpl w:val="53EE3E6E"/>
    <w:lvl w:ilvl="0" w:tplc="1C6A6FC0">
      <w:start w:val="1"/>
      <w:numFmt w:val="bullet"/>
      <w:lvlText w:val=""/>
      <w:lvlJc w:val="left"/>
      <w:pPr>
        <w:ind w:left="720" w:hanging="360"/>
      </w:pPr>
      <w:rPr>
        <w:rFonts w:ascii="Webdings" w:hAnsi="Webdings"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8A20213"/>
    <w:multiLevelType w:val="hybridMultilevel"/>
    <w:tmpl w:val="8E3294BA"/>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D9321EE"/>
    <w:multiLevelType w:val="hybridMultilevel"/>
    <w:tmpl w:val="B3986AB2"/>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41" w15:restartNumberingAfterBreak="0">
    <w:nsid w:val="646D6F89"/>
    <w:multiLevelType w:val="hybridMultilevel"/>
    <w:tmpl w:val="3602343A"/>
    <w:lvl w:ilvl="0" w:tplc="B3C29BA0">
      <w:start w:val="1"/>
      <w:numFmt w:val="bullet"/>
      <w:lvlText w:val=""/>
      <w:lvlJc w:val="left"/>
      <w:pPr>
        <w:ind w:left="720" w:hanging="360"/>
      </w:pPr>
      <w:rPr>
        <w:rFonts w:ascii="Wingdings" w:hAnsi="Wingdings"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A3843C1"/>
    <w:multiLevelType w:val="hybridMultilevel"/>
    <w:tmpl w:val="EC5AE4DA"/>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C913A18"/>
    <w:multiLevelType w:val="hybridMultilevel"/>
    <w:tmpl w:val="FB104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abstractNum w:abstractNumId="45" w15:restartNumberingAfterBreak="0">
    <w:nsid w:val="6FB00AB4"/>
    <w:multiLevelType w:val="hybridMultilevel"/>
    <w:tmpl w:val="A8CC42E2"/>
    <w:lvl w:ilvl="0" w:tplc="71A6902E">
      <w:start w:val="1"/>
      <w:numFmt w:val="bullet"/>
      <w:lvlRestart w:val="0"/>
      <w:lvlText w:val=""/>
      <w:lvlJc w:val="left"/>
      <w:pPr>
        <w:ind w:left="436"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46" w15:restartNumberingAfterBreak="0">
    <w:nsid w:val="6FE038AD"/>
    <w:multiLevelType w:val="hybridMultilevel"/>
    <w:tmpl w:val="2C2026B0"/>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3473CBD"/>
    <w:multiLevelType w:val="hybridMultilevel"/>
    <w:tmpl w:val="CE008BB4"/>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81E78D7"/>
    <w:multiLevelType w:val="hybridMultilevel"/>
    <w:tmpl w:val="250EEE86"/>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94213035">
    <w:abstractNumId w:val="34"/>
  </w:num>
  <w:num w:numId="2" w16cid:durableId="1374189487">
    <w:abstractNumId w:val="24"/>
  </w:num>
  <w:num w:numId="3" w16cid:durableId="1063869298">
    <w:abstractNumId w:val="26"/>
  </w:num>
  <w:num w:numId="4" w16cid:durableId="1799488320">
    <w:abstractNumId w:val="19"/>
  </w:num>
  <w:num w:numId="5" w16cid:durableId="1506213937">
    <w:abstractNumId w:val="21"/>
  </w:num>
  <w:num w:numId="6" w16cid:durableId="314840530">
    <w:abstractNumId w:val="28"/>
  </w:num>
  <w:num w:numId="7" w16cid:durableId="1563977284">
    <w:abstractNumId w:val="42"/>
  </w:num>
  <w:num w:numId="8" w16cid:durableId="249118037">
    <w:abstractNumId w:val="15"/>
  </w:num>
  <w:num w:numId="9" w16cid:durableId="610404025">
    <w:abstractNumId w:val="43"/>
  </w:num>
  <w:num w:numId="10" w16cid:durableId="553666262">
    <w:abstractNumId w:val="12"/>
  </w:num>
  <w:num w:numId="11" w16cid:durableId="964194686">
    <w:abstractNumId w:val="29"/>
  </w:num>
  <w:num w:numId="12" w16cid:durableId="997419701">
    <w:abstractNumId w:val="39"/>
  </w:num>
  <w:num w:numId="13" w16cid:durableId="1846439482">
    <w:abstractNumId w:val="17"/>
  </w:num>
  <w:num w:numId="14" w16cid:durableId="1962228029">
    <w:abstractNumId w:val="46"/>
  </w:num>
  <w:num w:numId="15" w16cid:durableId="598559671">
    <w:abstractNumId w:val="35"/>
  </w:num>
  <w:num w:numId="16" w16cid:durableId="1966505070">
    <w:abstractNumId w:val="32"/>
  </w:num>
  <w:num w:numId="17" w16cid:durableId="1356468770">
    <w:abstractNumId w:val="18"/>
  </w:num>
  <w:num w:numId="18" w16cid:durableId="1264191163">
    <w:abstractNumId w:val="16"/>
  </w:num>
  <w:num w:numId="19" w16cid:durableId="2000579178">
    <w:abstractNumId w:val="47"/>
  </w:num>
  <w:num w:numId="20" w16cid:durableId="673387406">
    <w:abstractNumId w:val="48"/>
  </w:num>
  <w:num w:numId="21" w16cid:durableId="1385637003">
    <w:abstractNumId w:val="9"/>
  </w:num>
  <w:num w:numId="22" w16cid:durableId="383333980">
    <w:abstractNumId w:val="7"/>
  </w:num>
  <w:num w:numId="23" w16cid:durableId="922298311">
    <w:abstractNumId w:val="6"/>
  </w:num>
  <w:num w:numId="24" w16cid:durableId="809907582">
    <w:abstractNumId w:val="5"/>
  </w:num>
  <w:num w:numId="25" w16cid:durableId="1449350384">
    <w:abstractNumId w:val="4"/>
  </w:num>
  <w:num w:numId="26" w16cid:durableId="1079786661">
    <w:abstractNumId w:val="8"/>
  </w:num>
  <w:num w:numId="27" w16cid:durableId="1272856395">
    <w:abstractNumId w:val="3"/>
  </w:num>
  <w:num w:numId="28" w16cid:durableId="1877615150">
    <w:abstractNumId w:val="2"/>
  </w:num>
  <w:num w:numId="29" w16cid:durableId="1747729138">
    <w:abstractNumId w:val="1"/>
  </w:num>
  <w:num w:numId="30" w16cid:durableId="95754017">
    <w:abstractNumId w:val="0"/>
  </w:num>
  <w:num w:numId="31" w16cid:durableId="124549221">
    <w:abstractNumId w:val="40"/>
  </w:num>
  <w:num w:numId="32" w16cid:durableId="505284862">
    <w:abstractNumId w:val="45"/>
  </w:num>
  <w:num w:numId="33" w16cid:durableId="462650736">
    <w:abstractNumId w:val="20"/>
  </w:num>
  <w:num w:numId="34" w16cid:durableId="2025209209">
    <w:abstractNumId w:val="23"/>
  </w:num>
  <w:num w:numId="35" w16cid:durableId="294993573">
    <w:abstractNumId w:val="14"/>
  </w:num>
  <w:num w:numId="36" w16cid:durableId="77021086">
    <w:abstractNumId w:val="31"/>
  </w:num>
  <w:num w:numId="37" w16cid:durableId="1392995203">
    <w:abstractNumId w:val="13"/>
  </w:num>
  <w:num w:numId="38" w16cid:durableId="1446536707">
    <w:abstractNumId w:val="30"/>
  </w:num>
  <w:num w:numId="39" w16cid:durableId="1443767865">
    <w:abstractNumId w:val="27"/>
  </w:num>
  <w:num w:numId="40" w16cid:durableId="140773752">
    <w:abstractNumId w:val="38"/>
  </w:num>
  <w:num w:numId="41" w16cid:durableId="1586838259">
    <w:abstractNumId w:val="22"/>
  </w:num>
  <w:num w:numId="42" w16cid:durableId="1253705932">
    <w:abstractNumId w:val="33"/>
  </w:num>
  <w:num w:numId="43" w16cid:durableId="421949769">
    <w:abstractNumId w:val="36"/>
  </w:num>
  <w:num w:numId="44" w16cid:durableId="1411196832">
    <w:abstractNumId w:val="11"/>
  </w:num>
  <w:num w:numId="45" w16cid:durableId="2074311132">
    <w:abstractNumId w:val="11"/>
    <w:lvlOverride w:ilvl="0">
      <w:startOverride w:val="1"/>
    </w:lvlOverride>
  </w:num>
  <w:num w:numId="46" w16cid:durableId="1947344749">
    <w:abstractNumId w:val="44"/>
  </w:num>
  <w:num w:numId="47" w16cid:durableId="1322738948">
    <w:abstractNumId w:val="41"/>
  </w:num>
  <w:num w:numId="48" w16cid:durableId="692146759">
    <w:abstractNumId w:val="37"/>
  </w:num>
  <w:num w:numId="49" w16cid:durableId="967322538">
    <w:abstractNumId w:val="25"/>
  </w:num>
  <w:num w:numId="50" w16cid:durableId="11778434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C24"/>
    <w:rsid w:val="00002A10"/>
    <w:rsid w:val="0000561B"/>
    <w:rsid w:val="00011180"/>
    <w:rsid w:val="00011B2A"/>
    <w:rsid w:val="00012632"/>
    <w:rsid w:val="00017779"/>
    <w:rsid w:val="00020143"/>
    <w:rsid w:val="00025946"/>
    <w:rsid w:val="00031683"/>
    <w:rsid w:val="00032592"/>
    <w:rsid w:val="00033248"/>
    <w:rsid w:val="0004331C"/>
    <w:rsid w:val="0004524D"/>
    <w:rsid w:val="0004546F"/>
    <w:rsid w:val="00056B6E"/>
    <w:rsid w:val="00060727"/>
    <w:rsid w:val="00061A2D"/>
    <w:rsid w:val="000630E4"/>
    <w:rsid w:val="00080F42"/>
    <w:rsid w:val="00081580"/>
    <w:rsid w:val="0008188F"/>
    <w:rsid w:val="00085089"/>
    <w:rsid w:val="00086F61"/>
    <w:rsid w:val="00087E3F"/>
    <w:rsid w:val="00096BAA"/>
    <w:rsid w:val="00097FFE"/>
    <w:rsid w:val="000A49B9"/>
    <w:rsid w:val="000B0610"/>
    <w:rsid w:val="000C7ED5"/>
    <w:rsid w:val="000D0393"/>
    <w:rsid w:val="000D16BB"/>
    <w:rsid w:val="000D2EB9"/>
    <w:rsid w:val="000D3D52"/>
    <w:rsid w:val="000D66B6"/>
    <w:rsid w:val="000E1CB4"/>
    <w:rsid w:val="000E547B"/>
    <w:rsid w:val="000F0FB1"/>
    <w:rsid w:val="00101CB2"/>
    <w:rsid w:val="00104159"/>
    <w:rsid w:val="00104328"/>
    <w:rsid w:val="00106964"/>
    <w:rsid w:val="00112408"/>
    <w:rsid w:val="00121ADC"/>
    <w:rsid w:val="0013189F"/>
    <w:rsid w:val="00132799"/>
    <w:rsid w:val="00137A3E"/>
    <w:rsid w:val="00137BD4"/>
    <w:rsid w:val="001500D2"/>
    <w:rsid w:val="001531B8"/>
    <w:rsid w:val="00156F08"/>
    <w:rsid w:val="00166450"/>
    <w:rsid w:val="0017282D"/>
    <w:rsid w:val="00176FB0"/>
    <w:rsid w:val="00177CE2"/>
    <w:rsid w:val="00181808"/>
    <w:rsid w:val="0018360F"/>
    <w:rsid w:val="00187B5A"/>
    <w:rsid w:val="00190388"/>
    <w:rsid w:val="00191B2B"/>
    <w:rsid w:val="00191C6F"/>
    <w:rsid w:val="00193CD9"/>
    <w:rsid w:val="001A1099"/>
    <w:rsid w:val="001A184E"/>
    <w:rsid w:val="001A4F24"/>
    <w:rsid w:val="001A66FA"/>
    <w:rsid w:val="001A7144"/>
    <w:rsid w:val="001C2F23"/>
    <w:rsid w:val="001C44B8"/>
    <w:rsid w:val="001C4C3C"/>
    <w:rsid w:val="001C542D"/>
    <w:rsid w:val="001C6AE4"/>
    <w:rsid w:val="001C729E"/>
    <w:rsid w:val="001D0899"/>
    <w:rsid w:val="001D3E55"/>
    <w:rsid w:val="001E0E1A"/>
    <w:rsid w:val="001E6B65"/>
    <w:rsid w:val="001E77C4"/>
    <w:rsid w:val="001F454F"/>
    <w:rsid w:val="001F4870"/>
    <w:rsid w:val="001F591B"/>
    <w:rsid w:val="001F7D61"/>
    <w:rsid w:val="00212A45"/>
    <w:rsid w:val="00215251"/>
    <w:rsid w:val="00235C14"/>
    <w:rsid w:val="00236750"/>
    <w:rsid w:val="0025066E"/>
    <w:rsid w:val="00260F30"/>
    <w:rsid w:val="00265B87"/>
    <w:rsid w:val="002741E8"/>
    <w:rsid w:val="00276029"/>
    <w:rsid w:val="00277D21"/>
    <w:rsid w:val="00277D69"/>
    <w:rsid w:val="00281789"/>
    <w:rsid w:val="00281D03"/>
    <w:rsid w:val="00283C75"/>
    <w:rsid w:val="00285636"/>
    <w:rsid w:val="00291FD2"/>
    <w:rsid w:val="00292D6D"/>
    <w:rsid w:val="00293B04"/>
    <w:rsid w:val="002C0DBB"/>
    <w:rsid w:val="002C3BED"/>
    <w:rsid w:val="002C499A"/>
    <w:rsid w:val="002D53A5"/>
    <w:rsid w:val="002E1FF2"/>
    <w:rsid w:val="002E220D"/>
    <w:rsid w:val="002E430C"/>
    <w:rsid w:val="002E6BE5"/>
    <w:rsid w:val="002E6E99"/>
    <w:rsid w:val="002F3898"/>
    <w:rsid w:val="002F7C27"/>
    <w:rsid w:val="0030053E"/>
    <w:rsid w:val="0030263A"/>
    <w:rsid w:val="00303286"/>
    <w:rsid w:val="00303465"/>
    <w:rsid w:val="00303A5C"/>
    <w:rsid w:val="00305809"/>
    <w:rsid w:val="003130D7"/>
    <w:rsid w:val="003139A7"/>
    <w:rsid w:val="00317A10"/>
    <w:rsid w:val="00317C8E"/>
    <w:rsid w:val="00317D88"/>
    <w:rsid w:val="003237D9"/>
    <w:rsid w:val="00324E0F"/>
    <w:rsid w:val="00324F7E"/>
    <w:rsid w:val="0033022C"/>
    <w:rsid w:val="0033533E"/>
    <w:rsid w:val="00340B9B"/>
    <w:rsid w:val="00344096"/>
    <w:rsid w:val="00347E08"/>
    <w:rsid w:val="003505FF"/>
    <w:rsid w:val="00351EDA"/>
    <w:rsid w:val="00353628"/>
    <w:rsid w:val="003536EB"/>
    <w:rsid w:val="00361EA4"/>
    <w:rsid w:val="00363222"/>
    <w:rsid w:val="003709BE"/>
    <w:rsid w:val="00376A07"/>
    <w:rsid w:val="003824A6"/>
    <w:rsid w:val="0038709F"/>
    <w:rsid w:val="00395151"/>
    <w:rsid w:val="003B3DA2"/>
    <w:rsid w:val="003B59E8"/>
    <w:rsid w:val="003B6E82"/>
    <w:rsid w:val="003C039B"/>
    <w:rsid w:val="003D234A"/>
    <w:rsid w:val="003E019C"/>
    <w:rsid w:val="003E3E4D"/>
    <w:rsid w:val="003E4DE7"/>
    <w:rsid w:val="003E52A1"/>
    <w:rsid w:val="003E5632"/>
    <w:rsid w:val="003E7B8F"/>
    <w:rsid w:val="003F22AE"/>
    <w:rsid w:val="00400BA4"/>
    <w:rsid w:val="004012A8"/>
    <w:rsid w:val="00406266"/>
    <w:rsid w:val="00411C63"/>
    <w:rsid w:val="00420BA7"/>
    <w:rsid w:val="00421839"/>
    <w:rsid w:val="0042773C"/>
    <w:rsid w:val="00432F91"/>
    <w:rsid w:val="004434CE"/>
    <w:rsid w:val="00451E7E"/>
    <w:rsid w:val="00473A4B"/>
    <w:rsid w:val="00475091"/>
    <w:rsid w:val="004818C4"/>
    <w:rsid w:val="004824A4"/>
    <w:rsid w:val="00487755"/>
    <w:rsid w:val="00490E9E"/>
    <w:rsid w:val="00491207"/>
    <w:rsid w:val="00493B6A"/>
    <w:rsid w:val="0049675C"/>
    <w:rsid w:val="004B0B0A"/>
    <w:rsid w:val="004C6424"/>
    <w:rsid w:val="004D168B"/>
    <w:rsid w:val="004D4CDB"/>
    <w:rsid w:val="004E5BB5"/>
    <w:rsid w:val="004F1AB9"/>
    <w:rsid w:val="004F3F65"/>
    <w:rsid w:val="00507EA7"/>
    <w:rsid w:val="00514C71"/>
    <w:rsid w:val="005262E8"/>
    <w:rsid w:val="00530116"/>
    <w:rsid w:val="00530756"/>
    <w:rsid w:val="005325CD"/>
    <w:rsid w:val="00533420"/>
    <w:rsid w:val="0053359C"/>
    <w:rsid w:val="00536F33"/>
    <w:rsid w:val="00543F0D"/>
    <w:rsid w:val="00555E3C"/>
    <w:rsid w:val="00557459"/>
    <w:rsid w:val="00561D48"/>
    <w:rsid w:val="005629EB"/>
    <w:rsid w:val="00577A22"/>
    <w:rsid w:val="0058163C"/>
    <w:rsid w:val="00582DAB"/>
    <w:rsid w:val="00582E89"/>
    <w:rsid w:val="00596ABD"/>
    <w:rsid w:val="005A16F6"/>
    <w:rsid w:val="005A313C"/>
    <w:rsid w:val="005A4E26"/>
    <w:rsid w:val="005A635E"/>
    <w:rsid w:val="005B06A7"/>
    <w:rsid w:val="005B136F"/>
    <w:rsid w:val="005B6B22"/>
    <w:rsid w:val="005C099C"/>
    <w:rsid w:val="005C0CAB"/>
    <w:rsid w:val="005C652A"/>
    <w:rsid w:val="005D0A9D"/>
    <w:rsid w:val="005D42F9"/>
    <w:rsid w:val="005E1698"/>
    <w:rsid w:val="005E4A0A"/>
    <w:rsid w:val="005F3463"/>
    <w:rsid w:val="005F3639"/>
    <w:rsid w:val="00602976"/>
    <w:rsid w:val="006037F0"/>
    <w:rsid w:val="00603F8F"/>
    <w:rsid w:val="0060480D"/>
    <w:rsid w:val="006103F5"/>
    <w:rsid w:val="00610886"/>
    <w:rsid w:val="00617DFB"/>
    <w:rsid w:val="00625650"/>
    <w:rsid w:val="00626895"/>
    <w:rsid w:val="00631AC2"/>
    <w:rsid w:val="006321CD"/>
    <w:rsid w:val="0064149E"/>
    <w:rsid w:val="00643D55"/>
    <w:rsid w:val="006455F3"/>
    <w:rsid w:val="00645F0A"/>
    <w:rsid w:val="00646A8A"/>
    <w:rsid w:val="006601A8"/>
    <w:rsid w:val="0066179C"/>
    <w:rsid w:val="00661CA0"/>
    <w:rsid w:val="006638BB"/>
    <w:rsid w:val="00666534"/>
    <w:rsid w:val="00666A5E"/>
    <w:rsid w:val="00667AFD"/>
    <w:rsid w:val="00667EED"/>
    <w:rsid w:val="00673B00"/>
    <w:rsid w:val="0067722F"/>
    <w:rsid w:val="00682544"/>
    <w:rsid w:val="00692C47"/>
    <w:rsid w:val="006A03B4"/>
    <w:rsid w:val="006A228B"/>
    <w:rsid w:val="006A2F2F"/>
    <w:rsid w:val="006B62F2"/>
    <w:rsid w:val="006B7845"/>
    <w:rsid w:val="006D11CA"/>
    <w:rsid w:val="006D6CE5"/>
    <w:rsid w:val="006D71F6"/>
    <w:rsid w:val="006D76D3"/>
    <w:rsid w:val="006E30E4"/>
    <w:rsid w:val="006E5AA3"/>
    <w:rsid w:val="006E6624"/>
    <w:rsid w:val="006F4D18"/>
    <w:rsid w:val="006F512F"/>
    <w:rsid w:val="006F7C12"/>
    <w:rsid w:val="00700BB1"/>
    <w:rsid w:val="00704194"/>
    <w:rsid w:val="0070569C"/>
    <w:rsid w:val="00713A69"/>
    <w:rsid w:val="00716432"/>
    <w:rsid w:val="007178BB"/>
    <w:rsid w:val="00717DAE"/>
    <w:rsid w:val="0072002E"/>
    <w:rsid w:val="0072602A"/>
    <w:rsid w:val="00731020"/>
    <w:rsid w:val="00735D8E"/>
    <w:rsid w:val="00740580"/>
    <w:rsid w:val="007472E2"/>
    <w:rsid w:val="00747D9C"/>
    <w:rsid w:val="00750E8A"/>
    <w:rsid w:val="007634B5"/>
    <w:rsid w:val="00763674"/>
    <w:rsid w:val="007709ED"/>
    <w:rsid w:val="00776A86"/>
    <w:rsid w:val="007774DD"/>
    <w:rsid w:val="007822E5"/>
    <w:rsid w:val="00791152"/>
    <w:rsid w:val="007923FC"/>
    <w:rsid w:val="007958B5"/>
    <w:rsid w:val="007960DC"/>
    <w:rsid w:val="007962C4"/>
    <w:rsid w:val="00797009"/>
    <w:rsid w:val="007B5C4F"/>
    <w:rsid w:val="007B7604"/>
    <w:rsid w:val="007B7A8B"/>
    <w:rsid w:val="007C07DF"/>
    <w:rsid w:val="007C14B8"/>
    <w:rsid w:val="007D44B3"/>
    <w:rsid w:val="007E2672"/>
    <w:rsid w:val="007E46C7"/>
    <w:rsid w:val="007F1AF8"/>
    <w:rsid w:val="007F1C68"/>
    <w:rsid w:val="007F4A00"/>
    <w:rsid w:val="007F7821"/>
    <w:rsid w:val="00800D32"/>
    <w:rsid w:val="00805B28"/>
    <w:rsid w:val="00805DC2"/>
    <w:rsid w:val="00812423"/>
    <w:rsid w:val="008144E4"/>
    <w:rsid w:val="0081756A"/>
    <w:rsid w:val="008202DD"/>
    <w:rsid w:val="008259EF"/>
    <w:rsid w:val="00827942"/>
    <w:rsid w:val="0083497C"/>
    <w:rsid w:val="00837D55"/>
    <w:rsid w:val="008565A0"/>
    <w:rsid w:val="008620E3"/>
    <w:rsid w:val="00867230"/>
    <w:rsid w:val="00872121"/>
    <w:rsid w:val="00873872"/>
    <w:rsid w:val="0088002C"/>
    <w:rsid w:val="00885B9A"/>
    <w:rsid w:val="00887A39"/>
    <w:rsid w:val="00896D54"/>
    <w:rsid w:val="008A140B"/>
    <w:rsid w:val="008A1D4F"/>
    <w:rsid w:val="008A3B61"/>
    <w:rsid w:val="008B2D59"/>
    <w:rsid w:val="008C49A3"/>
    <w:rsid w:val="008E4D89"/>
    <w:rsid w:val="008F7418"/>
    <w:rsid w:val="00901B68"/>
    <w:rsid w:val="009106E9"/>
    <w:rsid w:val="00923B85"/>
    <w:rsid w:val="00926D4D"/>
    <w:rsid w:val="00930287"/>
    <w:rsid w:val="0093072B"/>
    <w:rsid w:val="00932004"/>
    <w:rsid w:val="009320C8"/>
    <w:rsid w:val="00935EDD"/>
    <w:rsid w:val="0094399B"/>
    <w:rsid w:val="00953ABC"/>
    <w:rsid w:val="009552E5"/>
    <w:rsid w:val="00960BA3"/>
    <w:rsid w:val="00965C7A"/>
    <w:rsid w:val="00971397"/>
    <w:rsid w:val="00975544"/>
    <w:rsid w:val="009757C8"/>
    <w:rsid w:val="00975B80"/>
    <w:rsid w:val="009772DC"/>
    <w:rsid w:val="00977859"/>
    <w:rsid w:val="00980553"/>
    <w:rsid w:val="00987B9A"/>
    <w:rsid w:val="009901DB"/>
    <w:rsid w:val="00993DB1"/>
    <w:rsid w:val="0099467F"/>
    <w:rsid w:val="00997EAA"/>
    <w:rsid w:val="009A123C"/>
    <w:rsid w:val="009A1647"/>
    <w:rsid w:val="009A55FA"/>
    <w:rsid w:val="009A7E6F"/>
    <w:rsid w:val="009B52DF"/>
    <w:rsid w:val="009B5D34"/>
    <w:rsid w:val="009D0472"/>
    <w:rsid w:val="009D07E6"/>
    <w:rsid w:val="009E50E3"/>
    <w:rsid w:val="009F0E1B"/>
    <w:rsid w:val="00A00D34"/>
    <w:rsid w:val="00A01953"/>
    <w:rsid w:val="00A02246"/>
    <w:rsid w:val="00A02332"/>
    <w:rsid w:val="00A03E86"/>
    <w:rsid w:val="00A06290"/>
    <w:rsid w:val="00A11670"/>
    <w:rsid w:val="00A11B67"/>
    <w:rsid w:val="00A12167"/>
    <w:rsid w:val="00A12FA5"/>
    <w:rsid w:val="00A1462C"/>
    <w:rsid w:val="00A24DAC"/>
    <w:rsid w:val="00A2727C"/>
    <w:rsid w:val="00A315B0"/>
    <w:rsid w:val="00A364EC"/>
    <w:rsid w:val="00A3780B"/>
    <w:rsid w:val="00A44346"/>
    <w:rsid w:val="00A44985"/>
    <w:rsid w:val="00A51C2F"/>
    <w:rsid w:val="00A527B0"/>
    <w:rsid w:val="00A567B6"/>
    <w:rsid w:val="00A57064"/>
    <w:rsid w:val="00A609EC"/>
    <w:rsid w:val="00A63F94"/>
    <w:rsid w:val="00A92FB2"/>
    <w:rsid w:val="00A9329C"/>
    <w:rsid w:val="00A96737"/>
    <w:rsid w:val="00AA0802"/>
    <w:rsid w:val="00AB0546"/>
    <w:rsid w:val="00AB1EDF"/>
    <w:rsid w:val="00AB502E"/>
    <w:rsid w:val="00AB6910"/>
    <w:rsid w:val="00AB77CC"/>
    <w:rsid w:val="00AE1E59"/>
    <w:rsid w:val="00AF29B5"/>
    <w:rsid w:val="00AF480A"/>
    <w:rsid w:val="00AF4B87"/>
    <w:rsid w:val="00B01573"/>
    <w:rsid w:val="00B0757B"/>
    <w:rsid w:val="00B12CF2"/>
    <w:rsid w:val="00B2101F"/>
    <w:rsid w:val="00B361A3"/>
    <w:rsid w:val="00B62B2F"/>
    <w:rsid w:val="00B63D14"/>
    <w:rsid w:val="00B74FF6"/>
    <w:rsid w:val="00B7624C"/>
    <w:rsid w:val="00B8010C"/>
    <w:rsid w:val="00B90676"/>
    <w:rsid w:val="00B9067D"/>
    <w:rsid w:val="00BA44D1"/>
    <w:rsid w:val="00BB5215"/>
    <w:rsid w:val="00BB5C4B"/>
    <w:rsid w:val="00BB7C22"/>
    <w:rsid w:val="00BC10A6"/>
    <w:rsid w:val="00BC48AF"/>
    <w:rsid w:val="00BC4B47"/>
    <w:rsid w:val="00BD279F"/>
    <w:rsid w:val="00BD3198"/>
    <w:rsid w:val="00BD59A7"/>
    <w:rsid w:val="00BD7690"/>
    <w:rsid w:val="00BD779F"/>
    <w:rsid w:val="00BE7AEF"/>
    <w:rsid w:val="00BF1A77"/>
    <w:rsid w:val="00C10B3A"/>
    <w:rsid w:val="00C134EE"/>
    <w:rsid w:val="00C13C5B"/>
    <w:rsid w:val="00C17593"/>
    <w:rsid w:val="00C2043A"/>
    <w:rsid w:val="00C209D1"/>
    <w:rsid w:val="00C225A3"/>
    <w:rsid w:val="00C24626"/>
    <w:rsid w:val="00C32A26"/>
    <w:rsid w:val="00C358DA"/>
    <w:rsid w:val="00C37510"/>
    <w:rsid w:val="00C408A2"/>
    <w:rsid w:val="00C43C05"/>
    <w:rsid w:val="00C5213A"/>
    <w:rsid w:val="00C54518"/>
    <w:rsid w:val="00C5540A"/>
    <w:rsid w:val="00C64B26"/>
    <w:rsid w:val="00C83877"/>
    <w:rsid w:val="00C855C4"/>
    <w:rsid w:val="00C87176"/>
    <w:rsid w:val="00C90622"/>
    <w:rsid w:val="00CA18FD"/>
    <w:rsid w:val="00CA19A0"/>
    <w:rsid w:val="00CA4298"/>
    <w:rsid w:val="00CB1C24"/>
    <w:rsid w:val="00CC0D05"/>
    <w:rsid w:val="00CC4A61"/>
    <w:rsid w:val="00CC600F"/>
    <w:rsid w:val="00CD1A04"/>
    <w:rsid w:val="00CE1B44"/>
    <w:rsid w:val="00CE645E"/>
    <w:rsid w:val="00CF0D09"/>
    <w:rsid w:val="00CF1AB7"/>
    <w:rsid w:val="00CF253A"/>
    <w:rsid w:val="00D00152"/>
    <w:rsid w:val="00D0095B"/>
    <w:rsid w:val="00D02F35"/>
    <w:rsid w:val="00D03257"/>
    <w:rsid w:val="00D07450"/>
    <w:rsid w:val="00D15FCD"/>
    <w:rsid w:val="00D20F50"/>
    <w:rsid w:val="00D21BCF"/>
    <w:rsid w:val="00D51141"/>
    <w:rsid w:val="00D56803"/>
    <w:rsid w:val="00D56867"/>
    <w:rsid w:val="00D62D78"/>
    <w:rsid w:val="00D647A9"/>
    <w:rsid w:val="00D716EE"/>
    <w:rsid w:val="00D72C3C"/>
    <w:rsid w:val="00D73192"/>
    <w:rsid w:val="00D81B5B"/>
    <w:rsid w:val="00D82BB8"/>
    <w:rsid w:val="00D82BE9"/>
    <w:rsid w:val="00D839D4"/>
    <w:rsid w:val="00D85B18"/>
    <w:rsid w:val="00D86292"/>
    <w:rsid w:val="00D86DFD"/>
    <w:rsid w:val="00D93DB7"/>
    <w:rsid w:val="00D95558"/>
    <w:rsid w:val="00D96FA0"/>
    <w:rsid w:val="00DA1FC5"/>
    <w:rsid w:val="00DA2846"/>
    <w:rsid w:val="00DC3374"/>
    <w:rsid w:val="00DC541E"/>
    <w:rsid w:val="00DD02FC"/>
    <w:rsid w:val="00DD7F50"/>
    <w:rsid w:val="00DE46C2"/>
    <w:rsid w:val="00DE77CF"/>
    <w:rsid w:val="00DE7BA7"/>
    <w:rsid w:val="00DF0D8E"/>
    <w:rsid w:val="00E136B7"/>
    <w:rsid w:val="00E13DD8"/>
    <w:rsid w:val="00E13FCF"/>
    <w:rsid w:val="00E2173F"/>
    <w:rsid w:val="00E220CC"/>
    <w:rsid w:val="00E23956"/>
    <w:rsid w:val="00E24276"/>
    <w:rsid w:val="00E26946"/>
    <w:rsid w:val="00E34869"/>
    <w:rsid w:val="00E36A73"/>
    <w:rsid w:val="00E42049"/>
    <w:rsid w:val="00E4304B"/>
    <w:rsid w:val="00E45099"/>
    <w:rsid w:val="00E515D0"/>
    <w:rsid w:val="00E52276"/>
    <w:rsid w:val="00E5506C"/>
    <w:rsid w:val="00E612A2"/>
    <w:rsid w:val="00E70235"/>
    <w:rsid w:val="00E706EB"/>
    <w:rsid w:val="00E72B33"/>
    <w:rsid w:val="00E76DF7"/>
    <w:rsid w:val="00E776C8"/>
    <w:rsid w:val="00E779B1"/>
    <w:rsid w:val="00E8485B"/>
    <w:rsid w:val="00EA25D5"/>
    <w:rsid w:val="00EA3B21"/>
    <w:rsid w:val="00EA6408"/>
    <w:rsid w:val="00EB2782"/>
    <w:rsid w:val="00EB4E30"/>
    <w:rsid w:val="00EB6CB8"/>
    <w:rsid w:val="00EC0447"/>
    <w:rsid w:val="00ED531A"/>
    <w:rsid w:val="00ED6F3E"/>
    <w:rsid w:val="00EE0B3D"/>
    <w:rsid w:val="00EE216B"/>
    <w:rsid w:val="00EE4934"/>
    <w:rsid w:val="00EF5B8D"/>
    <w:rsid w:val="00F01B19"/>
    <w:rsid w:val="00F0242B"/>
    <w:rsid w:val="00F07BB7"/>
    <w:rsid w:val="00F10853"/>
    <w:rsid w:val="00F1421A"/>
    <w:rsid w:val="00F1534B"/>
    <w:rsid w:val="00F3760F"/>
    <w:rsid w:val="00F3769F"/>
    <w:rsid w:val="00F377B8"/>
    <w:rsid w:val="00F44182"/>
    <w:rsid w:val="00F53B5C"/>
    <w:rsid w:val="00F63080"/>
    <w:rsid w:val="00F66437"/>
    <w:rsid w:val="00F673C1"/>
    <w:rsid w:val="00F75F8A"/>
    <w:rsid w:val="00F763AC"/>
    <w:rsid w:val="00F77DAC"/>
    <w:rsid w:val="00F80088"/>
    <w:rsid w:val="00F832FC"/>
    <w:rsid w:val="00F85E6B"/>
    <w:rsid w:val="00F86377"/>
    <w:rsid w:val="00F87E56"/>
    <w:rsid w:val="00FA2C2C"/>
    <w:rsid w:val="00FA706A"/>
    <w:rsid w:val="00FB02E1"/>
    <w:rsid w:val="00FB6E42"/>
    <w:rsid w:val="00FC1E4D"/>
    <w:rsid w:val="00FD10E0"/>
    <w:rsid w:val="00FD384F"/>
    <w:rsid w:val="00FD5762"/>
    <w:rsid w:val="00FD6115"/>
    <w:rsid w:val="00FF1D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39EA004D"/>
  <w15:chartTrackingRefBased/>
  <w15:docId w15:val="{44F3C3E8-D64F-478C-B8F5-C1AAE55B6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C24"/>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CB1C24"/>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CB1C24"/>
    <w:pPr>
      <w:outlineLvl w:val="1"/>
    </w:pPr>
    <w:rPr>
      <w:sz w:val="28"/>
    </w:rPr>
  </w:style>
  <w:style w:type="paragraph" w:styleId="Heading3">
    <w:name w:val="heading 3"/>
    <w:basedOn w:val="Normal"/>
    <w:next w:val="Normal"/>
    <w:link w:val="Heading3Char"/>
    <w:uiPriority w:val="9"/>
    <w:unhideWhenUsed/>
    <w:qFormat/>
    <w:rsid w:val="00CB1C24"/>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CB1C24"/>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CB1C2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CB1C24"/>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CB1C24"/>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CB1C2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CB1C2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CB1C24"/>
    <w:pPr>
      <w:tabs>
        <w:tab w:val="center" w:pos="4320"/>
        <w:tab w:val="right" w:pos="8640"/>
      </w:tabs>
    </w:pPr>
  </w:style>
  <w:style w:type="character" w:customStyle="1" w:styleId="HeaderChar">
    <w:name w:val="Header Char"/>
    <w:basedOn w:val="DefaultParagraphFont"/>
    <w:link w:val="Header"/>
    <w:uiPriority w:val="99"/>
    <w:rsid w:val="00CB1C24"/>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CB1C24"/>
    <w:pPr>
      <w:tabs>
        <w:tab w:val="center" w:pos="4320"/>
        <w:tab w:val="right" w:pos="8640"/>
      </w:tabs>
    </w:pPr>
  </w:style>
  <w:style w:type="character" w:customStyle="1" w:styleId="FooterChar">
    <w:name w:val="Footer Char"/>
    <w:basedOn w:val="DefaultParagraphFont"/>
    <w:link w:val="Footer"/>
    <w:uiPriority w:val="99"/>
    <w:rsid w:val="00CB1C24"/>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CB1C24"/>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CB1C24"/>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CB1C24"/>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CB1C24"/>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CB1C24"/>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CB1C24"/>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CB1C24"/>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CB1C24"/>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CB1C24"/>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CB1C24"/>
    <w:rPr>
      <w:noProof w:val="0"/>
    </w:rPr>
  </w:style>
  <w:style w:type="character" w:styleId="Hyperlink">
    <w:name w:val="Hyperlink"/>
    <w:basedOn w:val="DefaultParagraphFont"/>
    <w:uiPriority w:val="99"/>
    <w:unhideWhenUsed/>
    <w:rsid w:val="00CB1C24"/>
    <w:rPr>
      <w:noProof w:val="0"/>
      <w:color w:val="0563C1" w:themeColor="hyperlink"/>
      <w:u w:val="single"/>
    </w:rPr>
  </w:style>
  <w:style w:type="paragraph" w:styleId="ListParagraph">
    <w:name w:val="List Paragraph"/>
    <w:next w:val="Normal"/>
    <w:link w:val="ListParagraphChar"/>
    <w:uiPriority w:val="34"/>
    <w:locked/>
    <w:rsid w:val="00CB1C24"/>
    <w:pPr>
      <w:numPr>
        <w:numId w:val="46"/>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CB1C24"/>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CB1C24"/>
    <w:pPr>
      <w:spacing w:after="120"/>
    </w:pPr>
    <w:rPr>
      <w:b/>
      <w:bCs/>
      <w:color w:val="FFFFFF"/>
      <w:sz w:val="32"/>
      <w:szCs w:val="32"/>
    </w:rPr>
  </w:style>
  <w:style w:type="paragraph" w:customStyle="1" w:styleId="Headline">
    <w:name w:val="Headline"/>
    <w:basedOn w:val="Normal"/>
    <w:next w:val="Normal"/>
    <w:link w:val="HeadlineChar"/>
    <w:qFormat/>
    <w:rsid w:val="00CB1C24"/>
    <w:rPr>
      <w:rFonts w:ascii="Segoe UI Semilight" w:hAnsi="Segoe UI Semilight" w:cs="Segoe UI Semilight"/>
      <w:b/>
      <w:bCs/>
      <w:color w:val="FFFFFF"/>
      <w:sz w:val="40"/>
      <w:szCs w:val="40"/>
    </w:rPr>
  </w:style>
  <w:style w:type="paragraph" w:customStyle="1" w:styleId="ExhibitTitle">
    <w:name w:val="Exhibit Title"/>
    <w:basedOn w:val="Normal"/>
    <w:qFormat/>
    <w:rsid w:val="00CB1C24"/>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CB1C24"/>
    <w:pPr>
      <w:shd w:val="clear" w:color="auto" w:fill="D6E2FA"/>
      <w:spacing w:after="0"/>
    </w:pPr>
    <w:rPr>
      <w:color w:val="595959" w:themeColor="text1" w:themeTint="A6"/>
      <w:sz w:val="18"/>
    </w:rPr>
  </w:style>
  <w:style w:type="paragraph" w:customStyle="1" w:styleId="ExhibitSource">
    <w:name w:val="Exhibit Source"/>
    <w:next w:val="Normal"/>
    <w:qFormat/>
    <w:rsid w:val="00CB1C24"/>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CB1C24"/>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CB1C24"/>
    <w:pPr>
      <w:numPr>
        <w:numId w:val="44"/>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CB1C24"/>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CB1C24"/>
    <w:pPr>
      <w:ind w:left="862" w:right="862"/>
      <w:jc w:val="center"/>
    </w:pPr>
    <w:rPr>
      <w:i/>
      <w:iCs/>
      <w:color w:val="404040" w:themeColor="text1" w:themeTint="BF"/>
    </w:rPr>
  </w:style>
  <w:style w:type="character" w:customStyle="1" w:styleId="QuoteChar">
    <w:name w:val="Quote Char"/>
    <w:basedOn w:val="DefaultParagraphFont"/>
    <w:link w:val="Quote"/>
    <w:uiPriority w:val="29"/>
    <w:rsid w:val="00CB1C24"/>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CB1C24"/>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CB1C24"/>
    <w:rPr>
      <w:rFonts w:ascii="Segoe UI" w:hAnsi="Segoe UI" w:cs="Segoe UI"/>
      <w:noProof w:val="0"/>
      <w:color w:val="000000" w:themeColor="text1"/>
    </w:rPr>
  </w:style>
  <w:style w:type="paragraph" w:customStyle="1" w:styleId="Summary">
    <w:name w:val="Summary"/>
    <w:basedOn w:val="Normal"/>
    <w:link w:val="SummaryChar"/>
    <w:qFormat/>
    <w:rsid w:val="00CB1C24"/>
    <w:pPr>
      <w:numPr>
        <w:numId w:val="34"/>
      </w:numPr>
      <w:ind w:left="1797" w:hanging="357"/>
    </w:pPr>
    <w:rPr>
      <w:kern w:val="2"/>
      <w:sz w:val="22"/>
      <w14:ligatures w14:val="standardContextual"/>
    </w:rPr>
  </w:style>
  <w:style w:type="paragraph" w:customStyle="1" w:styleId="TableData">
    <w:name w:val="Table Data"/>
    <w:link w:val="TableDataChar"/>
    <w:qFormat/>
    <w:rsid w:val="00CB1C24"/>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CB1C24"/>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CB1C24"/>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CB1C24"/>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CB1C24"/>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CB1C24"/>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CB1C24"/>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CB1C24"/>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CB1C24"/>
    <w:pPr>
      <w:numPr>
        <w:numId w:val="50"/>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CB1C24"/>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CB1C24"/>
    <w:rPr>
      <w:color w:val="003469"/>
    </w:rPr>
  </w:style>
  <w:style w:type="character" w:customStyle="1" w:styleId="RepeatingFooterChar">
    <w:name w:val="Repeating Footer Char"/>
    <w:basedOn w:val="FooterChar"/>
    <w:link w:val="RepeatingFooter"/>
    <w:rsid w:val="00CB1C24"/>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CB1C24"/>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CB1C24"/>
    <w:rPr>
      <w:b/>
      <w:bCs/>
      <w:noProof w:val="0"/>
    </w:rPr>
  </w:style>
  <w:style w:type="character" w:customStyle="1" w:styleId="Italics">
    <w:name w:val="Italics"/>
    <w:uiPriority w:val="1"/>
    <w:qFormat/>
    <w:rsid w:val="00CB1C24"/>
    <w:rPr>
      <w:i/>
      <w:iCs/>
      <w:noProof w:val="0"/>
    </w:rPr>
  </w:style>
  <w:style w:type="table" w:customStyle="1" w:styleId="TableGridHeader">
    <w:name w:val="Table Grid Header"/>
    <w:basedOn w:val="TableNormal"/>
    <w:uiPriority w:val="99"/>
    <w:rsid w:val="00CB1C24"/>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https://my.oxfordeconomics.com/reportaction/c8a84b7ce3744f81a6eA13/Toc" TargetMode="External"/><Relationship Id="rId26" Type="http://schemas.openxmlformats.org/officeDocument/2006/relationships/hyperlink" Target="https://my.oxfordeconomics.com/reportaction/C978665849254728a21C07/Toc" TargetMode="External"/><Relationship Id="rId3" Type="http://schemas.openxmlformats.org/officeDocument/2006/relationships/customXml" Target="../customXml/item3.xml"/><Relationship Id="rId21" Type="http://schemas.openxmlformats.org/officeDocument/2006/relationships/hyperlink" Target="https://commonslibrary.parliament.uk/research-briefings/cbp-9872/" TargetMode="External"/><Relationship Id="rId7" Type="http://schemas.openxmlformats.org/officeDocument/2006/relationships/webSettings" Target="webSettings.xml"/><Relationship Id="rId12" Type="http://schemas.openxmlformats.org/officeDocument/2006/relationships/image" Target="media/image2.svg"/><Relationship Id="rId17" Type="http://schemas.openxmlformats.org/officeDocument/2006/relationships/footer" Target="footer2.xml"/><Relationship Id="rId25" Type="http://schemas.openxmlformats.org/officeDocument/2006/relationships/hyperlink" Target="https://my.oxfordeconomics.com/reports/7253D6141a6D4c179C435c"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www.gov.uk/government/publications/minimum-wage-rates-for-2024/low-pay-commission-summary-of-evidence-2023"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6.svg"/><Relationship Id="rId5"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8.svg"/><Relationship Id="rId10" Type="http://schemas.openxmlformats.org/officeDocument/2006/relationships/hyperlink" Target="https://my.oxfordeconomics.com/reportaction/a19A07E6dd7D4151932E2a/Toc" TargetMode="External"/><Relationship Id="rId19" Type="http://schemas.openxmlformats.org/officeDocument/2006/relationships/hyperlink" Target="https://my.oxfordeconomics.com/reports/15b19350842741C1923B4f"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hyperlink" Target="https://commonslibrary.parliament.uk/the-triple-lock-how-will-state-pensions-be-uprated-in-future/" TargetMode="External"/><Relationship Id="rId27" Type="http://schemas.openxmlformats.org/officeDocument/2006/relationships/image" Target="media/image7.png"/><Relationship Id="rId30"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096E2CA3-ED3A-409D-A8D2-B0E5F642F0D5}"/>
      </w:docPartPr>
      <w:docPartBody>
        <w:p w:rsidR="00876461" w:rsidRDefault="00876461">
          <w:r w:rsidRPr="00317331">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461"/>
    <w:rsid w:val="008764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C68EAAEC-FD08-45CF-9BDE-BA14781766AB}">
  <ds:schemaRefs>
    <ds:schemaRef ds:uri="http://schemas.microsoft.com/sharepoint/v3/contenttype/forms"/>
  </ds:schemaRefs>
</ds:datastoreItem>
</file>

<file path=customXml/itemProps2.xml><?xml version="1.0" encoding="utf-8"?>
<ds:datastoreItem xmlns:ds="http://schemas.openxmlformats.org/officeDocument/2006/customXml" ds:itemID="{05CDE5A5-6C13-46D9-BC8F-AEB3472E5E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BABA2D-4875-45F5-A6E1-92A7683150B7}">
  <ds:schemaRefs>
    <ds:schemaRef ds:uri="http://purl.org/dc/elements/1.1/"/>
    <ds:schemaRef ds:uri="http://schemas.microsoft.com/office/2006/documentManagement/types"/>
    <ds:schemaRef ds:uri="6ec33f61-c765-4e3b-9958-53c32fd1fd0b"/>
    <ds:schemaRef ds:uri="http://www.w3.org/XML/1998/namespace"/>
    <ds:schemaRef ds:uri="http://purl.org/dc/terms/"/>
    <ds:schemaRef ds:uri="http://schemas.microsoft.com/office/2006/metadata/properties"/>
    <ds:schemaRef ds:uri="http://schemas.openxmlformats.org/package/2006/metadata/core-properties"/>
    <ds:schemaRef ds:uri="http://schemas.microsoft.com/office/infopath/2007/PartnerControls"/>
    <ds:schemaRef ds:uri="6c77b332-7df6-4eff-997f-266963d55fc4"/>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1547</Words>
  <Characters>7737</Characters>
  <Application>Microsoft Office Word</Application>
  <DocSecurity>0</DocSecurity>
  <Lines>104</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Allenby</dc:creator>
  <cp:keywords/>
  <dc:description/>
  <cp:lastModifiedBy>Edward Allenby</cp:lastModifiedBy>
  <cp:revision>19</cp:revision>
  <dcterms:created xsi:type="dcterms:W3CDTF">2024-02-26T11:56:00Z</dcterms:created>
  <dcterms:modified xsi:type="dcterms:W3CDTF">2024-02-26T12:11:00Z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2024-02-26T12:08:37.000Z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v0.8.0.4</vt:lpwstr>
  </property>
  <property fmtid="{D5CDD505-2E9C-101B-9397-08002B2CF9AE}" pid="10" name="OEP_ANALYST_FULLNAME">
    <vt:lpwstr>Edward Allenby</vt:lpwstr>
  </property>
  <property fmtid="{D5CDD505-2E9C-101B-9397-08002B2CF9AE}" pid="11" name="OEP_ANALYST_JOBTITLE">
    <vt:lpwstr>UK Economist</vt:lpwstr>
  </property>
  <property fmtid="{D5CDD505-2E9C-101B-9397-08002B2CF9AE}" pid="12" name="OEP_ANALYST_EMAIL">
    <vt:lpwstr>eallenby@oxfordeconomics.com</vt:lpwstr>
  </property>
  <property fmtid="{D5CDD505-2E9C-101B-9397-08002B2CF9AE}" pid="13" name="OEP_AUTHORS">
    <vt:lpwstr>Edward Allenby|UK Economist|eallenby@oxfordeconomics.com_x000d_</vt:lpwstr>
  </property>
  <property fmtid="{D5CDD505-2E9C-101B-9397-08002B2CF9AE}" pid="14" name="OEP_CATEGORIES">
    <vt:lpwstr>AnalysisbyRegion-Europe-UnitedKingdom,Macro-ResearchBriefings-UnitedKingdom</vt:lpwstr>
  </property>
  <property fmtid="{D5CDD505-2E9C-101B-9397-08002B2CF9AE}" pid="15" name="OEP_TAGS">
    <vt:lpwstr>Key Themes:consumption,forecast,savings</vt:lpwstr>
  </property>
  <property fmtid="{D5CDD505-2E9C-101B-9397-08002B2CF9AE}" pid="16" name="ContentTypeId">
    <vt:lpwstr>0x01010009401BB7205AF745BAD4FA98BDE0B98F</vt:lpwstr>
  </property>
  <property fmtid="{D5CDD505-2E9C-101B-9397-08002B2CF9AE}" pid="17" name="OEP_DATA_FILEPATH">
    <vt:lpwstr>C:\Users\Edward Allenby\OneDrive - Oxford Economics\Documents\2024-02\Consumption RB\20240226 UK RB Real incomes.xlsx</vt:lpwstr>
  </property>
  <property fmtid="{D5CDD505-2E9C-101B-9397-08002B2CF9AE}" pid="18" name="OEP_PRODUCT_CODE">
    <vt:lpwstr>d9d9f9605EBB4942a99bB4</vt:lpwstr>
  </property>
  <property fmtid="{D5CDD505-2E9C-101B-9397-08002B2CF9AE}" pid="19" name="OEP_PUBLISH_DATE">
    <vt:lpwstr/>
  </property>
</Properties>
</file>