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818E0" w14:textId="661C2020" w:rsidR="00256282" w:rsidRPr="00256282" w:rsidRDefault="00826BF3" w:rsidP="00FE2755">
      <w:pPr>
        <w:pStyle w:val="Bullet"/>
      </w:pPr>
      <w:r>
        <w:t xml:space="preserve">UK </w:t>
      </w:r>
      <w:r w:rsidR="00795FBF">
        <w:t xml:space="preserve">CPI </w:t>
      </w:r>
      <w:r>
        <w:t xml:space="preserve">inflation </w:t>
      </w:r>
      <w:r w:rsidR="00CE097A">
        <w:t xml:space="preserve">remains on track to </w:t>
      </w:r>
      <w:r w:rsidR="00351CA2">
        <w:t>return to the Bank of England's 2% target in April. Further sharp falls in</w:t>
      </w:r>
      <w:r w:rsidR="00F61420">
        <w:t xml:space="preserve"> </w:t>
      </w:r>
      <w:r w:rsidR="00105B07">
        <w:t>wholesale gas prices</w:t>
      </w:r>
      <w:r w:rsidR="00132959">
        <w:t xml:space="preserve"> should push the energy price cap down in July</w:t>
      </w:r>
      <w:r w:rsidR="00CC19D5">
        <w:t xml:space="preserve"> </w:t>
      </w:r>
      <w:r w:rsidR="00132959">
        <w:t>and</w:t>
      </w:r>
      <w:r w:rsidR="00442920">
        <w:t xml:space="preserve"> </w:t>
      </w:r>
      <w:r w:rsidR="00CC19D5">
        <w:t xml:space="preserve">keep </w:t>
      </w:r>
      <w:r w:rsidR="00111D78">
        <w:t xml:space="preserve">inflation </w:t>
      </w:r>
      <w:r w:rsidR="0063301E">
        <w:t xml:space="preserve">below </w:t>
      </w:r>
      <w:r w:rsidR="00BA2E0C">
        <w:t>2%</w:t>
      </w:r>
      <w:r w:rsidR="00E96CAF">
        <w:t xml:space="preserve"> </w:t>
      </w:r>
      <w:r w:rsidR="00CC19D5">
        <w:t>throughout H2 2024</w:t>
      </w:r>
      <w:r w:rsidR="00E96CAF">
        <w:t>.</w:t>
      </w:r>
    </w:p>
    <w:p w14:paraId="04A1BBCB" w14:textId="6260EDDF" w:rsidR="002F6DC6" w:rsidRDefault="00BA2E0C" w:rsidP="008F50C5">
      <w:pPr>
        <w:pStyle w:val="Bullet"/>
      </w:pPr>
      <w:r>
        <w:t xml:space="preserve">Still, </w:t>
      </w:r>
      <w:r w:rsidR="009C5F82">
        <w:t xml:space="preserve">the stickiness of pay growth </w:t>
      </w:r>
      <w:r w:rsidR="00B96734">
        <w:t>will</w:t>
      </w:r>
      <w:r w:rsidR="00D234E1">
        <w:t xml:space="preserve"> </w:t>
      </w:r>
      <w:r w:rsidR="00AE7F83">
        <w:t xml:space="preserve">keep services inflation elevated. </w:t>
      </w:r>
      <w:r w:rsidR="00B31F29">
        <w:t>A</w:t>
      </w:r>
      <w:r w:rsidR="0082768A">
        <w:t xml:space="preserve">s the downward pressure from falling energy prices </w:t>
      </w:r>
      <w:r w:rsidR="003C5756">
        <w:t xml:space="preserve">and other non-core categories </w:t>
      </w:r>
      <w:r w:rsidR="0082768A">
        <w:t xml:space="preserve">gradually fades, we </w:t>
      </w:r>
      <w:r w:rsidR="00D3274F">
        <w:t>forecast</w:t>
      </w:r>
      <w:r w:rsidR="003C5756">
        <w:t xml:space="preserve"> </w:t>
      </w:r>
      <w:r w:rsidR="00FD555E">
        <w:t xml:space="preserve">headline inflation </w:t>
      </w:r>
      <w:r w:rsidR="003C5756">
        <w:t xml:space="preserve">to rebound </w:t>
      </w:r>
      <w:r w:rsidR="00FD555E">
        <w:t xml:space="preserve">slightly above target </w:t>
      </w:r>
      <w:r w:rsidR="003C5756">
        <w:t>next year</w:t>
      </w:r>
      <w:r w:rsidR="00FD555E">
        <w:t>.</w:t>
      </w:r>
    </w:p>
    <w:p w14:paraId="25798606" w14:textId="6BB43341" w:rsidR="008F50C5" w:rsidRPr="008F50C5" w:rsidRDefault="0056571C" w:rsidP="00E1385A">
      <w:pPr>
        <w:pStyle w:val="Bullet"/>
      </w:pPr>
      <w:r>
        <w:t>We expect the</w:t>
      </w:r>
      <w:r w:rsidR="00250F16">
        <w:t xml:space="preserve"> </w:t>
      </w:r>
      <w:bookmarkStart w:id="0" w:name="_Hlk163820884"/>
      <w:r w:rsidR="00BF3942">
        <w:t xml:space="preserve">Monetary Policy Committee </w:t>
      </w:r>
      <w:bookmarkEnd w:id="0"/>
      <w:r>
        <w:t xml:space="preserve">will conclude </w:t>
      </w:r>
      <w:r w:rsidR="00B710A8">
        <w:t xml:space="preserve">that core inflation and pay growth </w:t>
      </w:r>
      <w:r>
        <w:t xml:space="preserve">have cooled sufficiently to </w:t>
      </w:r>
      <w:r w:rsidR="005C5C2C">
        <w:t xml:space="preserve">start </w:t>
      </w:r>
      <w:r>
        <w:t>cut</w:t>
      </w:r>
      <w:r w:rsidR="005C5C2C">
        <w:t>ting</w:t>
      </w:r>
      <w:r>
        <w:t xml:space="preserve"> Bank Rate in June</w:t>
      </w:r>
      <w:r w:rsidR="008E2A88">
        <w:t xml:space="preserve">. </w:t>
      </w:r>
      <w:r w:rsidR="002E2D58">
        <w:t>But</w:t>
      </w:r>
      <w:r w:rsidR="008E2A88">
        <w:t xml:space="preserve"> </w:t>
      </w:r>
      <w:r w:rsidR="00722EF6">
        <w:t xml:space="preserve">the </w:t>
      </w:r>
      <w:r w:rsidR="006B08C8">
        <w:t xml:space="preserve">likelihood that core pressures remain firm </w:t>
      </w:r>
      <w:r w:rsidR="009046D4">
        <w:t xml:space="preserve">is consistent with our view that </w:t>
      </w:r>
      <w:r w:rsidR="004E194B">
        <w:t xml:space="preserve">the MPC is likely to adopt a relatively cautious </w:t>
      </w:r>
      <w:r w:rsidR="00D956BA">
        <w:t>approach</w:t>
      </w:r>
      <w:r w:rsidR="001A2071">
        <w:t xml:space="preserve"> to </w:t>
      </w:r>
      <w:r w:rsidR="00801827">
        <w:t>the pace of rate cuts</w:t>
      </w:r>
      <w:r w:rsidR="00E01B11">
        <w:t>.</w:t>
      </w:r>
    </w:p>
    <w:p w14:paraId="29BA4BD6" w14:textId="3E87BABB" w:rsidR="006E3D78" w:rsidRDefault="00781738" w:rsidP="00714DA3">
      <w:hyperlink r:id="rId7" w:history="1">
        <w:r w:rsidR="003B2E3A" w:rsidRPr="00297C99">
          <w:rPr>
            <w:rStyle w:val="Hyperlink"/>
          </w:rPr>
          <w:t xml:space="preserve">The UK </w:t>
        </w:r>
        <w:r w:rsidR="006C21E4" w:rsidRPr="00297C99">
          <w:rPr>
            <w:rStyle w:val="Hyperlink"/>
          </w:rPr>
          <w:t>inflation outlook was transformed</w:t>
        </w:r>
      </w:hyperlink>
      <w:r w:rsidR="006C21E4">
        <w:t xml:space="preserve"> by </w:t>
      </w:r>
      <w:r w:rsidR="00500568">
        <w:t xml:space="preserve">steep falls in oil and wholesale gas prices at the end of 2023, </w:t>
      </w:r>
      <w:r w:rsidR="0046068F">
        <w:t xml:space="preserve">which led </w:t>
      </w:r>
      <w:r w:rsidR="00500568">
        <w:t>us to forecast</w:t>
      </w:r>
      <w:r w:rsidR="006E69D2">
        <w:t xml:space="preserve"> that CPI inflation would </w:t>
      </w:r>
      <w:r w:rsidR="00BE15FE">
        <w:t xml:space="preserve">return to the Bank of England's 2% target </w:t>
      </w:r>
      <w:r w:rsidR="002C2C36">
        <w:t>in April</w:t>
      </w:r>
      <w:r w:rsidR="0062142C">
        <w:t xml:space="preserve">. </w:t>
      </w:r>
      <w:r w:rsidR="0092019D">
        <w:t xml:space="preserve">Recent </w:t>
      </w:r>
      <w:r w:rsidR="00AB62D9">
        <w:t>data</w:t>
      </w:r>
      <w:r w:rsidR="0092019D">
        <w:t xml:space="preserve"> have </w:t>
      </w:r>
      <w:r w:rsidR="00B928F3">
        <w:t>support</w:t>
      </w:r>
      <w:r w:rsidR="00EC724E">
        <w:t>ed</w:t>
      </w:r>
      <w:r w:rsidR="00B928F3">
        <w:t xml:space="preserve"> </w:t>
      </w:r>
      <w:r w:rsidR="0092019D">
        <w:t>this view</w:t>
      </w:r>
      <w:r w:rsidR="00EC724E">
        <w:t>.</w:t>
      </w:r>
      <w:r w:rsidR="00B928F3">
        <w:t xml:space="preserve"> </w:t>
      </w:r>
      <w:r w:rsidR="00AB62D9">
        <w:t xml:space="preserve">Indeed, </w:t>
      </w:r>
      <w:r w:rsidR="00507B55">
        <w:t>there</w:t>
      </w:r>
      <w:r w:rsidR="00B31F29">
        <w:t xml:space="preserve"> i</w:t>
      </w:r>
      <w:r w:rsidR="00507B55">
        <w:t xml:space="preserve">s now a good chance that </w:t>
      </w:r>
      <w:r w:rsidR="00036DA2">
        <w:t xml:space="preserve">inflation </w:t>
      </w:r>
      <w:r w:rsidR="00507B55">
        <w:t xml:space="preserve">will continue to fall and </w:t>
      </w:r>
      <w:r w:rsidR="009604E1">
        <w:t xml:space="preserve">spend a period </w:t>
      </w:r>
      <w:r w:rsidR="00036DA2">
        <w:t>below target</w:t>
      </w:r>
      <w:r w:rsidR="006E3D78">
        <w:t xml:space="preserve">. </w:t>
      </w:r>
    </w:p>
    <w:p w14:paraId="2C5139EE" w14:textId="3C4C64EC" w:rsidR="006E3D78" w:rsidRDefault="00181F46" w:rsidP="00EC0C19">
      <w:r>
        <w:t>F</w:t>
      </w:r>
      <w:r w:rsidR="004B5B73">
        <w:t>urther declines</w:t>
      </w:r>
      <w:r w:rsidR="00725951">
        <w:t xml:space="preserve"> in</w:t>
      </w:r>
      <w:r w:rsidR="004B5B73">
        <w:t xml:space="preserve"> </w:t>
      </w:r>
      <w:r>
        <w:t xml:space="preserve">wholesale gas prices mean </w:t>
      </w:r>
      <w:r w:rsidR="003E4046">
        <w:t>the energy component should continue to drag heavily on</w:t>
      </w:r>
      <w:r w:rsidR="000A2326">
        <w:t xml:space="preserve"> </w:t>
      </w:r>
      <w:r w:rsidR="001046EB">
        <w:t xml:space="preserve">headline inflation </w:t>
      </w:r>
      <w:r w:rsidR="000A2326">
        <w:t xml:space="preserve">throughout </w:t>
      </w:r>
      <w:r w:rsidR="001046EB">
        <w:t xml:space="preserve">2024. Meanwhile, </w:t>
      </w:r>
      <w:r w:rsidR="0062103F">
        <w:t>the</w:t>
      </w:r>
      <w:r w:rsidR="001A7DD4">
        <w:t xml:space="preserve"> </w:t>
      </w:r>
      <w:r w:rsidR="000550C4">
        <w:t xml:space="preserve">food and core categories </w:t>
      </w:r>
      <w:r w:rsidR="00E3353C">
        <w:t>will</w:t>
      </w:r>
      <w:r w:rsidR="00FB0C43">
        <w:t xml:space="preserve"> benefit from </w:t>
      </w:r>
      <w:r w:rsidR="001E1287">
        <w:t>strong</w:t>
      </w:r>
      <w:r w:rsidR="008264FE">
        <w:t xml:space="preserve"> base effects </w:t>
      </w:r>
      <w:r w:rsidR="003A71E9">
        <w:t xml:space="preserve">and </w:t>
      </w:r>
      <w:r w:rsidR="005F1EFA">
        <w:t xml:space="preserve">the </w:t>
      </w:r>
      <w:r w:rsidR="008264FE">
        <w:t>indirect effects of lower energy</w:t>
      </w:r>
      <w:r w:rsidR="005F25DA">
        <w:t xml:space="preserve"> costs.</w:t>
      </w:r>
      <w:r w:rsidR="00357820">
        <w:t xml:space="preserve"> Therefore, our </w:t>
      </w:r>
      <w:r w:rsidR="009604E1">
        <w:t xml:space="preserve">latest </w:t>
      </w:r>
      <w:r w:rsidR="00BD6379">
        <w:t>forecast</w:t>
      </w:r>
      <w:r w:rsidR="00272FB2">
        <w:t xml:space="preserve"> </w:t>
      </w:r>
      <w:r w:rsidR="00DF3AA9">
        <w:t>shows</w:t>
      </w:r>
      <w:r w:rsidR="00272FB2">
        <w:t xml:space="preserve"> inflation dropping well below 2% </w:t>
      </w:r>
      <w:r w:rsidR="009928A8">
        <w:t xml:space="preserve">in </w:t>
      </w:r>
      <w:r w:rsidR="00F143CD">
        <w:t>H2 2024</w:t>
      </w:r>
      <w:r w:rsidR="00286D82">
        <w:t>.</w:t>
      </w:r>
      <w:r w:rsidR="000A2338">
        <w:t xml:space="preserve"> </w:t>
      </w:r>
    </w:p>
    <w:p w14:paraId="08AF8C9E" w14:textId="319FD5A9" w:rsidR="00401E9A" w:rsidRDefault="00B31F29" w:rsidP="00401E9A">
      <w:r>
        <w:t xml:space="preserve">However, the </w:t>
      </w:r>
      <w:r w:rsidR="00281600">
        <w:t xml:space="preserve">downward pressure from falling energy prices will likely </w:t>
      </w:r>
      <w:r w:rsidR="00D45EE7">
        <w:t xml:space="preserve">prove </w:t>
      </w:r>
      <w:r w:rsidR="00281600">
        <w:t xml:space="preserve">temporary. </w:t>
      </w:r>
      <w:r w:rsidR="00A27376">
        <w:t>We expect t</w:t>
      </w:r>
      <w:r w:rsidR="00281600">
        <w:t xml:space="preserve">his impact </w:t>
      </w:r>
      <w:r w:rsidR="00A27376">
        <w:t xml:space="preserve">will </w:t>
      </w:r>
      <w:r w:rsidR="00281600">
        <w:t>fade</w:t>
      </w:r>
      <w:r w:rsidR="00A27376">
        <w:t xml:space="preserve"> next year and</w:t>
      </w:r>
      <w:r w:rsidR="00281600">
        <w:t xml:space="preserve">, </w:t>
      </w:r>
      <w:r w:rsidR="00C43D5E">
        <w:t>with services inflation likely to remain elevated</w:t>
      </w:r>
      <w:r w:rsidR="00EA21D0">
        <w:t xml:space="preserve">, inflation </w:t>
      </w:r>
      <w:r w:rsidR="00A27376">
        <w:t xml:space="preserve">is forecast to </w:t>
      </w:r>
      <w:r w:rsidR="00E455F7">
        <w:t>rise slightly</w:t>
      </w:r>
      <w:r w:rsidR="00A27376">
        <w:t xml:space="preserve"> </w:t>
      </w:r>
      <w:r w:rsidR="00E86D8F">
        <w:t>above the BoE's 2% target in 2025</w:t>
      </w:r>
      <w:r w:rsidR="002E3EFE">
        <w:t xml:space="preserve"> (</w:t>
      </w:r>
      <w:r w:rsidR="00BD7159" w:rsidRPr="006720B7">
        <w:rPr>
          <w:b/>
          <w:color w:val="003469"/>
        </w:rPr>
        <w:fldChar w:fldCharType="begin"/>
      </w:r>
      <w:r w:rsidR="006720B7" w:rsidRPr="006720B7">
        <w:rPr>
          <w:b/>
          <w:color w:val="003469"/>
        </w:rPr>
        <w:instrText xml:space="preserve">REF _Ref163826984 \h \* Charformat </w:instrText>
      </w:r>
      <w:r w:rsidR="006720B7" w:rsidRPr="006720B7">
        <w:rPr>
          <w:b/>
          <w:color w:val="003469"/>
        </w:rPr>
      </w:r>
      <w:r w:rsidR="00BD7159" w:rsidRPr="006720B7">
        <w:rPr>
          <w:b/>
          <w:color w:val="003469"/>
        </w:rPr>
        <w:fldChar w:fldCharType="separate"/>
      </w:r>
      <w:r w:rsidR="006720B7" w:rsidRPr="006720B7">
        <w:rPr>
          <w:b/>
          <w:color w:val="003469"/>
        </w:rPr>
        <w:t>Chart 1</w:t>
      </w:r>
      <w:r w:rsidR="00BD7159" w:rsidRPr="006720B7">
        <w:rPr>
          <w:b/>
          <w:color w:val="003469"/>
        </w:rPr>
        <w:fldChar w:fldCharType="end"/>
      </w:r>
      <w:r w:rsidR="002E3EFE">
        <w:t>)</w:t>
      </w:r>
      <w:r w:rsidR="00E86D8F">
        <w:t xml:space="preserve">. </w:t>
      </w:r>
    </w:p>
    <w:p w14:paraId="1263C54D" w14:textId="071BA377" w:rsidR="00714DA3" w:rsidRDefault="00714DA3" w:rsidP="00401E9A">
      <w:pPr>
        <w:pStyle w:val="ExhibitTitle"/>
        <w:jc w:val="center"/>
      </w:pPr>
      <w:bookmarkStart w:id="1" w:name="_Ref163826984"/>
      <w:r>
        <w:t xml:space="preserve">Chart </w:t>
      </w:r>
      <w:r>
        <w:fldChar w:fldCharType="begin"/>
      </w:r>
      <w:r w:rsidR="00401E9A">
        <w:instrText>SEQ CHART</w:instrText>
      </w:r>
      <w:r>
        <w:fldChar w:fldCharType="separate"/>
      </w:r>
      <w:r w:rsidR="00401E9A">
        <w:rPr>
          <w:noProof/>
        </w:rPr>
        <w:t>1</w:t>
      </w:r>
      <w:r>
        <w:fldChar w:fldCharType="end"/>
      </w:r>
      <w:bookmarkEnd w:id="1"/>
      <w:r>
        <w:t xml:space="preserve">: </w:t>
      </w:r>
      <w:r w:rsidR="0018659A">
        <w:t xml:space="preserve">CPI inflation is forecast </w:t>
      </w:r>
      <w:r w:rsidR="00020A96">
        <w:t>to fall below the BoE's 2% target for much of 2024</w:t>
      </w:r>
    </w:p>
    <w:p w14:paraId="13CE29F6" w14:textId="32AE4EBE" w:rsidR="00401E9A" w:rsidRDefault="00401E9A" w:rsidP="00401E9A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40F9262" wp14:editId="2638B407">
            <wp:extent cx="4006964" cy="3145495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F70A" w14:textId="011AFC5D" w:rsidR="00714DA3" w:rsidRDefault="00401E9A" w:rsidP="00401E9A">
      <w:pPr>
        <w:pStyle w:val="ExhibitSource"/>
        <w:jc w:val="center"/>
      </w:pPr>
      <w:r>
        <w:t>Source: Oxford Economics, Haver Analytics</w:t>
      </w:r>
    </w:p>
    <w:p w14:paraId="6DE76258" w14:textId="2E9D7BB7" w:rsidR="00714DA3" w:rsidRDefault="00714DA3" w:rsidP="00714DA3">
      <w:pPr>
        <w:pStyle w:val="ExhibitSource"/>
        <w:jc w:val="center"/>
        <w:sectPr w:rsidR="00714DA3" w:rsidSect="00401E9A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2665" w:right="1276" w:bottom="818" w:left="1134" w:header="708" w:footer="300" w:gutter="0"/>
          <w:cols w:space="708"/>
          <w:titlePg/>
          <w:docGrid w:linePitch="360"/>
        </w:sectPr>
      </w:pPr>
    </w:p>
    <w:p w14:paraId="235A6808" w14:textId="39711F14" w:rsidR="00CE2E87" w:rsidRDefault="00F0722F" w:rsidP="002A6C05">
      <w:pPr>
        <w:pStyle w:val="Heading3"/>
      </w:pPr>
      <w:r>
        <w:lastRenderedPageBreak/>
        <w:t>Successive</w:t>
      </w:r>
      <w:r w:rsidR="00663B86">
        <w:t xml:space="preserve"> declines in the </w:t>
      </w:r>
      <w:r w:rsidR="00C06588">
        <w:t xml:space="preserve">Ofgem price cap will drag </w:t>
      </w:r>
      <w:r w:rsidR="001369CB">
        <w:t xml:space="preserve">on </w:t>
      </w:r>
      <w:r w:rsidR="00C06588">
        <w:t>consumer prices</w:t>
      </w:r>
    </w:p>
    <w:p w14:paraId="02EAEC53" w14:textId="41624748" w:rsidR="00004E16" w:rsidRDefault="00703E7A" w:rsidP="00714DA3">
      <w:r>
        <w:t>Though</w:t>
      </w:r>
      <w:r w:rsidR="00EB38D5">
        <w:t xml:space="preserve"> wholesale gas </w:t>
      </w:r>
      <w:r w:rsidR="00032B44">
        <w:t xml:space="preserve">futures prices have stabilised </w:t>
      </w:r>
      <w:r w:rsidR="00B223E4">
        <w:t>in recent weeks</w:t>
      </w:r>
      <w:r w:rsidR="00032B44">
        <w:t>,</w:t>
      </w:r>
      <w:r w:rsidR="00B223E4">
        <w:t xml:space="preserve"> </w:t>
      </w:r>
      <w:r w:rsidR="00B34249">
        <w:t>supply</w:t>
      </w:r>
      <w:r w:rsidR="00B31F29">
        <w:t>-</w:t>
      </w:r>
      <w:r w:rsidR="00B34249">
        <w:t xml:space="preserve"> and demand-side factors </w:t>
      </w:r>
      <w:r w:rsidR="003F576E">
        <w:t xml:space="preserve">have contributed to </w:t>
      </w:r>
      <w:r w:rsidR="007F6D3D">
        <w:t>significant</w:t>
      </w:r>
      <w:r w:rsidR="003F576E">
        <w:t xml:space="preserve"> downward pressure on </w:t>
      </w:r>
      <w:r w:rsidR="00B14F06">
        <w:t xml:space="preserve">prices since October 2023. </w:t>
      </w:r>
      <w:r w:rsidR="00F93B42">
        <w:t>The second consecutive warmer-than-usual winter</w:t>
      </w:r>
      <w:r w:rsidR="00CC6F28">
        <w:t>, efficiency gains,</w:t>
      </w:r>
      <w:r w:rsidR="00F93B42">
        <w:t xml:space="preserve"> </w:t>
      </w:r>
      <w:r w:rsidR="006D121D">
        <w:t xml:space="preserve">and </w:t>
      </w:r>
      <w:r w:rsidR="00CC6F28">
        <w:t xml:space="preserve">a degree of </w:t>
      </w:r>
      <w:r w:rsidR="006D121D">
        <w:t>industrial demand</w:t>
      </w:r>
      <w:r w:rsidR="006B4F81">
        <w:t xml:space="preserve"> </w:t>
      </w:r>
      <w:r w:rsidR="006D121D">
        <w:t xml:space="preserve">destruction </w:t>
      </w:r>
      <w:r w:rsidR="00881591">
        <w:t>in</w:t>
      </w:r>
      <w:r w:rsidR="007F6D3D">
        <w:t xml:space="preserve"> continental</w:t>
      </w:r>
      <w:r w:rsidR="00881591">
        <w:t xml:space="preserve"> Europe</w:t>
      </w:r>
      <w:r w:rsidR="00CC6F28">
        <w:t>,</w:t>
      </w:r>
      <w:r w:rsidR="00BF29E9">
        <w:t xml:space="preserve"> has </w:t>
      </w:r>
      <w:r w:rsidR="00875C2F">
        <w:t>weighed on gas consumption</w:t>
      </w:r>
      <w:r w:rsidR="003004B2">
        <w:t>.</w:t>
      </w:r>
      <w:r w:rsidR="00881591">
        <w:t xml:space="preserve"> </w:t>
      </w:r>
      <w:r w:rsidR="003004B2">
        <w:t>M</w:t>
      </w:r>
      <w:r w:rsidR="00881591">
        <w:t>eanwhile</w:t>
      </w:r>
      <w:r w:rsidR="003004B2">
        <w:t>,</w:t>
      </w:r>
      <w:r w:rsidR="00881591">
        <w:t xml:space="preserve"> </w:t>
      </w:r>
      <w:r w:rsidR="0061418A">
        <w:t>most of the</w:t>
      </w:r>
      <w:r w:rsidR="00C93D76">
        <w:t xml:space="preserve"> loss of Russian pipeline supplies </w:t>
      </w:r>
      <w:r w:rsidR="00821040">
        <w:t xml:space="preserve">has been </w:t>
      </w:r>
      <w:r w:rsidR="0061418A">
        <w:t xml:space="preserve">compensated for by other sources, mainly </w:t>
      </w:r>
      <w:r w:rsidR="003004B2">
        <w:t xml:space="preserve">American </w:t>
      </w:r>
      <w:r w:rsidR="003004B2" w:rsidRPr="003004B2">
        <w:t>liquefied natural gas</w:t>
      </w:r>
      <w:r w:rsidR="0012202D">
        <w:t xml:space="preserve">. </w:t>
      </w:r>
      <w:r w:rsidR="00BB638D">
        <w:t xml:space="preserve">This has left </w:t>
      </w:r>
      <w:hyperlink r:id="rId15" w:history="1">
        <w:r w:rsidR="004D1472" w:rsidRPr="0076099A">
          <w:rPr>
            <w:rStyle w:val="Hyperlink"/>
          </w:rPr>
          <w:t>Eu</w:t>
        </w:r>
        <w:r w:rsidR="00780E40" w:rsidRPr="0076099A">
          <w:rPr>
            <w:rStyle w:val="Hyperlink"/>
          </w:rPr>
          <w:t xml:space="preserve">ropean gas storage at record </w:t>
        </w:r>
        <w:r w:rsidR="00425C20" w:rsidRPr="0076099A">
          <w:rPr>
            <w:rStyle w:val="Hyperlink"/>
          </w:rPr>
          <w:t>levels</w:t>
        </w:r>
      </w:hyperlink>
      <w:r w:rsidR="00004E16">
        <w:t xml:space="preserve">. Our commodities team expects gas prices will remain low </w:t>
      </w:r>
      <w:r w:rsidR="00F42FF5">
        <w:t xml:space="preserve">over the rest of this year </w:t>
      </w:r>
      <w:r w:rsidR="00004E16">
        <w:t xml:space="preserve">as a near term pickup in European industrial </w:t>
      </w:r>
      <w:r w:rsidR="00462142">
        <w:t>demand</w:t>
      </w:r>
      <w:r w:rsidR="00004E16">
        <w:t xml:space="preserve"> is likely to be offset by savings among households and the power sector, while long</w:t>
      </w:r>
      <w:r w:rsidR="00B31F29">
        <w:t>-</w:t>
      </w:r>
      <w:r w:rsidR="00004E16">
        <w:t xml:space="preserve">term LNG contracts </w:t>
      </w:r>
      <w:r w:rsidR="008616B4">
        <w:t xml:space="preserve">will support </w:t>
      </w:r>
      <w:r w:rsidR="00E727C4">
        <w:t>gas supply.</w:t>
      </w:r>
    </w:p>
    <w:p w14:paraId="10ABE388" w14:textId="279BE685" w:rsidR="00714DA3" w:rsidRDefault="006F3A15" w:rsidP="00714DA3">
      <w:r>
        <w:t xml:space="preserve">The large fall in </w:t>
      </w:r>
      <w:r w:rsidR="00231F9A">
        <w:t xml:space="preserve">wholesale gas futures prices </w:t>
      </w:r>
      <w:r w:rsidR="00462142">
        <w:t>is good news for</w:t>
      </w:r>
      <w:r w:rsidR="001B40CE">
        <w:t xml:space="preserve"> UK</w:t>
      </w:r>
      <w:r w:rsidR="00462142">
        <w:t xml:space="preserve"> households. </w:t>
      </w:r>
      <w:r w:rsidR="0023051A">
        <w:t>Falling wholesale prices around the turn of the year</w:t>
      </w:r>
      <w:r w:rsidR="00853716">
        <w:t xml:space="preserve"> led </w:t>
      </w:r>
      <w:r w:rsidR="0086101C">
        <w:t xml:space="preserve">Ofgem </w:t>
      </w:r>
      <w:r w:rsidR="00853716">
        <w:t>to cut</w:t>
      </w:r>
      <w:r w:rsidR="0086101C">
        <w:t xml:space="preserve"> its energy price cap by 12% in April</w:t>
      </w:r>
      <w:r w:rsidR="00853716">
        <w:t>.</w:t>
      </w:r>
      <w:r w:rsidR="000620A6">
        <w:t xml:space="preserve"> </w:t>
      </w:r>
      <w:r w:rsidR="00853716">
        <w:t>W</w:t>
      </w:r>
      <w:r w:rsidR="000620A6">
        <w:t>e</w:t>
      </w:r>
      <w:r w:rsidR="00B31F29">
        <w:t xml:space="preserve"> a</w:t>
      </w:r>
      <w:r w:rsidR="000620A6">
        <w:t xml:space="preserve">re </w:t>
      </w:r>
      <w:r w:rsidR="00853716">
        <w:t>now</w:t>
      </w:r>
      <w:r w:rsidR="000620A6">
        <w:t xml:space="preserve"> halfway through the new observation window</w:t>
      </w:r>
      <w:r w:rsidR="00DE4A24">
        <w:t xml:space="preserve">, </w:t>
      </w:r>
      <w:r w:rsidR="00DB124A">
        <w:t xml:space="preserve">and </w:t>
      </w:r>
      <w:r w:rsidR="0002349E">
        <w:t xml:space="preserve">a further decline in </w:t>
      </w:r>
      <w:r w:rsidR="00DE4A24">
        <w:t>futures prices mean we</w:t>
      </w:r>
      <w:r w:rsidR="00B31F29">
        <w:t xml:space="preserve"> a</w:t>
      </w:r>
      <w:r w:rsidR="00DE4A24">
        <w:t xml:space="preserve">re on track for </w:t>
      </w:r>
      <w:r w:rsidR="00164CD3">
        <w:t xml:space="preserve">another </w:t>
      </w:r>
      <w:r w:rsidR="009050D1">
        <w:t>8</w:t>
      </w:r>
      <w:r w:rsidR="00B31F29">
        <w:t>%</w:t>
      </w:r>
      <w:r w:rsidR="009A4F16">
        <w:t>-10%</w:t>
      </w:r>
      <w:r w:rsidR="009051B3">
        <w:t xml:space="preserve"> </w:t>
      </w:r>
      <w:r w:rsidR="0006720F">
        <w:t>fall in the price cap in July (</w:t>
      </w:r>
      <w:r w:rsidR="00BD7159" w:rsidRPr="006720B7">
        <w:rPr>
          <w:b/>
          <w:color w:val="003469"/>
        </w:rPr>
        <w:fldChar w:fldCharType="begin"/>
      </w:r>
      <w:r w:rsidR="006720B7" w:rsidRPr="006720B7">
        <w:rPr>
          <w:b/>
          <w:color w:val="003469"/>
        </w:rPr>
        <w:instrText xml:space="preserve">REF _Ref163826985 \h \* Charformat </w:instrText>
      </w:r>
      <w:r w:rsidR="006720B7" w:rsidRPr="006720B7">
        <w:rPr>
          <w:b/>
          <w:color w:val="003469"/>
        </w:rPr>
      </w:r>
      <w:r w:rsidR="00BD7159" w:rsidRPr="006720B7">
        <w:rPr>
          <w:b/>
          <w:color w:val="003469"/>
        </w:rPr>
        <w:fldChar w:fldCharType="separate"/>
      </w:r>
      <w:r w:rsidR="006720B7" w:rsidRPr="006720B7">
        <w:rPr>
          <w:b/>
          <w:color w:val="003469"/>
        </w:rPr>
        <w:t>Chart 2</w:t>
      </w:r>
      <w:r w:rsidR="00BD7159" w:rsidRPr="006720B7">
        <w:rPr>
          <w:b/>
          <w:color w:val="003469"/>
        </w:rPr>
        <w:fldChar w:fldCharType="end"/>
      </w:r>
      <w:r w:rsidR="0006720F">
        <w:t>).</w:t>
      </w:r>
      <w:r w:rsidR="001B40CE">
        <w:t xml:space="preserve"> </w:t>
      </w:r>
      <w:r w:rsidR="00151CF8">
        <w:t xml:space="preserve">Our forecast </w:t>
      </w:r>
      <w:r w:rsidR="00C30BF5">
        <w:t xml:space="preserve">shows the energy </w:t>
      </w:r>
      <w:r w:rsidR="002909B0">
        <w:t xml:space="preserve">category </w:t>
      </w:r>
      <w:r w:rsidR="00C30BF5">
        <w:t xml:space="preserve">exerting an average drag on CPI inflation of </w:t>
      </w:r>
      <w:r w:rsidR="003E68BE">
        <w:t xml:space="preserve">0.9ppts </w:t>
      </w:r>
      <w:r w:rsidR="00AF022D">
        <w:t>in 2024.</w:t>
      </w:r>
      <w:r w:rsidR="0056430D">
        <w:t xml:space="preserve"> </w:t>
      </w:r>
      <w:r w:rsidR="00803721">
        <w:t xml:space="preserve">Given </w:t>
      </w:r>
      <w:r w:rsidR="00872B71">
        <w:t>that household</w:t>
      </w:r>
      <w:r w:rsidR="00D8439E">
        <w:t xml:space="preserve"> energy prices </w:t>
      </w:r>
      <w:r w:rsidR="00872B71">
        <w:t xml:space="preserve">began to fall </w:t>
      </w:r>
      <w:r w:rsidR="00DF0981">
        <w:t xml:space="preserve">in H2 2023, </w:t>
      </w:r>
      <w:r w:rsidR="009D19E4">
        <w:t xml:space="preserve">the energy category is likely to weigh </w:t>
      </w:r>
      <w:r w:rsidR="0075434B">
        <w:t xml:space="preserve">on headline inflation </w:t>
      </w:r>
      <w:r w:rsidR="009D19E4">
        <w:t xml:space="preserve">most heavily </w:t>
      </w:r>
      <w:r w:rsidR="00B625DA">
        <w:t>in H1 2024</w:t>
      </w:r>
      <w:r w:rsidR="0075434B">
        <w:t xml:space="preserve">, before </w:t>
      </w:r>
      <w:r w:rsidR="00897F4D">
        <w:t xml:space="preserve">the </w:t>
      </w:r>
      <w:r w:rsidR="00B715C7">
        <w:t xml:space="preserve">downward pressure from energy </w:t>
      </w:r>
      <w:r w:rsidR="00A356B0">
        <w:t>gradually</w:t>
      </w:r>
      <w:r w:rsidR="00B715C7">
        <w:t xml:space="preserve"> fades.</w:t>
      </w:r>
    </w:p>
    <w:p w14:paraId="2FE98C4C" w14:textId="0FA777CD" w:rsidR="00714DA3" w:rsidRDefault="00714DA3" w:rsidP="002A6C05">
      <w:pPr>
        <w:pStyle w:val="ExhibitTitle"/>
      </w:pPr>
      <w:bookmarkStart w:id="2" w:name="_Ref163826985"/>
      <w:r>
        <w:t xml:space="preserve">Chart </w:t>
      </w:r>
      <w:r>
        <w:fldChar w:fldCharType="begin"/>
      </w:r>
      <w:r w:rsidR="00BD7159">
        <w:instrText>SEQ CHART</w:instrText>
      </w:r>
      <w:r>
        <w:fldChar w:fldCharType="separate"/>
      </w:r>
      <w:r w:rsidR="00401E9A">
        <w:rPr>
          <w:noProof/>
        </w:rPr>
        <w:t>2</w:t>
      </w:r>
      <w:r>
        <w:fldChar w:fldCharType="end"/>
      </w:r>
      <w:bookmarkEnd w:id="2"/>
      <w:r>
        <w:t xml:space="preserve">: </w:t>
      </w:r>
      <w:r w:rsidR="004237AB">
        <w:t>The fallback in</w:t>
      </w:r>
      <w:r w:rsidR="00D71567">
        <w:t xml:space="preserve"> gas futures prices </w:t>
      </w:r>
      <w:r w:rsidR="00294C82">
        <w:t>will</w:t>
      </w:r>
      <w:r w:rsidR="00767DB4">
        <w:t xml:space="preserve"> weigh on </w:t>
      </w:r>
      <w:r w:rsidR="004237AB">
        <w:t>energy inflation</w:t>
      </w:r>
      <w:r w:rsidR="005F3ECE">
        <w:t xml:space="preserve"> in April and July</w:t>
      </w:r>
    </w:p>
    <w:p w14:paraId="6B20DB73" w14:textId="3403812C" w:rsidR="00756DD5" w:rsidRDefault="00756DD5" w:rsidP="002A6C05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57F465C" wp14:editId="29E94C75">
            <wp:extent cx="3250933" cy="2552005"/>
            <wp:effectExtent l="0" t="0" r="6985" b="1270"/>
            <wp:docPr id="18" name="Graphic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6B6C" w14:textId="344881DD" w:rsidR="003F5085" w:rsidRDefault="00756DD5" w:rsidP="002A6C05">
      <w:pPr>
        <w:pStyle w:val="ExhibitSource"/>
      </w:pPr>
      <w:r>
        <w:t>Source: Oxford Economics, Haver Analytics</w:t>
      </w:r>
    </w:p>
    <w:p w14:paraId="04B42755" w14:textId="0BE6534C" w:rsidR="00876B76" w:rsidRDefault="0079351E" w:rsidP="002A6C05">
      <w:pPr>
        <w:pStyle w:val="Heading3"/>
      </w:pPr>
      <w:r>
        <w:t xml:space="preserve">Global food prices and domestic cost pressures </w:t>
      </w:r>
      <w:r w:rsidR="00B86BAD">
        <w:t>indicate</w:t>
      </w:r>
      <w:r>
        <w:t xml:space="preserve"> food</w:t>
      </w:r>
      <w:r w:rsidR="00D46911">
        <w:t xml:space="preserve"> price</w:t>
      </w:r>
      <w:r>
        <w:t xml:space="preserve"> inflation </w:t>
      </w:r>
      <w:r w:rsidR="00443FD5">
        <w:t xml:space="preserve">will </w:t>
      </w:r>
      <w:r w:rsidR="00D9416E">
        <w:t>weaken</w:t>
      </w:r>
    </w:p>
    <w:p w14:paraId="4751AA8C" w14:textId="6FD49572" w:rsidR="009D24E5" w:rsidRDefault="00801B78" w:rsidP="00714DA3">
      <w:r>
        <w:t xml:space="preserve">Another key externally driven </w:t>
      </w:r>
      <w:r w:rsidR="001C346E">
        <w:t>component</w:t>
      </w:r>
      <w:r w:rsidR="00796E33">
        <w:t xml:space="preserve"> </w:t>
      </w:r>
      <w:r w:rsidR="0076079B">
        <w:t>likely</w:t>
      </w:r>
      <w:r w:rsidR="00796E33">
        <w:t xml:space="preserve"> to drive </w:t>
      </w:r>
      <w:r w:rsidR="001C346E">
        <w:t>headline inflation below 2% in the coming months is food</w:t>
      </w:r>
      <w:r w:rsidR="002D4ADD">
        <w:t>.</w:t>
      </w:r>
      <w:r w:rsidR="005B758B">
        <w:t xml:space="preserve"> </w:t>
      </w:r>
      <w:r w:rsidR="001F30D1">
        <w:t xml:space="preserve">The combination of </w:t>
      </w:r>
      <w:r w:rsidR="004024B7">
        <w:t xml:space="preserve">high energy prices and </w:t>
      </w:r>
      <w:r w:rsidR="001F30D1">
        <w:t>p</w:t>
      </w:r>
      <w:r w:rsidR="00C82E34">
        <w:t xml:space="preserve">oor harvests in </w:t>
      </w:r>
      <w:r w:rsidR="00B31F29">
        <w:t xml:space="preserve">Southern </w:t>
      </w:r>
      <w:r w:rsidR="00C82E34">
        <w:t>Europe</w:t>
      </w:r>
      <w:r w:rsidR="00A95595">
        <w:t xml:space="preserve">, which </w:t>
      </w:r>
      <w:r w:rsidR="00C82E34">
        <w:t>caused shortages of certain products</w:t>
      </w:r>
      <w:r w:rsidR="00A95595">
        <w:t xml:space="preserve">, led to a series of </w:t>
      </w:r>
      <w:r w:rsidR="006C4074">
        <w:t xml:space="preserve">large m/m </w:t>
      </w:r>
      <w:r w:rsidR="00A95595">
        <w:t xml:space="preserve">food </w:t>
      </w:r>
      <w:r w:rsidR="006C4074">
        <w:t>price increases</w:t>
      </w:r>
      <w:r w:rsidR="00A95595">
        <w:t xml:space="preserve"> in early 2023</w:t>
      </w:r>
      <w:r w:rsidR="0023221D">
        <w:t xml:space="preserve"> (</w:t>
      </w:r>
      <w:r w:rsidR="00BD7159" w:rsidRPr="006720B7">
        <w:rPr>
          <w:b/>
          <w:color w:val="003469"/>
        </w:rPr>
        <w:fldChar w:fldCharType="begin"/>
      </w:r>
      <w:r w:rsidR="006720B7" w:rsidRPr="006720B7">
        <w:rPr>
          <w:b/>
          <w:color w:val="003469"/>
        </w:rPr>
        <w:instrText xml:space="preserve">REF _Ref163826986 \h \* Charformat </w:instrText>
      </w:r>
      <w:r w:rsidR="006720B7" w:rsidRPr="006720B7">
        <w:rPr>
          <w:b/>
          <w:color w:val="003469"/>
        </w:rPr>
      </w:r>
      <w:r w:rsidR="00BD7159" w:rsidRPr="006720B7">
        <w:rPr>
          <w:b/>
          <w:color w:val="003469"/>
        </w:rPr>
        <w:fldChar w:fldCharType="separate"/>
      </w:r>
      <w:r w:rsidR="006720B7" w:rsidRPr="006720B7">
        <w:rPr>
          <w:b/>
          <w:color w:val="003469"/>
        </w:rPr>
        <w:t>Chart 3</w:t>
      </w:r>
      <w:r w:rsidR="00BD7159" w:rsidRPr="006720B7">
        <w:rPr>
          <w:b/>
          <w:color w:val="003469"/>
        </w:rPr>
        <w:fldChar w:fldCharType="end"/>
      </w:r>
      <w:r w:rsidR="0023221D">
        <w:t>)</w:t>
      </w:r>
      <w:r w:rsidR="006C4074">
        <w:t xml:space="preserve">. </w:t>
      </w:r>
      <w:r w:rsidR="00B31F29">
        <w:t xml:space="preserve">Although </w:t>
      </w:r>
      <w:r w:rsidR="00F861D2">
        <w:t>food is a relatively energy-intensive sector</w:t>
      </w:r>
      <w:r w:rsidR="00F55B68">
        <w:t xml:space="preserve">, </w:t>
      </w:r>
      <w:r w:rsidR="00B31F29">
        <w:t xml:space="preserve">so it </w:t>
      </w:r>
      <w:r w:rsidR="00F55B68">
        <w:t xml:space="preserve">will benefit disproportionately from </w:t>
      </w:r>
      <w:r w:rsidR="00152939">
        <w:t xml:space="preserve">falling energy prices </w:t>
      </w:r>
      <w:r w:rsidR="00F55B68">
        <w:t xml:space="preserve">for firms. </w:t>
      </w:r>
      <w:r w:rsidR="00F627E4">
        <w:t>W</w:t>
      </w:r>
      <w:r w:rsidR="00692967">
        <w:t>ith prospects looking better for</w:t>
      </w:r>
      <w:r w:rsidR="00045D4B">
        <w:t xml:space="preserve"> harvests</w:t>
      </w:r>
      <w:r w:rsidR="005B718F">
        <w:t xml:space="preserve"> this year, </w:t>
      </w:r>
      <w:r w:rsidR="00F627E4">
        <w:t xml:space="preserve">and </w:t>
      </w:r>
      <w:r w:rsidR="00E2530F">
        <w:t xml:space="preserve">significant </w:t>
      </w:r>
      <w:r w:rsidR="00113E4B">
        <w:t xml:space="preserve">base effects </w:t>
      </w:r>
      <w:r w:rsidR="00F627E4">
        <w:t>coming into play</w:t>
      </w:r>
      <w:r w:rsidR="00DC1E4D">
        <w:t xml:space="preserve">, we see the positive contribution from the food category gradually </w:t>
      </w:r>
      <w:r w:rsidR="005315BF">
        <w:t>diminishing</w:t>
      </w:r>
      <w:r w:rsidR="00DC1E4D">
        <w:t xml:space="preserve"> as we move through the year.</w:t>
      </w:r>
    </w:p>
    <w:p w14:paraId="1E4525B8" w14:textId="226EBC68" w:rsidR="00714DA3" w:rsidRDefault="00714DA3" w:rsidP="002A6C05">
      <w:pPr>
        <w:pStyle w:val="ExhibitTitle"/>
      </w:pPr>
      <w:bookmarkStart w:id="3" w:name="_Ref163826986"/>
      <w:r>
        <w:lastRenderedPageBreak/>
        <w:t xml:space="preserve">Chart </w:t>
      </w:r>
      <w:r>
        <w:fldChar w:fldCharType="begin"/>
      </w:r>
      <w:r w:rsidR="00BD7159">
        <w:instrText>SEQ CHART</w:instrText>
      </w:r>
      <w:r>
        <w:fldChar w:fldCharType="separate"/>
      </w:r>
      <w:r w:rsidR="00401E9A">
        <w:rPr>
          <w:noProof/>
        </w:rPr>
        <w:t>3</w:t>
      </w:r>
      <w:r>
        <w:fldChar w:fldCharType="end"/>
      </w:r>
      <w:bookmarkEnd w:id="3"/>
      <w:r>
        <w:t xml:space="preserve">: </w:t>
      </w:r>
      <w:r w:rsidR="007115DA">
        <w:t xml:space="preserve">The large m/m </w:t>
      </w:r>
      <w:r w:rsidR="0024580D">
        <w:t xml:space="preserve">food </w:t>
      </w:r>
      <w:r w:rsidR="007115DA">
        <w:t xml:space="preserve">price </w:t>
      </w:r>
      <w:r w:rsidR="0024580D">
        <w:t>rises</w:t>
      </w:r>
      <w:r w:rsidR="007115DA">
        <w:t xml:space="preserve"> </w:t>
      </w:r>
      <w:r w:rsidR="00791D32">
        <w:t xml:space="preserve">seen in </w:t>
      </w:r>
      <w:r w:rsidR="0024580D">
        <w:t xml:space="preserve">H1 </w:t>
      </w:r>
      <w:r w:rsidR="00791D32">
        <w:t>2023 are unlikely to be repeated this year</w:t>
      </w:r>
    </w:p>
    <w:p w14:paraId="68B479D7" w14:textId="67AAC63A" w:rsidR="00E02C1A" w:rsidRDefault="00E02C1A" w:rsidP="002A6C05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D839024" wp14:editId="4EC2011E">
            <wp:extent cx="3250933" cy="2541433"/>
            <wp:effectExtent l="0" t="0" r="6985" b="0"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B3F0" w14:textId="328F2A2F" w:rsidR="00714DA3" w:rsidRDefault="00E02C1A" w:rsidP="002A6C05">
      <w:pPr>
        <w:pStyle w:val="ExhibitSource"/>
      </w:pPr>
      <w:r>
        <w:t>Source: Oxford Economics, Haver Analytics</w:t>
      </w:r>
    </w:p>
    <w:p w14:paraId="745F2B9D" w14:textId="3B25BB19" w:rsidR="00876B76" w:rsidRDefault="00D057E9" w:rsidP="002A6C05">
      <w:pPr>
        <w:pStyle w:val="Heading3"/>
      </w:pPr>
      <w:r>
        <w:t xml:space="preserve">Core inflation is set to </w:t>
      </w:r>
      <w:r w:rsidR="008E7808">
        <w:t>slow</w:t>
      </w:r>
      <w:r>
        <w:t>, but the positive contribution from services will remain large</w:t>
      </w:r>
    </w:p>
    <w:p w14:paraId="2B1EBEF6" w14:textId="412383CF" w:rsidR="00295493" w:rsidRDefault="007B3B7E" w:rsidP="00714DA3">
      <w:r>
        <w:t xml:space="preserve">We think </w:t>
      </w:r>
      <w:r w:rsidR="007E4703">
        <w:t xml:space="preserve">there will be three key factors behind </w:t>
      </w:r>
      <w:r w:rsidR="0096282F">
        <w:t xml:space="preserve">the gradual cooling in services inflation this year. </w:t>
      </w:r>
      <w:r w:rsidR="00E172FA">
        <w:t>F</w:t>
      </w:r>
      <w:r w:rsidR="0096282F">
        <w:t>irst</w:t>
      </w:r>
      <w:r w:rsidR="00CD6883">
        <w:t>,</w:t>
      </w:r>
      <w:r w:rsidR="0096282F">
        <w:t xml:space="preserve"> is</w:t>
      </w:r>
      <w:r w:rsidR="005C4105">
        <w:t xml:space="preserve"> </w:t>
      </w:r>
      <w:r w:rsidR="00CB5A47">
        <w:t xml:space="preserve">that </w:t>
      </w:r>
      <w:r w:rsidR="00E172FA">
        <w:t xml:space="preserve">lower headline inflation should mean that </w:t>
      </w:r>
      <w:r w:rsidR="009E2AD2">
        <w:t>April</w:t>
      </w:r>
      <w:r w:rsidR="001330AE">
        <w:t>'s</w:t>
      </w:r>
      <w:r w:rsidR="005C4105">
        <w:t xml:space="preserve"> annual indexation of </w:t>
      </w:r>
      <w:r w:rsidR="00CB5A47">
        <w:t xml:space="preserve">inflation-linked </w:t>
      </w:r>
      <w:r w:rsidR="00267AB7">
        <w:t xml:space="preserve">contracts and regulated prices </w:t>
      </w:r>
      <w:r w:rsidR="000B4914">
        <w:t>result</w:t>
      </w:r>
      <w:r w:rsidR="00E172FA">
        <w:t>s</w:t>
      </w:r>
      <w:r w:rsidR="000B4914">
        <w:t xml:space="preserve"> in </w:t>
      </w:r>
      <w:r w:rsidR="00E172FA">
        <w:t xml:space="preserve">much </w:t>
      </w:r>
      <w:r w:rsidR="000B4914">
        <w:t xml:space="preserve">softer April price hikes </w:t>
      </w:r>
      <w:r w:rsidR="00AB2861">
        <w:t xml:space="preserve">than </w:t>
      </w:r>
      <w:r w:rsidR="00D17E3B">
        <w:t xml:space="preserve">the large increase </w:t>
      </w:r>
      <w:r w:rsidR="00E22E2A">
        <w:t xml:space="preserve">experienced </w:t>
      </w:r>
      <w:r w:rsidR="00AB2861">
        <w:t>in 2023.</w:t>
      </w:r>
    </w:p>
    <w:p w14:paraId="459055B4" w14:textId="2D72713D" w:rsidR="00B60830" w:rsidRDefault="00E172FA" w:rsidP="00714DA3">
      <w:r>
        <w:t>S</w:t>
      </w:r>
      <w:r w:rsidR="00B60830">
        <w:t xml:space="preserve">econd is that the indirect effects of lower energy prices will </w:t>
      </w:r>
      <w:r w:rsidR="00CD6883">
        <w:t xml:space="preserve">continue to </w:t>
      </w:r>
      <w:r w:rsidR="00B60830">
        <w:t xml:space="preserve">filter through to services firms. </w:t>
      </w:r>
      <w:hyperlink r:id="rId20" w:history="1">
        <w:r w:rsidR="00B60830" w:rsidRPr="000F06E2">
          <w:rPr>
            <w:rStyle w:val="Hyperlink"/>
          </w:rPr>
          <w:t>Company energy prices</w:t>
        </w:r>
      </w:hyperlink>
      <w:r w:rsidR="00B60830">
        <w:t xml:space="preserve"> often respond to changes in wholesale prices with a significant delay because a large proportion of firms agree </w:t>
      </w:r>
      <w:r w:rsidR="00527E67">
        <w:t xml:space="preserve">to </w:t>
      </w:r>
      <w:r w:rsidR="00B60830">
        <w:t xml:space="preserve">fixed-price contracts </w:t>
      </w:r>
      <w:r w:rsidR="006F2E61">
        <w:t>for up to</w:t>
      </w:r>
      <w:r w:rsidR="00B60830">
        <w:t xml:space="preserve"> a year in advance. </w:t>
      </w:r>
      <w:r w:rsidR="006F2E61">
        <w:t xml:space="preserve">As these fixes end and </w:t>
      </w:r>
      <w:r w:rsidR="009741DF">
        <w:t>firms move onto cheaper deals, they</w:t>
      </w:r>
      <w:r w:rsidR="00527E67">
        <w:t xml:space="preserve"> a</w:t>
      </w:r>
      <w:r w:rsidR="009741DF">
        <w:t xml:space="preserve">re likely to </w:t>
      </w:r>
      <w:r w:rsidR="00B60830">
        <w:t>pass on some of the gains to consumers.</w:t>
      </w:r>
    </w:p>
    <w:p w14:paraId="55C54A60" w14:textId="5AAB3B4A" w:rsidR="00167292" w:rsidRDefault="009741DF" w:rsidP="00714DA3">
      <w:r>
        <w:t>T</w:t>
      </w:r>
      <w:r w:rsidR="00B60830">
        <w:t>hird</w:t>
      </w:r>
      <w:r w:rsidR="0051536C">
        <w:t xml:space="preserve"> </w:t>
      </w:r>
      <w:r w:rsidR="008E0A02">
        <w:t xml:space="preserve">is the evolution of the </w:t>
      </w:r>
      <w:r w:rsidR="00980E5C">
        <w:t>jobs</w:t>
      </w:r>
      <w:r w:rsidR="008E0A02">
        <w:t xml:space="preserve"> market</w:t>
      </w:r>
      <w:r w:rsidR="007C2900">
        <w:t>.</w:t>
      </w:r>
      <w:r w:rsidR="00980E5C">
        <w:t xml:space="preserve"> Labour</w:t>
      </w:r>
      <w:r w:rsidR="00E70309">
        <w:t xml:space="preserve"> </w:t>
      </w:r>
      <w:r w:rsidR="00E36D43">
        <w:t>is</w:t>
      </w:r>
      <w:r w:rsidR="00980E5C">
        <w:t xml:space="preserve"> </w:t>
      </w:r>
      <w:r w:rsidR="00E36D43">
        <w:t>the main input cost for service provide</w:t>
      </w:r>
      <w:r w:rsidR="001F5161">
        <w:t>r</w:t>
      </w:r>
      <w:r w:rsidR="00E36D43">
        <w:t>s</w:t>
      </w:r>
      <w:r w:rsidR="0074182B">
        <w:t xml:space="preserve">, so plays a crucial role in price setting in the sector. </w:t>
      </w:r>
      <w:r w:rsidR="007040A1">
        <w:t>P</w:t>
      </w:r>
      <w:r w:rsidR="00910A74">
        <w:t xml:space="preserve">ay growth </w:t>
      </w:r>
      <w:r w:rsidR="00BF77CB">
        <w:t xml:space="preserve">is </w:t>
      </w:r>
      <w:r w:rsidR="00B539FA">
        <w:t>elevated but slow</w:t>
      </w:r>
      <w:r w:rsidR="003648EB">
        <w:t>ing</w:t>
      </w:r>
      <w:r w:rsidR="00B539FA">
        <w:t xml:space="preserve"> </w:t>
      </w:r>
      <w:r w:rsidR="00B06FA8">
        <w:t>as inflation expectations moderate and labour demand weaken</w:t>
      </w:r>
      <w:r w:rsidR="006C7A20">
        <w:t>s</w:t>
      </w:r>
      <w:r w:rsidR="00B06FA8">
        <w:t>.</w:t>
      </w:r>
      <w:r w:rsidR="00BF77CB">
        <w:t xml:space="preserve"> </w:t>
      </w:r>
      <w:r w:rsidR="008E1D78">
        <w:t>Indeed, our proprietary sentiment-based wage nowcast, developed in collaboration with Penta, suggests the downward momentum in pay growth gathered pace in March and the first half of April (</w:t>
      </w:r>
      <w:r w:rsidR="00BD7159" w:rsidRPr="006720B7">
        <w:rPr>
          <w:b/>
          <w:color w:val="003469"/>
        </w:rPr>
        <w:fldChar w:fldCharType="begin"/>
      </w:r>
      <w:r w:rsidR="006720B7" w:rsidRPr="006720B7">
        <w:rPr>
          <w:b/>
          <w:color w:val="003469"/>
        </w:rPr>
        <w:instrText xml:space="preserve">REF _Ref163826987 \h \* Charformat </w:instrText>
      </w:r>
      <w:r w:rsidR="006720B7" w:rsidRPr="006720B7">
        <w:rPr>
          <w:b/>
          <w:color w:val="003469"/>
        </w:rPr>
      </w:r>
      <w:r w:rsidR="00BD7159" w:rsidRPr="006720B7">
        <w:rPr>
          <w:b/>
          <w:color w:val="003469"/>
        </w:rPr>
        <w:fldChar w:fldCharType="separate"/>
      </w:r>
      <w:r w:rsidR="006720B7" w:rsidRPr="006720B7">
        <w:rPr>
          <w:b/>
          <w:color w:val="003469"/>
        </w:rPr>
        <w:t>Chart 4</w:t>
      </w:r>
      <w:r w:rsidR="00BD7159" w:rsidRPr="006720B7">
        <w:rPr>
          <w:b/>
          <w:color w:val="003469"/>
        </w:rPr>
        <w:fldChar w:fldCharType="end"/>
      </w:r>
      <w:r w:rsidR="008E1D78">
        <w:t xml:space="preserve">). </w:t>
      </w:r>
    </w:p>
    <w:p w14:paraId="13942AD8" w14:textId="0C3ADAB3" w:rsidR="00EC0729" w:rsidRDefault="00EC0729" w:rsidP="002A6C05">
      <w:pPr>
        <w:pStyle w:val="ExhibitTitle"/>
      </w:pPr>
      <w:bookmarkStart w:id="4" w:name="_Ref163826987"/>
      <w:r>
        <w:t xml:space="preserve">Chart </w:t>
      </w:r>
      <w:r>
        <w:fldChar w:fldCharType="begin"/>
      </w:r>
      <w:r w:rsidR="00BD7159">
        <w:instrText>SEQ CHART</w:instrText>
      </w:r>
      <w:r>
        <w:fldChar w:fldCharType="separate"/>
      </w:r>
      <w:r w:rsidR="00401E9A">
        <w:rPr>
          <w:noProof/>
        </w:rPr>
        <w:t>4</w:t>
      </w:r>
      <w:r>
        <w:fldChar w:fldCharType="end"/>
      </w:r>
      <w:bookmarkEnd w:id="4"/>
      <w:r>
        <w:t xml:space="preserve">: </w:t>
      </w:r>
      <w:r w:rsidR="00113F7C">
        <w:t xml:space="preserve">Our wage indicator suggests </w:t>
      </w:r>
      <w:r w:rsidR="00BD7159">
        <w:t xml:space="preserve">pay growth is now cooling </w:t>
      </w:r>
      <w:r w:rsidR="00142856">
        <w:t>sharply</w:t>
      </w:r>
      <w:r w:rsidR="00BD7159">
        <w:t xml:space="preserve"> after levelling off in early 2024</w:t>
      </w:r>
    </w:p>
    <w:p w14:paraId="593C4D14" w14:textId="51BE8D0A" w:rsidR="00EC0729" w:rsidRDefault="00EC0729" w:rsidP="002A6C05">
      <w:pPr>
        <w:spacing w:after="0"/>
      </w:pPr>
      <w:r>
        <w:rPr>
          <w:noProof/>
        </w:rPr>
        <w:drawing>
          <wp:inline distT="0" distB="0" distL="0" distR="0" wp14:anchorId="1635A9DA" wp14:editId="54761B3E">
            <wp:extent cx="3250933" cy="2552731"/>
            <wp:effectExtent l="0" t="0" r="698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 b="179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2164" w14:textId="7D752F34" w:rsidR="00EC0729" w:rsidRDefault="00EC0729" w:rsidP="002A6C05">
      <w:pPr>
        <w:pStyle w:val="ExhibitSource"/>
      </w:pPr>
      <w:r>
        <w:t>Sources: Oxford Economics, Penta, Haver Analytics</w:t>
      </w:r>
    </w:p>
    <w:p w14:paraId="47A7DF4B" w14:textId="1A6F0F59" w:rsidR="0006316A" w:rsidRDefault="0006316A" w:rsidP="00714DA3">
      <w:r>
        <w:t xml:space="preserve">We expect the softening in pay growth and labour demand will continue to play out over the rest of this year. Still, pay growth remains relatively high and April's near-10% increase in the National Living Wage </w:t>
      </w:r>
      <w:r>
        <w:lastRenderedPageBreak/>
        <w:t>could have a direct and indirect impact on pay, by</w:t>
      </w:r>
      <w:r w:rsidRPr="00191957">
        <w:t xml:space="preserve"> caus</w:t>
      </w:r>
      <w:r>
        <w:t>ing</w:t>
      </w:r>
      <w:r w:rsidRPr="00191957">
        <w:t xml:space="preserve"> a 'ripple effect' in pushing up pay rates just above the new NLW level</w:t>
      </w:r>
      <w:r>
        <w:t>. This is likely to mean that pay growth and services inflation cools only gradually.</w:t>
      </w:r>
    </w:p>
    <w:p w14:paraId="2F42C875" w14:textId="79306BC2" w:rsidR="00A454D4" w:rsidRDefault="00CA7BED" w:rsidP="00714DA3">
      <w:r>
        <w:t>In</w:t>
      </w:r>
      <w:r w:rsidR="00ED3A0F">
        <w:t xml:space="preserve"> comparison, p</w:t>
      </w:r>
      <w:r w:rsidR="00256032">
        <w:t xml:space="preserve">rice pressures look more sanguine in the </w:t>
      </w:r>
      <w:r w:rsidR="00571D67">
        <w:t>core goods category.</w:t>
      </w:r>
      <w:r w:rsidR="0001245C">
        <w:t xml:space="preserve"> </w:t>
      </w:r>
      <w:r w:rsidR="00867225">
        <w:t xml:space="preserve">The </w:t>
      </w:r>
      <w:r w:rsidR="00A12EA5">
        <w:t xml:space="preserve">past </w:t>
      </w:r>
      <w:r w:rsidR="00867225">
        <w:t xml:space="preserve">upward pressure on </w:t>
      </w:r>
      <w:r w:rsidR="00A12EA5">
        <w:t>core goods prices</w:t>
      </w:r>
      <w:r w:rsidR="00E642FF">
        <w:t>, reflecting supply-chain disruption</w:t>
      </w:r>
      <w:r w:rsidR="00F50697">
        <w:t xml:space="preserve"> and strong demand during the pandemic</w:t>
      </w:r>
      <w:r w:rsidR="00E642FF">
        <w:t xml:space="preserve">, has almost entirely unwound now. </w:t>
      </w:r>
      <w:r w:rsidR="0001245C">
        <w:t>P</w:t>
      </w:r>
      <w:r w:rsidR="004B78EA">
        <w:t xml:space="preserve">roducer input </w:t>
      </w:r>
      <w:r w:rsidR="0089698B">
        <w:t xml:space="preserve">prices </w:t>
      </w:r>
      <w:r w:rsidR="0001245C">
        <w:t xml:space="preserve">are </w:t>
      </w:r>
      <w:r w:rsidR="0089698B">
        <w:t xml:space="preserve">still falling, </w:t>
      </w:r>
      <w:r w:rsidR="0001245C">
        <w:t xml:space="preserve">so </w:t>
      </w:r>
      <w:r w:rsidR="00A73ED1">
        <w:t>we think there</w:t>
      </w:r>
      <w:r w:rsidR="00527E67">
        <w:t xml:space="preserve"> i</w:t>
      </w:r>
      <w:r w:rsidR="00A73ED1">
        <w:t xml:space="preserve">s </w:t>
      </w:r>
      <w:r w:rsidR="00DA1B68">
        <w:t xml:space="preserve">scope </w:t>
      </w:r>
      <w:r w:rsidR="00061D02">
        <w:t xml:space="preserve">for </w:t>
      </w:r>
      <w:r w:rsidR="001C0609">
        <w:t xml:space="preserve">a softening in </w:t>
      </w:r>
      <w:r w:rsidR="00E85A11">
        <w:t>core CPI goods prices</w:t>
      </w:r>
      <w:r w:rsidR="001C0609">
        <w:t>.</w:t>
      </w:r>
      <w:r w:rsidR="005176EC">
        <w:t xml:space="preserve"> That said, </w:t>
      </w:r>
      <w:r w:rsidR="00521D52">
        <w:t xml:space="preserve">the ongoing </w:t>
      </w:r>
      <w:hyperlink r:id="rId23" w:history="1">
        <w:r w:rsidR="00521D52" w:rsidRPr="00D5271E">
          <w:rPr>
            <w:rStyle w:val="Hyperlink"/>
          </w:rPr>
          <w:t xml:space="preserve">disruption </w:t>
        </w:r>
        <w:r w:rsidR="00617B2C" w:rsidRPr="00D5271E">
          <w:rPr>
            <w:rStyle w:val="Hyperlink"/>
          </w:rPr>
          <w:t>to shipping in the Red Sea</w:t>
        </w:r>
      </w:hyperlink>
      <w:r w:rsidR="00320E28">
        <w:t xml:space="preserve"> </w:t>
      </w:r>
      <w:r w:rsidR="00D7260A">
        <w:t xml:space="preserve">is likely to slow </w:t>
      </w:r>
      <w:r w:rsidR="00842402">
        <w:t xml:space="preserve">the </w:t>
      </w:r>
      <w:r w:rsidR="00DC449D">
        <w:t xml:space="preserve">pace of decline </w:t>
      </w:r>
      <w:r w:rsidR="00A8254A">
        <w:t>in the core goods category</w:t>
      </w:r>
      <w:r w:rsidR="00A51164">
        <w:t>. W</w:t>
      </w:r>
      <w:r w:rsidR="008C56CC">
        <w:t>ith around a quarter of UK goods imports coming from Asia, w</w:t>
      </w:r>
      <w:r w:rsidR="00A51164">
        <w:t xml:space="preserve">e </w:t>
      </w:r>
      <w:r w:rsidR="001E10B2">
        <w:t xml:space="preserve">expect higher ocean freight costs to </w:t>
      </w:r>
      <w:r w:rsidR="00617B2C">
        <w:t xml:space="preserve">add 0.2ppts-0.3ppts to </w:t>
      </w:r>
      <w:r w:rsidR="001E10B2">
        <w:t xml:space="preserve">headline </w:t>
      </w:r>
      <w:r w:rsidR="00617B2C">
        <w:t xml:space="preserve">inflation </w:t>
      </w:r>
      <w:r w:rsidR="00315ED3">
        <w:t>over the rest of this year.</w:t>
      </w:r>
    </w:p>
    <w:p w14:paraId="770E8175" w14:textId="770FE753" w:rsidR="00CB0616" w:rsidRDefault="00FD4103" w:rsidP="002A6C05">
      <w:pPr>
        <w:pStyle w:val="Heading3"/>
      </w:pPr>
      <w:r>
        <w:t>Higher i</w:t>
      </w:r>
      <w:r w:rsidR="00B61713">
        <w:t xml:space="preserve">nflation </w:t>
      </w:r>
      <w:r>
        <w:t xml:space="preserve">in 2025 </w:t>
      </w:r>
      <w:r w:rsidR="00B61713">
        <w:t>suggest</w:t>
      </w:r>
      <w:r>
        <w:t>s</w:t>
      </w:r>
      <w:r w:rsidR="000A69C0">
        <w:t xml:space="preserve"> the BoE will loosen policy</w:t>
      </w:r>
      <w:r>
        <w:t xml:space="preserve"> </w:t>
      </w:r>
      <w:r w:rsidR="000A69C0">
        <w:t>cautiously</w:t>
      </w:r>
    </w:p>
    <w:p w14:paraId="431E87AF" w14:textId="74B0DFD9" w:rsidR="00FB710C" w:rsidRDefault="00527E67" w:rsidP="00FB710C">
      <w:r>
        <w:t>A</w:t>
      </w:r>
      <w:r w:rsidR="00B404D6">
        <w:t xml:space="preserve">fter inflation has returned to the 2% target, </w:t>
      </w:r>
      <w:r w:rsidR="00BD3863">
        <w:t xml:space="preserve">we see </w:t>
      </w:r>
      <w:r w:rsidR="00B404D6">
        <w:t xml:space="preserve">it </w:t>
      </w:r>
      <w:r w:rsidR="00456D48">
        <w:t>falling</w:t>
      </w:r>
      <w:r w:rsidR="00BD3863">
        <w:t xml:space="preserve"> </w:t>
      </w:r>
      <w:r w:rsidR="00B404D6">
        <w:t xml:space="preserve">further </w:t>
      </w:r>
      <w:r w:rsidR="00621AE8">
        <w:t xml:space="preserve">in the summer </w:t>
      </w:r>
      <w:r w:rsidR="00BD3863">
        <w:t>and remain</w:t>
      </w:r>
      <w:r w:rsidR="00130973">
        <w:t>ing below the BoE's 2% target for the rest of this year.</w:t>
      </w:r>
      <w:r w:rsidR="00553433">
        <w:t xml:space="preserve"> However, </w:t>
      </w:r>
      <w:r w:rsidR="00817B74">
        <w:t xml:space="preserve">the downward pressures from energy </w:t>
      </w:r>
      <w:r w:rsidR="000345F8">
        <w:t xml:space="preserve">and food </w:t>
      </w:r>
      <w:r w:rsidR="00817B74">
        <w:t>prices</w:t>
      </w:r>
      <w:r w:rsidR="0082694D">
        <w:t xml:space="preserve"> </w:t>
      </w:r>
      <w:r w:rsidR="000345F8">
        <w:t>are</w:t>
      </w:r>
      <w:r w:rsidR="00B7767E">
        <w:t xml:space="preserve"> likely to prove temporary. As they </w:t>
      </w:r>
      <w:r w:rsidR="0082694D">
        <w:t>fade</w:t>
      </w:r>
      <w:r w:rsidR="00610D24">
        <w:t xml:space="preserve">, </w:t>
      </w:r>
      <w:r w:rsidR="00653EAB">
        <w:t>still-</w:t>
      </w:r>
      <w:r w:rsidR="00610D24">
        <w:t xml:space="preserve">strong </w:t>
      </w:r>
      <w:r w:rsidR="00653EAB">
        <w:t xml:space="preserve">services inflation, </w:t>
      </w:r>
      <w:r w:rsidR="00312551">
        <w:t xml:space="preserve">supported by </w:t>
      </w:r>
      <w:r w:rsidR="00B7767E">
        <w:t>sticky</w:t>
      </w:r>
      <w:r w:rsidR="00312551">
        <w:t xml:space="preserve"> pay growth, is expected to push</w:t>
      </w:r>
      <w:r w:rsidR="00CB57FD">
        <w:t xml:space="preserve"> inflation </w:t>
      </w:r>
      <w:r w:rsidR="00D234E1">
        <w:t>slightly</w:t>
      </w:r>
      <w:r w:rsidR="00CB57FD">
        <w:t xml:space="preserve"> above </w:t>
      </w:r>
      <w:r w:rsidR="007D0AC7">
        <w:t xml:space="preserve">2% </w:t>
      </w:r>
      <w:r w:rsidR="00BE6571">
        <w:t xml:space="preserve">in </w:t>
      </w:r>
      <w:r w:rsidR="00CB57FD">
        <w:t>2025.</w:t>
      </w:r>
      <w:r w:rsidR="00FB710C" w:rsidRPr="00FB710C">
        <w:t xml:space="preserve"> </w:t>
      </w:r>
    </w:p>
    <w:p w14:paraId="09A17194" w14:textId="7E2ADB61" w:rsidR="00442008" w:rsidRDefault="00781738" w:rsidP="00442008">
      <w:hyperlink r:id="rId24" w:history="1">
        <w:r w:rsidR="00E66818" w:rsidRPr="009A4B77">
          <w:rPr>
            <w:rStyle w:val="Hyperlink"/>
          </w:rPr>
          <w:t xml:space="preserve">The </w:t>
        </w:r>
        <w:r w:rsidR="00527E67" w:rsidRPr="00527E67">
          <w:rPr>
            <w:rStyle w:val="Hyperlink"/>
          </w:rPr>
          <w:t xml:space="preserve">Monetary Policy Committee </w:t>
        </w:r>
        <w:r w:rsidR="00E66818" w:rsidRPr="009A4B77">
          <w:rPr>
            <w:rStyle w:val="Hyperlink"/>
          </w:rPr>
          <w:t>have signalled</w:t>
        </w:r>
      </w:hyperlink>
      <w:r w:rsidR="00E66818">
        <w:t xml:space="preserve"> that the </w:t>
      </w:r>
      <w:r w:rsidR="00275211">
        <w:t>first rate cut is drawing closer, but that further evidence of cooling services inflation and private</w:t>
      </w:r>
      <w:r w:rsidR="001A06DF">
        <w:t xml:space="preserve"> </w:t>
      </w:r>
      <w:r w:rsidR="00275211">
        <w:t xml:space="preserve">sector pay growth </w:t>
      </w:r>
      <w:r w:rsidR="005D0643">
        <w:t xml:space="preserve">will be needed before </w:t>
      </w:r>
      <w:r w:rsidR="000F3EE6">
        <w:t>the majority</w:t>
      </w:r>
      <w:r w:rsidR="0004376F">
        <w:t xml:space="preserve"> are prepared </w:t>
      </w:r>
      <w:r w:rsidR="00377BB4">
        <w:t>to</w:t>
      </w:r>
      <w:r w:rsidR="0004376F">
        <w:t xml:space="preserve"> loose</w:t>
      </w:r>
      <w:r w:rsidR="00377BB4">
        <w:t>n</w:t>
      </w:r>
      <w:r w:rsidR="0004376F">
        <w:t xml:space="preserve"> policy. </w:t>
      </w:r>
      <w:r w:rsidR="00090080">
        <w:t xml:space="preserve">We </w:t>
      </w:r>
      <w:r w:rsidR="005B63FC">
        <w:t xml:space="preserve">see April's data as </w:t>
      </w:r>
      <w:r w:rsidR="006B6CBA">
        <w:t xml:space="preserve">pivotal for the timing of the first rate cut. </w:t>
      </w:r>
      <w:r w:rsidR="00A86DF3">
        <w:t>If we</w:t>
      </w:r>
      <w:r w:rsidR="00527E67">
        <w:t xml:space="preserve"> a</w:t>
      </w:r>
      <w:r w:rsidR="00A86DF3">
        <w:t xml:space="preserve">re right that </w:t>
      </w:r>
      <w:r w:rsidR="00527E67">
        <w:t xml:space="preserve">the </w:t>
      </w:r>
      <w:r w:rsidR="00D51D22">
        <w:t xml:space="preserve">annual indexation in services prices </w:t>
      </w:r>
      <w:r w:rsidR="00F073C8">
        <w:t xml:space="preserve">will </w:t>
      </w:r>
      <w:r w:rsidR="00D51D22">
        <w:t xml:space="preserve">be much lower </w:t>
      </w:r>
      <w:r w:rsidR="00411C22">
        <w:t xml:space="preserve">this year, </w:t>
      </w:r>
      <w:r w:rsidR="00F073C8">
        <w:t xml:space="preserve">this </w:t>
      </w:r>
      <w:r w:rsidR="00411C22">
        <w:t xml:space="preserve">should provide the committee with some reassurance </w:t>
      </w:r>
      <w:r w:rsidR="001A16BE">
        <w:t xml:space="preserve">over the stickiness of core inflation. Similarly, </w:t>
      </w:r>
      <w:r w:rsidR="00036177">
        <w:t xml:space="preserve">if pay growth remains on a downward trajectory </w:t>
      </w:r>
      <w:r w:rsidR="00510628">
        <w:t>in April</w:t>
      </w:r>
      <w:r w:rsidR="00C3513E">
        <w:t xml:space="preserve">, consistent with the </w:t>
      </w:r>
      <w:r w:rsidR="008626AB">
        <w:t xml:space="preserve">early signals </w:t>
      </w:r>
      <w:r w:rsidR="00C3513E">
        <w:t>from our</w:t>
      </w:r>
      <w:r w:rsidR="008626AB">
        <w:t xml:space="preserve"> wage</w:t>
      </w:r>
      <w:r w:rsidR="00C3513E">
        <w:t xml:space="preserve"> nowcast</w:t>
      </w:r>
      <w:r w:rsidR="005D10E2">
        <w:t xml:space="preserve"> and</w:t>
      </w:r>
      <w:r w:rsidR="00016C3C">
        <w:t xml:space="preserve"> </w:t>
      </w:r>
      <w:r w:rsidR="00F073C8">
        <w:t>despite the large increase in the national living wage</w:t>
      </w:r>
      <w:r w:rsidR="00016C3C">
        <w:t>,</w:t>
      </w:r>
      <w:r w:rsidR="00510628">
        <w:t xml:space="preserve"> then this will reduce concerns about the strength of second-round effects</w:t>
      </w:r>
      <w:r w:rsidR="008C03AB">
        <w:t>.</w:t>
      </w:r>
      <w:r w:rsidR="00442008">
        <w:t xml:space="preserve"> The MPC will have both datapoints in June, so we expect </w:t>
      </w:r>
      <w:r w:rsidR="00016C3C">
        <w:t xml:space="preserve">the first rate cut will come </w:t>
      </w:r>
      <w:r w:rsidR="00442008">
        <w:t>at that meeting</w:t>
      </w:r>
      <w:r w:rsidR="006731D6">
        <w:t>.</w:t>
      </w:r>
    </w:p>
    <w:p w14:paraId="57AB15E4" w14:textId="31B22C4E" w:rsidR="00D9397B" w:rsidRDefault="006731D6" w:rsidP="00442008">
      <w:r>
        <w:t xml:space="preserve">However, </w:t>
      </w:r>
      <w:r w:rsidR="00117AC3">
        <w:t xml:space="preserve">given the </w:t>
      </w:r>
      <w:r w:rsidR="00843979">
        <w:t xml:space="preserve">likely </w:t>
      </w:r>
      <w:r w:rsidR="00117AC3">
        <w:t>transitory nature of the fall</w:t>
      </w:r>
      <w:r w:rsidR="00843979">
        <w:t>s</w:t>
      </w:r>
      <w:r w:rsidR="00117AC3">
        <w:t xml:space="preserve"> in </w:t>
      </w:r>
      <w:r w:rsidR="00843979">
        <w:t xml:space="preserve">food and energy </w:t>
      </w:r>
      <w:r w:rsidR="00117AC3">
        <w:t>inflation,</w:t>
      </w:r>
      <w:r w:rsidR="001C759A">
        <w:t xml:space="preserve"> our forecast </w:t>
      </w:r>
      <w:r w:rsidR="000B7600">
        <w:t xml:space="preserve">backs the MPC's </w:t>
      </w:r>
      <w:r w:rsidR="00843979">
        <w:t xml:space="preserve">recent </w:t>
      </w:r>
      <w:r w:rsidR="000B7600">
        <w:t xml:space="preserve">focus on core inflation. </w:t>
      </w:r>
      <w:r w:rsidR="00EE33B4">
        <w:t>W</w:t>
      </w:r>
      <w:r w:rsidR="003100C5">
        <w:t xml:space="preserve">e think </w:t>
      </w:r>
      <w:r w:rsidR="00EE33B4">
        <w:t xml:space="preserve">the stickiness of core inflation will lead </w:t>
      </w:r>
      <w:r w:rsidR="009A4616">
        <w:t xml:space="preserve">the BoE </w:t>
      </w:r>
      <w:r w:rsidR="00EE33B4">
        <w:t>to</w:t>
      </w:r>
      <w:r w:rsidR="009A4616">
        <w:t xml:space="preserve"> loosen policy cautiously</w:t>
      </w:r>
      <w:r w:rsidR="00EB1A06">
        <w:t xml:space="preserve"> </w:t>
      </w:r>
      <w:r w:rsidR="00B33069">
        <w:t>with just</w:t>
      </w:r>
      <w:r w:rsidR="009A4616">
        <w:t xml:space="preserve"> two </w:t>
      </w:r>
      <w:r w:rsidR="00B33069">
        <w:t>additional</w:t>
      </w:r>
      <w:r w:rsidR="009A4616">
        <w:t xml:space="preserve"> </w:t>
      </w:r>
      <w:r w:rsidR="00EB1A06">
        <w:t xml:space="preserve">25bps </w:t>
      </w:r>
      <w:r w:rsidR="00B33069">
        <w:t xml:space="preserve">cuts </w:t>
      </w:r>
      <w:r w:rsidR="00DA2B5B">
        <w:t>in 2024. This would take Bank Rate to 4.5% by the end of 2024. Moreover, we continue</w:t>
      </w:r>
      <w:r w:rsidR="00272567">
        <w:t xml:space="preserve"> to</w:t>
      </w:r>
      <w:r w:rsidR="00DA2B5B">
        <w:t xml:space="preserve"> </w:t>
      </w:r>
      <w:r w:rsidR="007B478E">
        <w:t>view the risks as skewed towards the first cut coming later and the pace of rate cuts being slower.</w:t>
      </w:r>
    </w:p>
    <w:sectPr w:rsidR="00D9397B" w:rsidSect="00401E9A">
      <w:pgSz w:w="11906" w:h="16838"/>
      <w:pgMar w:top="1417" w:right="1276" w:bottom="81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61504" w14:textId="77777777" w:rsidR="00F12C4F" w:rsidRDefault="00F12C4F" w:rsidP="00714DA3">
      <w:pPr>
        <w:spacing w:before="0" w:after="0"/>
      </w:pPr>
      <w:r>
        <w:separator/>
      </w:r>
    </w:p>
  </w:endnote>
  <w:endnote w:type="continuationSeparator" w:id="0">
    <w:p w14:paraId="60AF6253" w14:textId="77777777" w:rsidR="00F12C4F" w:rsidRDefault="00F12C4F" w:rsidP="00714DA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1C41E" w14:textId="449A0B8F" w:rsidR="00714DA3" w:rsidRPr="00714DA3" w:rsidRDefault="00714DA3" w:rsidP="00714DA3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Edward Allenby - eallenby@oxfordeconomics.com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D936A" w14:textId="350AF698" w:rsidR="00714DA3" w:rsidRDefault="00714DA3" w:rsidP="00714DA3">
    <w:pPr>
      <w:pStyle w:val="Author"/>
    </w:pPr>
    <w:r>
      <w:t>Edward Allenby</w:t>
    </w:r>
    <w:r w:rsidR="002A6C05">
      <w:t xml:space="preserve"> - </w:t>
    </w:r>
    <w:r>
      <w:t>UK Economist</w:t>
    </w:r>
    <w:r w:rsidR="002A6C05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04EFA" w14:textId="77777777" w:rsidR="00F12C4F" w:rsidRDefault="00F12C4F" w:rsidP="00714DA3">
      <w:pPr>
        <w:spacing w:before="0" w:after="0"/>
      </w:pPr>
      <w:r>
        <w:separator/>
      </w:r>
    </w:p>
  </w:footnote>
  <w:footnote w:type="continuationSeparator" w:id="0">
    <w:p w14:paraId="0853E606" w14:textId="77777777" w:rsidR="00F12C4F" w:rsidRDefault="00F12C4F" w:rsidP="00714DA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8C6DB" w14:textId="77777777" w:rsidR="00714DA3" w:rsidRDefault="00714DA3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658B4" w14:textId="68097435" w:rsidR="00714DA3" w:rsidRDefault="00714DA3" w:rsidP="00714DA3">
    <w:pPr>
      <w:pStyle w:val="Headline"/>
      <w:spacing w:before="120"/>
      <w:ind w:right="-1000"/>
    </w:pPr>
    <w:r w:rsidRPr="00714DA3">
      <w:rPr>
        <w:noProof/>
      </w:rPr>
      <w:drawing>
        <wp:anchor distT="0" distB="0" distL="114300" distR="114300" simplePos="0" relativeHeight="251658239" behindDoc="1" locked="1" layoutInCell="1" allowOverlap="1" wp14:anchorId="6AC92A05" wp14:editId="0C768FC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7" name="Picture 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7A7E">
      <w:t xml:space="preserve">Inflation to </w:t>
    </w:r>
    <w:r w:rsidR="00BB708F">
      <w:t>dip</w:t>
    </w:r>
    <w:r w:rsidR="00697A7E">
      <w:t xml:space="preserve"> below 2% in H2 2024, but </w:t>
    </w:r>
    <w:r w:rsidR="00EE4068">
      <w:t>rise slightly</w:t>
    </w:r>
    <w:r w:rsidR="00697A7E">
      <w:t xml:space="preserve"> in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901FD" w14:textId="0A317D64" w:rsidR="00714DA3" w:rsidRDefault="00714DA3" w:rsidP="00714DA3">
    <w:r w:rsidRPr="00714DA3">
      <w:rPr>
        <w:noProof/>
      </w:rPr>
      <w:drawing>
        <wp:anchor distT="0" distB="0" distL="114300" distR="114300" simplePos="0" relativeHeight="251659264" behindDoc="1" locked="1" layoutInCell="1" allowOverlap="1" wp14:anchorId="27A42DEF" wp14:editId="6FBB4916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8" name="Picture 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1733806600"/>
      <w:lock w:val="sdtLocked"/>
      <w:placeholder>
        <w:docPart w:val="DefaultPlaceholder_-1854013437"/>
      </w:placeholder>
      <w:date w:fullDate="2024-04-15T00:00:00Z">
        <w:dateFormat w:val="d MMMM yyyy"/>
        <w:lid w:val="en-GB"/>
        <w:storeMappedDataAs w:val="dateTime"/>
        <w:calendar w:val="gregorian"/>
      </w:date>
    </w:sdtPr>
    <w:sdtEndPr/>
    <w:sdtContent>
      <w:p w14:paraId="76EBDA4F" w14:textId="64BA34BB" w:rsidR="00714DA3" w:rsidRDefault="00714DA3" w:rsidP="00714DA3">
        <w:pPr>
          <w:pStyle w:val="PublishDate"/>
          <w:framePr w:w="2835" w:h="340" w:hRule="exact" w:hSpace="180" w:wrap="around" w:vAnchor="page" w:hAnchor="page" w:x="7801" w:y="601" w:anchorLock="1"/>
        </w:pPr>
        <w:r>
          <w:t>15 April 2024</w:t>
        </w:r>
      </w:p>
    </w:sdtContent>
  </w:sdt>
  <w:p w14:paraId="10E749FF" w14:textId="75EB5B33" w:rsidR="00714DA3" w:rsidRDefault="00714DA3" w:rsidP="00714DA3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492D4B40" w14:textId="1207EFCE" w:rsidR="00714DA3" w:rsidRDefault="00BC2E6C" w:rsidP="00714DA3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Inflation </w:t>
    </w:r>
    <w:r w:rsidR="003366D9">
      <w:t xml:space="preserve">to </w:t>
    </w:r>
    <w:r w:rsidR="00BB708F">
      <w:t>dip</w:t>
    </w:r>
    <w:r w:rsidR="003366D9">
      <w:t xml:space="preserve"> below 2%</w:t>
    </w:r>
    <w:r w:rsidR="003D4546">
      <w:t xml:space="preserve"> in H2 2024, but </w:t>
    </w:r>
    <w:r w:rsidR="00EE4068">
      <w:t>rise slightly</w:t>
    </w:r>
    <w:r w:rsidR="003D4546">
      <w:t xml:space="preserve"> in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7C288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D54A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222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6EB2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C4E3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6F21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88D6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DC6C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C2E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06B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631E12"/>
    <w:multiLevelType w:val="hybridMultilevel"/>
    <w:tmpl w:val="9EB8A598"/>
    <w:lvl w:ilvl="0" w:tplc="4AA61DF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66A5E"/>
    <w:multiLevelType w:val="hybridMultilevel"/>
    <w:tmpl w:val="ACE8EDBE"/>
    <w:lvl w:ilvl="0" w:tplc="88FEDC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6F32CF"/>
    <w:multiLevelType w:val="hybridMultilevel"/>
    <w:tmpl w:val="BE80DE78"/>
    <w:lvl w:ilvl="0" w:tplc="2ACE6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AF2819"/>
    <w:multiLevelType w:val="hybridMultilevel"/>
    <w:tmpl w:val="157C753A"/>
    <w:lvl w:ilvl="0" w:tplc="047AFB1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0809A8"/>
    <w:multiLevelType w:val="hybridMultilevel"/>
    <w:tmpl w:val="5A90D112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12899"/>
    <w:multiLevelType w:val="hybridMultilevel"/>
    <w:tmpl w:val="80E44722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27C37"/>
    <w:multiLevelType w:val="hybridMultilevel"/>
    <w:tmpl w:val="2BB0871A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B14A7F"/>
    <w:multiLevelType w:val="hybridMultilevel"/>
    <w:tmpl w:val="5FC0DC60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D68A8"/>
    <w:multiLevelType w:val="hybridMultilevel"/>
    <w:tmpl w:val="C1EC2B32"/>
    <w:lvl w:ilvl="0" w:tplc="88E8C1B2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  <w:color w:val="3D4D79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 w15:restartNumberingAfterBreak="0">
    <w:nsid w:val="2937580B"/>
    <w:multiLevelType w:val="hybridMultilevel"/>
    <w:tmpl w:val="EB047A7C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249EA"/>
    <w:multiLevelType w:val="hybridMultilevel"/>
    <w:tmpl w:val="8CAAC5DC"/>
    <w:lvl w:ilvl="0" w:tplc="9CB8E80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F448B"/>
    <w:multiLevelType w:val="hybridMultilevel"/>
    <w:tmpl w:val="7F02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C6CA2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67277C7"/>
    <w:multiLevelType w:val="hybridMultilevel"/>
    <w:tmpl w:val="D158A6DA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E539D0"/>
    <w:multiLevelType w:val="hybridMultilevel"/>
    <w:tmpl w:val="42541D1C"/>
    <w:lvl w:ilvl="0" w:tplc="60121A1E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FE14C4"/>
    <w:multiLevelType w:val="hybridMultilevel"/>
    <w:tmpl w:val="C9484A32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EB67AD"/>
    <w:multiLevelType w:val="hybridMultilevel"/>
    <w:tmpl w:val="44E8EBD6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EC682A"/>
    <w:multiLevelType w:val="hybridMultilevel"/>
    <w:tmpl w:val="9EE8CC52"/>
    <w:lvl w:ilvl="0" w:tplc="797642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541FD"/>
    <w:multiLevelType w:val="hybridMultilevel"/>
    <w:tmpl w:val="9574031A"/>
    <w:lvl w:ilvl="0" w:tplc="3C4A3C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0C224E"/>
    <w:multiLevelType w:val="hybridMultilevel"/>
    <w:tmpl w:val="656E90C8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ED3B55"/>
    <w:multiLevelType w:val="hybridMultilevel"/>
    <w:tmpl w:val="DF6E0320"/>
    <w:lvl w:ilvl="0" w:tplc="EE083EF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714373"/>
    <w:multiLevelType w:val="hybridMultilevel"/>
    <w:tmpl w:val="C3145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162A0F"/>
    <w:multiLevelType w:val="hybridMultilevel"/>
    <w:tmpl w:val="62FAAB68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775CD"/>
    <w:multiLevelType w:val="hybridMultilevel"/>
    <w:tmpl w:val="6B0E6210"/>
    <w:lvl w:ilvl="0" w:tplc="6AA6C10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934573"/>
    <w:multiLevelType w:val="multilevel"/>
    <w:tmpl w:val="B352DD0C"/>
    <w:lvl w:ilvl="0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71A5AA8"/>
    <w:multiLevelType w:val="hybridMultilevel"/>
    <w:tmpl w:val="53EE3E6E"/>
    <w:lvl w:ilvl="0" w:tplc="1C6A6FC0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A20213"/>
    <w:multiLevelType w:val="hybridMultilevel"/>
    <w:tmpl w:val="8E3294BA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321EE"/>
    <w:multiLevelType w:val="hybridMultilevel"/>
    <w:tmpl w:val="B3986AB2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1" w15:restartNumberingAfterBreak="0">
    <w:nsid w:val="646D6F89"/>
    <w:multiLevelType w:val="hybridMultilevel"/>
    <w:tmpl w:val="3602343A"/>
    <w:lvl w:ilvl="0" w:tplc="B3C29B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843C1"/>
    <w:multiLevelType w:val="hybridMultilevel"/>
    <w:tmpl w:val="EC5AE4DA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13A18"/>
    <w:multiLevelType w:val="hybridMultilevel"/>
    <w:tmpl w:val="FB104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6FB00AB4"/>
    <w:multiLevelType w:val="hybridMultilevel"/>
    <w:tmpl w:val="A8CC42E2"/>
    <w:lvl w:ilvl="0" w:tplc="71A6902E">
      <w:start w:val="1"/>
      <w:numFmt w:val="bullet"/>
      <w:lvlRestart w:val="0"/>
      <w:lvlText w:val=""/>
      <w:lvlJc w:val="left"/>
      <w:pPr>
        <w:ind w:left="436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6" w15:restartNumberingAfterBreak="0">
    <w:nsid w:val="6FE038AD"/>
    <w:multiLevelType w:val="hybridMultilevel"/>
    <w:tmpl w:val="2C2026B0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473CBD"/>
    <w:multiLevelType w:val="hybridMultilevel"/>
    <w:tmpl w:val="CE008BB4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1E78D7"/>
    <w:multiLevelType w:val="hybridMultilevel"/>
    <w:tmpl w:val="250EEE86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716314">
    <w:abstractNumId w:val="34"/>
  </w:num>
  <w:num w:numId="2" w16cid:durableId="552084720">
    <w:abstractNumId w:val="24"/>
  </w:num>
  <w:num w:numId="3" w16cid:durableId="1424766355">
    <w:abstractNumId w:val="26"/>
  </w:num>
  <w:num w:numId="4" w16cid:durableId="124586254">
    <w:abstractNumId w:val="19"/>
  </w:num>
  <w:num w:numId="5" w16cid:durableId="90047731">
    <w:abstractNumId w:val="21"/>
  </w:num>
  <w:num w:numId="6" w16cid:durableId="2130587631">
    <w:abstractNumId w:val="28"/>
  </w:num>
  <w:num w:numId="7" w16cid:durableId="369034180">
    <w:abstractNumId w:val="42"/>
  </w:num>
  <w:num w:numId="8" w16cid:durableId="725881274">
    <w:abstractNumId w:val="15"/>
  </w:num>
  <w:num w:numId="9" w16cid:durableId="797718356">
    <w:abstractNumId w:val="43"/>
  </w:num>
  <w:num w:numId="10" w16cid:durableId="1661233762">
    <w:abstractNumId w:val="12"/>
  </w:num>
  <w:num w:numId="11" w16cid:durableId="29887874">
    <w:abstractNumId w:val="29"/>
  </w:num>
  <w:num w:numId="12" w16cid:durableId="2008750960">
    <w:abstractNumId w:val="39"/>
  </w:num>
  <w:num w:numId="13" w16cid:durableId="1617254127">
    <w:abstractNumId w:val="17"/>
  </w:num>
  <w:num w:numId="14" w16cid:durableId="1414551255">
    <w:abstractNumId w:val="46"/>
  </w:num>
  <w:num w:numId="15" w16cid:durableId="936213012">
    <w:abstractNumId w:val="35"/>
  </w:num>
  <w:num w:numId="16" w16cid:durableId="558830933">
    <w:abstractNumId w:val="32"/>
  </w:num>
  <w:num w:numId="17" w16cid:durableId="379984570">
    <w:abstractNumId w:val="18"/>
  </w:num>
  <w:num w:numId="18" w16cid:durableId="70081481">
    <w:abstractNumId w:val="16"/>
  </w:num>
  <w:num w:numId="19" w16cid:durableId="1765684171">
    <w:abstractNumId w:val="47"/>
  </w:num>
  <w:num w:numId="20" w16cid:durableId="769397015">
    <w:abstractNumId w:val="48"/>
  </w:num>
  <w:num w:numId="21" w16cid:durableId="1686637644">
    <w:abstractNumId w:val="9"/>
  </w:num>
  <w:num w:numId="22" w16cid:durableId="1947106431">
    <w:abstractNumId w:val="7"/>
  </w:num>
  <w:num w:numId="23" w16cid:durableId="2018460576">
    <w:abstractNumId w:val="6"/>
  </w:num>
  <w:num w:numId="24" w16cid:durableId="538052541">
    <w:abstractNumId w:val="5"/>
  </w:num>
  <w:num w:numId="25" w16cid:durableId="417403784">
    <w:abstractNumId w:val="4"/>
  </w:num>
  <w:num w:numId="26" w16cid:durableId="2085640086">
    <w:abstractNumId w:val="8"/>
  </w:num>
  <w:num w:numId="27" w16cid:durableId="1804687089">
    <w:abstractNumId w:val="3"/>
  </w:num>
  <w:num w:numId="28" w16cid:durableId="347023273">
    <w:abstractNumId w:val="2"/>
  </w:num>
  <w:num w:numId="29" w16cid:durableId="1100297588">
    <w:abstractNumId w:val="1"/>
  </w:num>
  <w:num w:numId="30" w16cid:durableId="1625118009">
    <w:abstractNumId w:val="0"/>
  </w:num>
  <w:num w:numId="31" w16cid:durableId="1068381547">
    <w:abstractNumId w:val="40"/>
  </w:num>
  <w:num w:numId="32" w16cid:durableId="210044837">
    <w:abstractNumId w:val="45"/>
  </w:num>
  <w:num w:numId="33" w16cid:durableId="2032683006">
    <w:abstractNumId w:val="20"/>
  </w:num>
  <w:num w:numId="34" w16cid:durableId="428502900">
    <w:abstractNumId w:val="23"/>
  </w:num>
  <w:num w:numId="35" w16cid:durableId="155536385">
    <w:abstractNumId w:val="14"/>
  </w:num>
  <w:num w:numId="36" w16cid:durableId="2004697868">
    <w:abstractNumId w:val="31"/>
  </w:num>
  <w:num w:numId="37" w16cid:durableId="1522085559">
    <w:abstractNumId w:val="13"/>
  </w:num>
  <w:num w:numId="38" w16cid:durableId="1533372907">
    <w:abstractNumId w:val="30"/>
  </w:num>
  <w:num w:numId="39" w16cid:durableId="1024676470">
    <w:abstractNumId w:val="27"/>
  </w:num>
  <w:num w:numId="40" w16cid:durableId="1288438401">
    <w:abstractNumId w:val="38"/>
  </w:num>
  <w:num w:numId="41" w16cid:durableId="745107586">
    <w:abstractNumId w:val="22"/>
  </w:num>
  <w:num w:numId="42" w16cid:durableId="2069062484">
    <w:abstractNumId w:val="33"/>
  </w:num>
  <w:num w:numId="43" w16cid:durableId="1402095001">
    <w:abstractNumId w:val="36"/>
  </w:num>
  <w:num w:numId="44" w16cid:durableId="801922756">
    <w:abstractNumId w:val="11"/>
  </w:num>
  <w:num w:numId="45" w16cid:durableId="2074311132">
    <w:abstractNumId w:val="11"/>
    <w:lvlOverride w:ilvl="0">
      <w:startOverride w:val="1"/>
    </w:lvlOverride>
  </w:num>
  <w:num w:numId="46" w16cid:durableId="693043412">
    <w:abstractNumId w:val="44"/>
  </w:num>
  <w:num w:numId="47" w16cid:durableId="1702238850">
    <w:abstractNumId w:val="41"/>
  </w:num>
  <w:num w:numId="48" w16cid:durableId="519860276">
    <w:abstractNumId w:val="37"/>
  </w:num>
  <w:num w:numId="49" w16cid:durableId="1053581998">
    <w:abstractNumId w:val="25"/>
  </w:num>
  <w:num w:numId="50" w16cid:durableId="1362646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A3"/>
    <w:rsid w:val="0000089E"/>
    <w:rsid w:val="000026DA"/>
    <w:rsid w:val="00004E16"/>
    <w:rsid w:val="0001245C"/>
    <w:rsid w:val="00012E82"/>
    <w:rsid w:val="00015448"/>
    <w:rsid w:val="00016C3C"/>
    <w:rsid w:val="0002075A"/>
    <w:rsid w:val="00020A86"/>
    <w:rsid w:val="00020A96"/>
    <w:rsid w:val="0002349E"/>
    <w:rsid w:val="000308C8"/>
    <w:rsid w:val="00032B44"/>
    <w:rsid w:val="00034272"/>
    <w:rsid w:val="000345F8"/>
    <w:rsid w:val="00034BE1"/>
    <w:rsid w:val="00036177"/>
    <w:rsid w:val="00036DA2"/>
    <w:rsid w:val="000376E8"/>
    <w:rsid w:val="0004376F"/>
    <w:rsid w:val="00045CF9"/>
    <w:rsid w:val="00045D4B"/>
    <w:rsid w:val="000472D5"/>
    <w:rsid w:val="000550C4"/>
    <w:rsid w:val="00061D02"/>
    <w:rsid w:val="000620A6"/>
    <w:rsid w:val="0006316A"/>
    <w:rsid w:val="0006362B"/>
    <w:rsid w:val="00065054"/>
    <w:rsid w:val="0006720F"/>
    <w:rsid w:val="00072F81"/>
    <w:rsid w:val="00075C9C"/>
    <w:rsid w:val="00080085"/>
    <w:rsid w:val="00090080"/>
    <w:rsid w:val="000916E9"/>
    <w:rsid w:val="00092EB4"/>
    <w:rsid w:val="000A1224"/>
    <w:rsid w:val="000A2326"/>
    <w:rsid w:val="000A2338"/>
    <w:rsid w:val="000A6015"/>
    <w:rsid w:val="000A69C0"/>
    <w:rsid w:val="000B17B0"/>
    <w:rsid w:val="000B23D3"/>
    <w:rsid w:val="000B408B"/>
    <w:rsid w:val="000B4914"/>
    <w:rsid w:val="000B7600"/>
    <w:rsid w:val="000C5ADF"/>
    <w:rsid w:val="000D3760"/>
    <w:rsid w:val="000E4E36"/>
    <w:rsid w:val="000F06E2"/>
    <w:rsid w:val="000F3EE6"/>
    <w:rsid w:val="000F549C"/>
    <w:rsid w:val="00100B2D"/>
    <w:rsid w:val="00100DDC"/>
    <w:rsid w:val="00102C2D"/>
    <w:rsid w:val="001046EB"/>
    <w:rsid w:val="00105B07"/>
    <w:rsid w:val="00111D78"/>
    <w:rsid w:val="00111DFD"/>
    <w:rsid w:val="00113E4B"/>
    <w:rsid w:val="00113F7C"/>
    <w:rsid w:val="00117AC3"/>
    <w:rsid w:val="001200F2"/>
    <w:rsid w:val="0012202D"/>
    <w:rsid w:val="00130973"/>
    <w:rsid w:val="001310C9"/>
    <w:rsid w:val="00132959"/>
    <w:rsid w:val="001330AE"/>
    <w:rsid w:val="00134182"/>
    <w:rsid w:val="00135F48"/>
    <w:rsid w:val="001369CB"/>
    <w:rsid w:val="00140457"/>
    <w:rsid w:val="00140BAD"/>
    <w:rsid w:val="00141B7C"/>
    <w:rsid w:val="00142856"/>
    <w:rsid w:val="00144A41"/>
    <w:rsid w:val="00145057"/>
    <w:rsid w:val="00151CF8"/>
    <w:rsid w:val="00152939"/>
    <w:rsid w:val="001561F7"/>
    <w:rsid w:val="00160CB6"/>
    <w:rsid w:val="001649A1"/>
    <w:rsid w:val="00164CD3"/>
    <w:rsid w:val="00167292"/>
    <w:rsid w:val="00170979"/>
    <w:rsid w:val="00175E3A"/>
    <w:rsid w:val="00181F46"/>
    <w:rsid w:val="0018659A"/>
    <w:rsid w:val="00191957"/>
    <w:rsid w:val="001A06DF"/>
    <w:rsid w:val="001A13F9"/>
    <w:rsid w:val="001A16BE"/>
    <w:rsid w:val="001A2071"/>
    <w:rsid w:val="001A595D"/>
    <w:rsid w:val="001A7760"/>
    <w:rsid w:val="001A7DD4"/>
    <w:rsid w:val="001B1634"/>
    <w:rsid w:val="001B40CE"/>
    <w:rsid w:val="001C0609"/>
    <w:rsid w:val="001C346E"/>
    <w:rsid w:val="001C482A"/>
    <w:rsid w:val="001C759A"/>
    <w:rsid w:val="001D5C7C"/>
    <w:rsid w:val="001E10B2"/>
    <w:rsid w:val="001E1287"/>
    <w:rsid w:val="001F30D1"/>
    <w:rsid w:val="001F5161"/>
    <w:rsid w:val="001F58A8"/>
    <w:rsid w:val="002001E4"/>
    <w:rsid w:val="00204B5B"/>
    <w:rsid w:val="002122A1"/>
    <w:rsid w:val="00214C63"/>
    <w:rsid w:val="00215FE9"/>
    <w:rsid w:val="00216E16"/>
    <w:rsid w:val="00220299"/>
    <w:rsid w:val="002202BF"/>
    <w:rsid w:val="0023051A"/>
    <w:rsid w:val="00231F9A"/>
    <w:rsid w:val="0023221D"/>
    <w:rsid w:val="00234DAB"/>
    <w:rsid w:val="002350B6"/>
    <w:rsid w:val="00235C14"/>
    <w:rsid w:val="002365A4"/>
    <w:rsid w:val="0024580D"/>
    <w:rsid w:val="00250F16"/>
    <w:rsid w:val="00251897"/>
    <w:rsid w:val="00256032"/>
    <w:rsid w:val="00256282"/>
    <w:rsid w:val="00260F7F"/>
    <w:rsid w:val="00267AB7"/>
    <w:rsid w:val="002706F1"/>
    <w:rsid w:val="00272567"/>
    <w:rsid w:val="00272FB2"/>
    <w:rsid w:val="00273BDA"/>
    <w:rsid w:val="00275211"/>
    <w:rsid w:val="00275583"/>
    <w:rsid w:val="00281600"/>
    <w:rsid w:val="00281E5F"/>
    <w:rsid w:val="002843EB"/>
    <w:rsid w:val="00284CD7"/>
    <w:rsid w:val="00286D82"/>
    <w:rsid w:val="00287485"/>
    <w:rsid w:val="00290065"/>
    <w:rsid w:val="002909B0"/>
    <w:rsid w:val="00294C82"/>
    <w:rsid w:val="00295493"/>
    <w:rsid w:val="00297C99"/>
    <w:rsid w:val="002A0069"/>
    <w:rsid w:val="002A6C05"/>
    <w:rsid w:val="002B287E"/>
    <w:rsid w:val="002B718C"/>
    <w:rsid w:val="002C2C36"/>
    <w:rsid w:val="002C31F3"/>
    <w:rsid w:val="002C7FFA"/>
    <w:rsid w:val="002D00BF"/>
    <w:rsid w:val="002D135E"/>
    <w:rsid w:val="002D4ADD"/>
    <w:rsid w:val="002E1607"/>
    <w:rsid w:val="002E2D58"/>
    <w:rsid w:val="002E3EFE"/>
    <w:rsid w:val="002E6BE5"/>
    <w:rsid w:val="002F2EE8"/>
    <w:rsid w:val="002F6DC6"/>
    <w:rsid w:val="003004B2"/>
    <w:rsid w:val="00300FAB"/>
    <w:rsid w:val="0030599E"/>
    <w:rsid w:val="00306834"/>
    <w:rsid w:val="00306940"/>
    <w:rsid w:val="003100C5"/>
    <w:rsid w:val="00310A98"/>
    <w:rsid w:val="00312551"/>
    <w:rsid w:val="00312A37"/>
    <w:rsid w:val="003147D5"/>
    <w:rsid w:val="00314D91"/>
    <w:rsid w:val="003151EE"/>
    <w:rsid w:val="00315ED3"/>
    <w:rsid w:val="0032076B"/>
    <w:rsid w:val="00320E28"/>
    <w:rsid w:val="00324D2E"/>
    <w:rsid w:val="0032506E"/>
    <w:rsid w:val="003323BB"/>
    <w:rsid w:val="00334106"/>
    <w:rsid w:val="003366D9"/>
    <w:rsid w:val="003367AB"/>
    <w:rsid w:val="003372D8"/>
    <w:rsid w:val="00341129"/>
    <w:rsid w:val="00341C07"/>
    <w:rsid w:val="0034287E"/>
    <w:rsid w:val="00351CA2"/>
    <w:rsid w:val="00354C07"/>
    <w:rsid w:val="00356430"/>
    <w:rsid w:val="00356DA4"/>
    <w:rsid w:val="00357820"/>
    <w:rsid w:val="003610A2"/>
    <w:rsid w:val="0036443E"/>
    <w:rsid w:val="003648EB"/>
    <w:rsid w:val="003708CD"/>
    <w:rsid w:val="00375843"/>
    <w:rsid w:val="003758D8"/>
    <w:rsid w:val="00377BB4"/>
    <w:rsid w:val="00382750"/>
    <w:rsid w:val="00383C7A"/>
    <w:rsid w:val="00390420"/>
    <w:rsid w:val="00395793"/>
    <w:rsid w:val="003A0BFF"/>
    <w:rsid w:val="003A6DA9"/>
    <w:rsid w:val="003A71E9"/>
    <w:rsid w:val="003B2E3A"/>
    <w:rsid w:val="003B6C6F"/>
    <w:rsid w:val="003C03C4"/>
    <w:rsid w:val="003C1905"/>
    <w:rsid w:val="003C5756"/>
    <w:rsid w:val="003D4546"/>
    <w:rsid w:val="003E108E"/>
    <w:rsid w:val="003E4046"/>
    <w:rsid w:val="003E620F"/>
    <w:rsid w:val="003E68BE"/>
    <w:rsid w:val="003F5085"/>
    <w:rsid w:val="003F576E"/>
    <w:rsid w:val="00401E9A"/>
    <w:rsid w:val="004024B7"/>
    <w:rsid w:val="00411396"/>
    <w:rsid w:val="00411C22"/>
    <w:rsid w:val="00412C20"/>
    <w:rsid w:val="00412E95"/>
    <w:rsid w:val="004237AB"/>
    <w:rsid w:val="00425C20"/>
    <w:rsid w:val="00431095"/>
    <w:rsid w:val="0043692F"/>
    <w:rsid w:val="00442008"/>
    <w:rsid w:val="00442920"/>
    <w:rsid w:val="00443FD5"/>
    <w:rsid w:val="00447C67"/>
    <w:rsid w:val="00452F7D"/>
    <w:rsid w:val="004541D6"/>
    <w:rsid w:val="004549AA"/>
    <w:rsid w:val="00456D48"/>
    <w:rsid w:val="0046068F"/>
    <w:rsid w:val="00462142"/>
    <w:rsid w:val="00462B21"/>
    <w:rsid w:val="00471F75"/>
    <w:rsid w:val="004743F0"/>
    <w:rsid w:val="00493205"/>
    <w:rsid w:val="004A0973"/>
    <w:rsid w:val="004A2D43"/>
    <w:rsid w:val="004A5CDD"/>
    <w:rsid w:val="004A6ECB"/>
    <w:rsid w:val="004B5B73"/>
    <w:rsid w:val="004B6662"/>
    <w:rsid w:val="004B78EA"/>
    <w:rsid w:val="004D0C66"/>
    <w:rsid w:val="004D1472"/>
    <w:rsid w:val="004E04F9"/>
    <w:rsid w:val="004E1680"/>
    <w:rsid w:val="004E194B"/>
    <w:rsid w:val="004F00BF"/>
    <w:rsid w:val="004F0A0D"/>
    <w:rsid w:val="00500568"/>
    <w:rsid w:val="00502EA4"/>
    <w:rsid w:val="00503E0A"/>
    <w:rsid w:val="00505308"/>
    <w:rsid w:val="00507B55"/>
    <w:rsid w:val="00510628"/>
    <w:rsid w:val="00511544"/>
    <w:rsid w:val="00513307"/>
    <w:rsid w:val="005139E7"/>
    <w:rsid w:val="0051536C"/>
    <w:rsid w:val="005176EC"/>
    <w:rsid w:val="00521736"/>
    <w:rsid w:val="00521D52"/>
    <w:rsid w:val="00522580"/>
    <w:rsid w:val="005267D1"/>
    <w:rsid w:val="00527049"/>
    <w:rsid w:val="00527E67"/>
    <w:rsid w:val="005315BF"/>
    <w:rsid w:val="00540236"/>
    <w:rsid w:val="00541952"/>
    <w:rsid w:val="00551A1C"/>
    <w:rsid w:val="00551D95"/>
    <w:rsid w:val="0055247D"/>
    <w:rsid w:val="00553433"/>
    <w:rsid w:val="00553E71"/>
    <w:rsid w:val="00556160"/>
    <w:rsid w:val="00561341"/>
    <w:rsid w:val="00561EE9"/>
    <w:rsid w:val="00562312"/>
    <w:rsid w:val="0056430D"/>
    <w:rsid w:val="0056571C"/>
    <w:rsid w:val="00571D67"/>
    <w:rsid w:val="00583C27"/>
    <w:rsid w:val="00594638"/>
    <w:rsid w:val="00595435"/>
    <w:rsid w:val="005A03D3"/>
    <w:rsid w:val="005A08F9"/>
    <w:rsid w:val="005A3AB1"/>
    <w:rsid w:val="005A6048"/>
    <w:rsid w:val="005A694D"/>
    <w:rsid w:val="005B3502"/>
    <w:rsid w:val="005B594A"/>
    <w:rsid w:val="005B63FC"/>
    <w:rsid w:val="005B6CC4"/>
    <w:rsid w:val="005B718F"/>
    <w:rsid w:val="005B758B"/>
    <w:rsid w:val="005C4105"/>
    <w:rsid w:val="005C5C2C"/>
    <w:rsid w:val="005D0643"/>
    <w:rsid w:val="005D10E2"/>
    <w:rsid w:val="005D1B64"/>
    <w:rsid w:val="005F0744"/>
    <w:rsid w:val="005F09E5"/>
    <w:rsid w:val="005F1EFA"/>
    <w:rsid w:val="005F25DA"/>
    <w:rsid w:val="005F3DF5"/>
    <w:rsid w:val="005F3ECE"/>
    <w:rsid w:val="005F608E"/>
    <w:rsid w:val="005F6DAC"/>
    <w:rsid w:val="00604D98"/>
    <w:rsid w:val="00605AA7"/>
    <w:rsid w:val="00610D24"/>
    <w:rsid w:val="00612589"/>
    <w:rsid w:val="0061418A"/>
    <w:rsid w:val="00617B2C"/>
    <w:rsid w:val="0062103F"/>
    <w:rsid w:val="0062142C"/>
    <w:rsid w:val="00621AE8"/>
    <w:rsid w:val="00623082"/>
    <w:rsid w:val="006232A4"/>
    <w:rsid w:val="00627D62"/>
    <w:rsid w:val="0063301E"/>
    <w:rsid w:val="006414D2"/>
    <w:rsid w:val="006443BD"/>
    <w:rsid w:val="0064464A"/>
    <w:rsid w:val="00646766"/>
    <w:rsid w:val="00653EAB"/>
    <w:rsid w:val="006608BF"/>
    <w:rsid w:val="00663B86"/>
    <w:rsid w:val="00665F88"/>
    <w:rsid w:val="00671321"/>
    <w:rsid w:val="006720B7"/>
    <w:rsid w:val="00672632"/>
    <w:rsid w:val="006731D6"/>
    <w:rsid w:val="00673B00"/>
    <w:rsid w:val="00690CAB"/>
    <w:rsid w:val="00691575"/>
    <w:rsid w:val="00692967"/>
    <w:rsid w:val="0069335C"/>
    <w:rsid w:val="00693E6B"/>
    <w:rsid w:val="00697A7E"/>
    <w:rsid w:val="006A26A6"/>
    <w:rsid w:val="006A387D"/>
    <w:rsid w:val="006A441E"/>
    <w:rsid w:val="006B08C8"/>
    <w:rsid w:val="006B3110"/>
    <w:rsid w:val="006B4F81"/>
    <w:rsid w:val="006B6CBA"/>
    <w:rsid w:val="006C21E4"/>
    <w:rsid w:val="006C4074"/>
    <w:rsid w:val="006C4A6D"/>
    <w:rsid w:val="006C7A20"/>
    <w:rsid w:val="006D121D"/>
    <w:rsid w:val="006D47C0"/>
    <w:rsid w:val="006D5EC5"/>
    <w:rsid w:val="006D6EEC"/>
    <w:rsid w:val="006E1009"/>
    <w:rsid w:val="006E3D78"/>
    <w:rsid w:val="006E5934"/>
    <w:rsid w:val="006E69D2"/>
    <w:rsid w:val="006F2E61"/>
    <w:rsid w:val="006F3A15"/>
    <w:rsid w:val="006F4F73"/>
    <w:rsid w:val="00703E7A"/>
    <w:rsid w:val="007040A1"/>
    <w:rsid w:val="007056CE"/>
    <w:rsid w:val="00707F4D"/>
    <w:rsid w:val="007115DA"/>
    <w:rsid w:val="00711ECB"/>
    <w:rsid w:val="00714DA3"/>
    <w:rsid w:val="00716AB6"/>
    <w:rsid w:val="00717C77"/>
    <w:rsid w:val="0072045B"/>
    <w:rsid w:val="00722EF6"/>
    <w:rsid w:val="00725951"/>
    <w:rsid w:val="00726CEF"/>
    <w:rsid w:val="00732D83"/>
    <w:rsid w:val="0074182B"/>
    <w:rsid w:val="00750339"/>
    <w:rsid w:val="007508CC"/>
    <w:rsid w:val="0075324F"/>
    <w:rsid w:val="0075434B"/>
    <w:rsid w:val="00756DD5"/>
    <w:rsid w:val="0076079B"/>
    <w:rsid w:val="0076099A"/>
    <w:rsid w:val="00767DB4"/>
    <w:rsid w:val="007702FD"/>
    <w:rsid w:val="007768A9"/>
    <w:rsid w:val="0077704D"/>
    <w:rsid w:val="00780E40"/>
    <w:rsid w:val="00781738"/>
    <w:rsid w:val="00785A19"/>
    <w:rsid w:val="00791D32"/>
    <w:rsid w:val="0079351E"/>
    <w:rsid w:val="00795FBF"/>
    <w:rsid w:val="00796E33"/>
    <w:rsid w:val="007975D7"/>
    <w:rsid w:val="007B2222"/>
    <w:rsid w:val="007B3B7E"/>
    <w:rsid w:val="007B478E"/>
    <w:rsid w:val="007B54BF"/>
    <w:rsid w:val="007B55F4"/>
    <w:rsid w:val="007C194B"/>
    <w:rsid w:val="007C2900"/>
    <w:rsid w:val="007C3120"/>
    <w:rsid w:val="007C3AE5"/>
    <w:rsid w:val="007D0AC7"/>
    <w:rsid w:val="007D1047"/>
    <w:rsid w:val="007D2C61"/>
    <w:rsid w:val="007D6CC3"/>
    <w:rsid w:val="007D7797"/>
    <w:rsid w:val="007E4703"/>
    <w:rsid w:val="007E58EF"/>
    <w:rsid w:val="007F3132"/>
    <w:rsid w:val="007F6D3D"/>
    <w:rsid w:val="00801827"/>
    <w:rsid w:val="00801B78"/>
    <w:rsid w:val="00803721"/>
    <w:rsid w:val="00817B74"/>
    <w:rsid w:val="00820088"/>
    <w:rsid w:val="00821040"/>
    <w:rsid w:val="0082187F"/>
    <w:rsid w:val="0082633F"/>
    <w:rsid w:val="008264FE"/>
    <w:rsid w:val="0082694D"/>
    <w:rsid w:val="00826BF3"/>
    <w:rsid w:val="0082768A"/>
    <w:rsid w:val="00833537"/>
    <w:rsid w:val="00834C74"/>
    <w:rsid w:val="00836B34"/>
    <w:rsid w:val="00840925"/>
    <w:rsid w:val="00842402"/>
    <w:rsid w:val="0084283A"/>
    <w:rsid w:val="00843979"/>
    <w:rsid w:val="008471B8"/>
    <w:rsid w:val="00850C92"/>
    <w:rsid w:val="008513A6"/>
    <w:rsid w:val="0085246A"/>
    <w:rsid w:val="00853716"/>
    <w:rsid w:val="0086101C"/>
    <w:rsid w:val="008616B4"/>
    <w:rsid w:val="008626AB"/>
    <w:rsid w:val="00867225"/>
    <w:rsid w:val="0087253B"/>
    <w:rsid w:val="00872B71"/>
    <w:rsid w:val="008756C3"/>
    <w:rsid w:val="0087599A"/>
    <w:rsid w:val="00875C2F"/>
    <w:rsid w:val="00875F74"/>
    <w:rsid w:val="00876B76"/>
    <w:rsid w:val="00881591"/>
    <w:rsid w:val="00885E2D"/>
    <w:rsid w:val="008874C7"/>
    <w:rsid w:val="0089327D"/>
    <w:rsid w:val="0089698B"/>
    <w:rsid w:val="008979B4"/>
    <w:rsid w:val="00897F4D"/>
    <w:rsid w:val="008A7984"/>
    <w:rsid w:val="008C03AB"/>
    <w:rsid w:val="008C56CC"/>
    <w:rsid w:val="008E0A02"/>
    <w:rsid w:val="008E1D78"/>
    <w:rsid w:val="008E2A88"/>
    <w:rsid w:val="008E35FC"/>
    <w:rsid w:val="008E4004"/>
    <w:rsid w:val="008E4FB3"/>
    <w:rsid w:val="008E66E3"/>
    <w:rsid w:val="008E7808"/>
    <w:rsid w:val="008F1153"/>
    <w:rsid w:val="008F1F54"/>
    <w:rsid w:val="008F1F8F"/>
    <w:rsid w:val="008F50C5"/>
    <w:rsid w:val="008F518C"/>
    <w:rsid w:val="009046D4"/>
    <w:rsid w:val="009050D1"/>
    <w:rsid w:val="009051B3"/>
    <w:rsid w:val="009066C2"/>
    <w:rsid w:val="00910A74"/>
    <w:rsid w:val="00915308"/>
    <w:rsid w:val="00917B2E"/>
    <w:rsid w:val="00920057"/>
    <w:rsid w:val="0092019D"/>
    <w:rsid w:val="00925AEE"/>
    <w:rsid w:val="00930DA5"/>
    <w:rsid w:val="00941636"/>
    <w:rsid w:val="009424E2"/>
    <w:rsid w:val="009426E7"/>
    <w:rsid w:val="009438EF"/>
    <w:rsid w:val="00947493"/>
    <w:rsid w:val="009477EF"/>
    <w:rsid w:val="00953AAA"/>
    <w:rsid w:val="00953D59"/>
    <w:rsid w:val="009604E1"/>
    <w:rsid w:val="009605B3"/>
    <w:rsid w:val="0096282F"/>
    <w:rsid w:val="00963A33"/>
    <w:rsid w:val="009741DF"/>
    <w:rsid w:val="00975335"/>
    <w:rsid w:val="00975D28"/>
    <w:rsid w:val="0097642D"/>
    <w:rsid w:val="00980E5C"/>
    <w:rsid w:val="009928A8"/>
    <w:rsid w:val="009A2C17"/>
    <w:rsid w:val="009A4616"/>
    <w:rsid w:val="009A4B77"/>
    <w:rsid w:val="009A4F16"/>
    <w:rsid w:val="009B0A07"/>
    <w:rsid w:val="009C2BC2"/>
    <w:rsid w:val="009C5790"/>
    <w:rsid w:val="009C5F82"/>
    <w:rsid w:val="009D07D0"/>
    <w:rsid w:val="009D0A9F"/>
    <w:rsid w:val="009D0ADD"/>
    <w:rsid w:val="009D19E4"/>
    <w:rsid w:val="009D24E5"/>
    <w:rsid w:val="009D4E58"/>
    <w:rsid w:val="009D7A4E"/>
    <w:rsid w:val="009E2AD2"/>
    <w:rsid w:val="009F5A98"/>
    <w:rsid w:val="00A034EA"/>
    <w:rsid w:val="00A12EA5"/>
    <w:rsid w:val="00A15850"/>
    <w:rsid w:val="00A22C62"/>
    <w:rsid w:val="00A26ECD"/>
    <w:rsid w:val="00A27376"/>
    <w:rsid w:val="00A3045D"/>
    <w:rsid w:val="00A356B0"/>
    <w:rsid w:val="00A35E38"/>
    <w:rsid w:val="00A454D4"/>
    <w:rsid w:val="00A47EA5"/>
    <w:rsid w:val="00A51164"/>
    <w:rsid w:val="00A5334A"/>
    <w:rsid w:val="00A63ECB"/>
    <w:rsid w:val="00A73ED1"/>
    <w:rsid w:val="00A74414"/>
    <w:rsid w:val="00A75985"/>
    <w:rsid w:val="00A8254A"/>
    <w:rsid w:val="00A82D6C"/>
    <w:rsid w:val="00A86DF3"/>
    <w:rsid w:val="00A87B62"/>
    <w:rsid w:val="00A914D0"/>
    <w:rsid w:val="00A95310"/>
    <w:rsid w:val="00A95595"/>
    <w:rsid w:val="00AA1982"/>
    <w:rsid w:val="00AA3100"/>
    <w:rsid w:val="00AB1FD5"/>
    <w:rsid w:val="00AB2861"/>
    <w:rsid w:val="00AB37D2"/>
    <w:rsid w:val="00AB60B6"/>
    <w:rsid w:val="00AB62D9"/>
    <w:rsid w:val="00AB6322"/>
    <w:rsid w:val="00AD066E"/>
    <w:rsid w:val="00AD147C"/>
    <w:rsid w:val="00AE7F83"/>
    <w:rsid w:val="00AF022D"/>
    <w:rsid w:val="00AF1770"/>
    <w:rsid w:val="00AF1A95"/>
    <w:rsid w:val="00AF3234"/>
    <w:rsid w:val="00AF394A"/>
    <w:rsid w:val="00AF72F6"/>
    <w:rsid w:val="00B0625E"/>
    <w:rsid w:val="00B06D0B"/>
    <w:rsid w:val="00B06FA8"/>
    <w:rsid w:val="00B106A0"/>
    <w:rsid w:val="00B11A45"/>
    <w:rsid w:val="00B14F06"/>
    <w:rsid w:val="00B223E4"/>
    <w:rsid w:val="00B23D60"/>
    <w:rsid w:val="00B260B2"/>
    <w:rsid w:val="00B31F29"/>
    <w:rsid w:val="00B33069"/>
    <w:rsid w:val="00B34249"/>
    <w:rsid w:val="00B36D08"/>
    <w:rsid w:val="00B404D6"/>
    <w:rsid w:val="00B40FA5"/>
    <w:rsid w:val="00B45E93"/>
    <w:rsid w:val="00B50264"/>
    <w:rsid w:val="00B50267"/>
    <w:rsid w:val="00B518B7"/>
    <w:rsid w:val="00B539FA"/>
    <w:rsid w:val="00B5439C"/>
    <w:rsid w:val="00B60830"/>
    <w:rsid w:val="00B61713"/>
    <w:rsid w:val="00B625DA"/>
    <w:rsid w:val="00B70CCC"/>
    <w:rsid w:val="00B710A8"/>
    <w:rsid w:val="00B715C7"/>
    <w:rsid w:val="00B734B1"/>
    <w:rsid w:val="00B7366E"/>
    <w:rsid w:val="00B7767E"/>
    <w:rsid w:val="00B81ED6"/>
    <w:rsid w:val="00B82D9C"/>
    <w:rsid w:val="00B86BAD"/>
    <w:rsid w:val="00B928F3"/>
    <w:rsid w:val="00B92A1F"/>
    <w:rsid w:val="00B92D4E"/>
    <w:rsid w:val="00B96734"/>
    <w:rsid w:val="00BA2E0C"/>
    <w:rsid w:val="00BA5864"/>
    <w:rsid w:val="00BA59E6"/>
    <w:rsid w:val="00BB1AA2"/>
    <w:rsid w:val="00BB284F"/>
    <w:rsid w:val="00BB638D"/>
    <w:rsid w:val="00BB708F"/>
    <w:rsid w:val="00BB7AC8"/>
    <w:rsid w:val="00BC2E6C"/>
    <w:rsid w:val="00BD1967"/>
    <w:rsid w:val="00BD1D69"/>
    <w:rsid w:val="00BD3863"/>
    <w:rsid w:val="00BD6379"/>
    <w:rsid w:val="00BD7159"/>
    <w:rsid w:val="00BD7266"/>
    <w:rsid w:val="00BE15FE"/>
    <w:rsid w:val="00BE6571"/>
    <w:rsid w:val="00BF29E9"/>
    <w:rsid w:val="00BF3942"/>
    <w:rsid w:val="00BF4325"/>
    <w:rsid w:val="00BF75D3"/>
    <w:rsid w:val="00BF77CB"/>
    <w:rsid w:val="00C0361B"/>
    <w:rsid w:val="00C05D1C"/>
    <w:rsid w:val="00C06588"/>
    <w:rsid w:val="00C17A3C"/>
    <w:rsid w:val="00C21BC1"/>
    <w:rsid w:val="00C2361F"/>
    <w:rsid w:val="00C30BF5"/>
    <w:rsid w:val="00C3513E"/>
    <w:rsid w:val="00C35382"/>
    <w:rsid w:val="00C43D5E"/>
    <w:rsid w:val="00C53C47"/>
    <w:rsid w:val="00C53E0B"/>
    <w:rsid w:val="00C54DE1"/>
    <w:rsid w:val="00C6379C"/>
    <w:rsid w:val="00C64A51"/>
    <w:rsid w:val="00C679E1"/>
    <w:rsid w:val="00C73F24"/>
    <w:rsid w:val="00C82E34"/>
    <w:rsid w:val="00C91D3A"/>
    <w:rsid w:val="00C93973"/>
    <w:rsid w:val="00C93D76"/>
    <w:rsid w:val="00C97111"/>
    <w:rsid w:val="00CA2DE4"/>
    <w:rsid w:val="00CA3B2E"/>
    <w:rsid w:val="00CA4DC7"/>
    <w:rsid w:val="00CA7BED"/>
    <w:rsid w:val="00CB0616"/>
    <w:rsid w:val="00CB4C88"/>
    <w:rsid w:val="00CB5507"/>
    <w:rsid w:val="00CB57FD"/>
    <w:rsid w:val="00CB5A47"/>
    <w:rsid w:val="00CB7703"/>
    <w:rsid w:val="00CC0444"/>
    <w:rsid w:val="00CC19D5"/>
    <w:rsid w:val="00CC6F28"/>
    <w:rsid w:val="00CC7C33"/>
    <w:rsid w:val="00CD5F49"/>
    <w:rsid w:val="00CD6883"/>
    <w:rsid w:val="00CD76FE"/>
    <w:rsid w:val="00CE097A"/>
    <w:rsid w:val="00CE2E87"/>
    <w:rsid w:val="00CE48BF"/>
    <w:rsid w:val="00CE538B"/>
    <w:rsid w:val="00CE5987"/>
    <w:rsid w:val="00CF1E3B"/>
    <w:rsid w:val="00CF51B6"/>
    <w:rsid w:val="00D057E9"/>
    <w:rsid w:val="00D124FB"/>
    <w:rsid w:val="00D17E3B"/>
    <w:rsid w:val="00D21F7E"/>
    <w:rsid w:val="00D22B92"/>
    <w:rsid w:val="00D22EC4"/>
    <w:rsid w:val="00D234E1"/>
    <w:rsid w:val="00D27716"/>
    <w:rsid w:val="00D3274F"/>
    <w:rsid w:val="00D352D4"/>
    <w:rsid w:val="00D3727F"/>
    <w:rsid w:val="00D4022C"/>
    <w:rsid w:val="00D43654"/>
    <w:rsid w:val="00D4430D"/>
    <w:rsid w:val="00D45EE7"/>
    <w:rsid w:val="00D46911"/>
    <w:rsid w:val="00D50655"/>
    <w:rsid w:val="00D51D22"/>
    <w:rsid w:val="00D5271E"/>
    <w:rsid w:val="00D55CA2"/>
    <w:rsid w:val="00D57883"/>
    <w:rsid w:val="00D71567"/>
    <w:rsid w:val="00D7260A"/>
    <w:rsid w:val="00D81D44"/>
    <w:rsid w:val="00D82FE1"/>
    <w:rsid w:val="00D8439E"/>
    <w:rsid w:val="00D8575A"/>
    <w:rsid w:val="00D865CC"/>
    <w:rsid w:val="00D871E3"/>
    <w:rsid w:val="00D9397B"/>
    <w:rsid w:val="00D9416E"/>
    <w:rsid w:val="00D956BA"/>
    <w:rsid w:val="00DA1B31"/>
    <w:rsid w:val="00DA1B68"/>
    <w:rsid w:val="00DA2B5B"/>
    <w:rsid w:val="00DA3E0E"/>
    <w:rsid w:val="00DA4DC3"/>
    <w:rsid w:val="00DB124A"/>
    <w:rsid w:val="00DB4524"/>
    <w:rsid w:val="00DB4E13"/>
    <w:rsid w:val="00DB71E8"/>
    <w:rsid w:val="00DB74B5"/>
    <w:rsid w:val="00DC01B9"/>
    <w:rsid w:val="00DC1E4D"/>
    <w:rsid w:val="00DC3FB8"/>
    <w:rsid w:val="00DC449D"/>
    <w:rsid w:val="00DC4873"/>
    <w:rsid w:val="00DD193A"/>
    <w:rsid w:val="00DD4931"/>
    <w:rsid w:val="00DE4A24"/>
    <w:rsid w:val="00DE7E8A"/>
    <w:rsid w:val="00DF0981"/>
    <w:rsid w:val="00DF234E"/>
    <w:rsid w:val="00DF3AA9"/>
    <w:rsid w:val="00E005FB"/>
    <w:rsid w:val="00E01B11"/>
    <w:rsid w:val="00E02C1A"/>
    <w:rsid w:val="00E02FD6"/>
    <w:rsid w:val="00E05AF4"/>
    <w:rsid w:val="00E12A12"/>
    <w:rsid w:val="00E1385A"/>
    <w:rsid w:val="00E16A3C"/>
    <w:rsid w:val="00E172FA"/>
    <w:rsid w:val="00E21475"/>
    <w:rsid w:val="00E22E2A"/>
    <w:rsid w:val="00E2530F"/>
    <w:rsid w:val="00E3312F"/>
    <w:rsid w:val="00E3353C"/>
    <w:rsid w:val="00E34CB3"/>
    <w:rsid w:val="00E35C8F"/>
    <w:rsid w:val="00E36D43"/>
    <w:rsid w:val="00E455F7"/>
    <w:rsid w:val="00E543BC"/>
    <w:rsid w:val="00E55A78"/>
    <w:rsid w:val="00E56F19"/>
    <w:rsid w:val="00E642FF"/>
    <w:rsid w:val="00E66818"/>
    <w:rsid w:val="00E70233"/>
    <w:rsid w:val="00E70309"/>
    <w:rsid w:val="00E715A8"/>
    <w:rsid w:val="00E72753"/>
    <w:rsid w:val="00E727C4"/>
    <w:rsid w:val="00E75DC8"/>
    <w:rsid w:val="00E8175A"/>
    <w:rsid w:val="00E83760"/>
    <w:rsid w:val="00E85346"/>
    <w:rsid w:val="00E85A11"/>
    <w:rsid w:val="00E85B17"/>
    <w:rsid w:val="00E86D8F"/>
    <w:rsid w:val="00E96CAF"/>
    <w:rsid w:val="00EA1513"/>
    <w:rsid w:val="00EA200C"/>
    <w:rsid w:val="00EA21D0"/>
    <w:rsid w:val="00EA23FB"/>
    <w:rsid w:val="00EA4303"/>
    <w:rsid w:val="00EB1A06"/>
    <w:rsid w:val="00EB38D5"/>
    <w:rsid w:val="00EB460F"/>
    <w:rsid w:val="00EB49B1"/>
    <w:rsid w:val="00EC0729"/>
    <w:rsid w:val="00EC0C19"/>
    <w:rsid w:val="00EC724E"/>
    <w:rsid w:val="00ED20F6"/>
    <w:rsid w:val="00ED3A0F"/>
    <w:rsid w:val="00ED5F56"/>
    <w:rsid w:val="00EE29FE"/>
    <w:rsid w:val="00EE33B4"/>
    <w:rsid w:val="00EE38D4"/>
    <w:rsid w:val="00EE4068"/>
    <w:rsid w:val="00EE76B2"/>
    <w:rsid w:val="00EF3471"/>
    <w:rsid w:val="00EF534D"/>
    <w:rsid w:val="00F007B8"/>
    <w:rsid w:val="00F02089"/>
    <w:rsid w:val="00F05FF1"/>
    <w:rsid w:val="00F0722F"/>
    <w:rsid w:val="00F073C8"/>
    <w:rsid w:val="00F12C4F"/>
    <w:rsid w:val="00F143CD"/>
    <w:rsid w:val="00F23520"/>
    <w:rsid w:val="00F33652"/>
    <w:rsid w:val="00F402B0"/>
    <w:rsid w:val="00F40AF9"/>
    <w:rsid w:val="00F41E0B"/>
    <w:rsid w:val="00F42616"/>
    <w:rsid w:val="00F42FF5"/>
    <w:rsid w:val="00F45F59"/>
    <w:rsid w:val="00F50697"/>
    <w:rsid w:val="00F51AE0"/>
    <w:rsid w:val="00F523FE"/>
    <w:rsid w:val="00F55B68"/>
    <w:rsid w:val="00F56BAC"/>
    <w:rsid w:val="00F60639"/>
    <w:rsid w:val="00F61420"/>
    <w:rsid w:val="00F627E4"/>
    <w:rsid w:val="00F70EF2"/>
    <w:rsid w:val="00F712BE"/>
    <w:rsid w:val="00F73360"/>
    <w:rsid w:val="00F734E0"/>
    <w:rsid w:val="00F73C13"/>
    <w:rsid w:val="00F73CC6"/>
    <w:rsid w:val="00F748A6"/>
    <w:rsid w:val="00F858AA"/>
    <w:rsid w:val="00F861D2"/>
    <w:rsid w:val="00F86AF6"/>
    <w:rsid w:val="00F93B42"/>
    <w:rsid w:val="00F94747"/>
    <w:rsid w:val="00FA7291"/>
    <w:rsid w:val="00FB0C43"/>
    <w:rsid w:val="00FB710C"/>
    <w:rsid w:val="00FC5653"/>
    <w:rsid w:val="00FD4103"/>
    <w:rsid w:val="00FD4141"/>
    <w:rsid w:val="00FD555E"/>
    <w:rsid w:val="00FE2755"/>
    <w:rsid w:val="00FE3BC9"/>
    <w:rsid w:val="00FE7A04"/>
    <w:rsid w:val="00FE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A3FD3"/>
  <w15:chartTrackingRefBased/>
  <w15:docId w15:val="{B93A3DA3-5889-48DC-84EB-736BFE23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DA3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DA3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14DA3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DA3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4DA3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714D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714D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714D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714D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714D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714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DA3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D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DA3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14DA3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14DA3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14DA3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14DA3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14DA3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DA3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DA3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DA3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DA3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714DA3"/>
    <w:rPr>
      <w:noProof w:val="0"/>
    </w:rPr>
  </w:style>
  <w:style w:type="character" w:styleId="Hyperlink">
    <w:name w:val="Hyperlink"/>
    <w:basedOn w:val="DefaultParagraphFont"/>
    <w:uiPriority w:val="99"/>
    <w:unhideWhenUsed/>
    <w:rsid w:val="00714DA3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714DA3"/>
    <w:pPr>
      <w:numPr>
        <w:numId w:val="46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714DA3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714DA3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714DA3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714DA3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714DA3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714DA3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714DA3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714DA3"/>
    <w:pPr>
      <w:numPr>
        <w:numId w:val="44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714DA3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14DA3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DA3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714DA3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714DA3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714DA3"/>
    <w:pPr>
      <w:numPr>
        <w:numId w:val="34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714DA3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714DA3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714DA3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714DA3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714DA3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714DA3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714DA3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14DA3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714DA3"/>
    <w:pPr>
      <w:numPr>
        <w:numId w:val="50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714DA3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714DA3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714DA3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714DA3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714DA3"/>
    <w:rPr>
      <w:b/>
      <w:bCs/>
      <w:noProof w:val="0"/>
    </w:rPr>
  </w:style>
  <w:style w:type="character" w:customStyle="1" w:styleId="Italics">
    <w:name w:val="Italics"/>
    <w:uiPriority w:val="1"/>
    <w:qFormat/>
    <w:rsid w:val="00714DA3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714DA3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0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my.oxfordeconomics.com/reportaction/a19A07E6dd7D4151932E2a/Toc" TargetMode="External"/><Relationship Id="rId12" Type="http://schemas.openxmlformats.org/officeDocument/2006/relationships/footer" Target="footer1.xm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my.oxfordeconomics.com/reportaction/3a6Ee89d5E32409abeB729/To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yperlink" Target="https://my.oxfordeconomics.com/reportaction/8420Ba61e017434387eC95/To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y.oxfordeconomics.com/reportaction/6f655569d6FC4b50a957e7/Toc" TargetMode="External"/><Relationship Id="rId23" Type="http://schemas.openxmlformats.org/officeDocument/2006/relationships/hyperlink" Target="https://my.oxfordeconomics.com/reportaction/c125751b5d71448a812657/Toc" TargetMode="External"/><Relationship Id="rId10" Type="http://schemas.openxmlformats.org/officeDocument/2006/relationships/header" Target="header1.xml"/><Relationship Id="rId19" Type="http://schemas.openxmlformats.org/officeDocument/2006/relationships/image" Target="media/image8.svg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footer" Target="footer2.xml"/><Relationship Id="rId22" Type="http://schemas.openxmlformats.org/officeDocument/2006/relationships/image" Target="media/image10.sv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0C318-4BC7-4E74-989A-3199136E6DEE}"/>
      </w:docPartPr>
      <w:docPartBody>
        <w:p w:rsidR="00955E43" w:rsidRDefault="00955E43">
          <w:r w:rsidRPr="00FD0987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43"/>
    <w:rsid w:val="00274A29"/>
    <w:rsid w:val="00293B37"/>
    <w:rsid w:val="005B36F5"/>
    <w:rsid w:val="006A7126"/>
    <w:rsid w:val="0095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1551</Words>
  <Characters>7803</Characters>
  <Application>Microsoft Office Word</Application>
  <DocSecurity>0</DocSecurity>
  <Lines>108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54</cp:revision>
  <dcterms:created xsi:type="dcterms:W3CDTF">2024-04-12T07:02:00Z</dcterms:created>
  <dcterms:modified xsi:type="dcterms:W3CDTF">2024-04-15T07:57:00Z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v0.8.0.7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2024-04-15T07:52:45.000Z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v0.8.0.7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AnalysisbyRegion-Europe-UnitedKingdom,Macro-ResearchBriefings-UnitedKingdom</vt:lpwstr>
  </property>
  <property fmtid="{D5CDD505-2E9C-101B-9397-08002B2CF9AE}" pid="15" name="OEP_TAGS">
    <vt:lpwstr>Key Themes:inflation,forecast,labour trends,energy prices,food</vt:lpwstr>
  </property>
  <property fmtid="{D5CDD505-2E9C-101B-9397-08002B2CF9AE}" pid="16" name="OEP_DATA_FILEPATH">
    <vt:lpwstr>Z:\UK Team\UK Research Briefing\20240415 RB UK Inflation outlook.xlsx</vt:lpwstr>
  </property>
  <property fmtid="{D5CDD505-2E9C-101B-9397-08002B2CF9AE}" pid="17" name="OEP_PRODUCT_CODE">
    <vt:lpwstr>c4463ccfcDE94FB598CaD1</vt:lpwstr>
  </property>
  <property fmtid="{D5CDD505-2E9C-101B-9397-08002B2CF9AE}" pid="18" name="OEP_PUBLISH_DATE">
    <vt:lpwstr/>
  </property>
</Properties>
</file>