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3FF7D0" w14:textId="08570E39" w:rsidR="00E64389" w:rsidRDefault="00305E60" w:rsidP="00E64389">
      <w:pPr>
        <w:pStyle w:val="Bullet"/>
      </w:pPr>
      <w:r>
        <w:t>Our sentiment data, developed with Penta, suggests that UK private sector wage growth slowed sharply in March and early-April</w:t>
      </w:r>
      <w:r w:rsidR="0080277F">
        <w:t xml:space="preserve">. </w:t>
      </w:r>
      <w:r w:rsidR="00E64389">
        <w:t xml:space="preserve">If official data mirrors our sentiment indicator, it </w:t>
      </w:r>
      <w:r w:rsidR="00720A0F">
        <w:t>should</w:t>
      </w:r>
      <w:r w:rsidR="000A0399">
        <w:t xml:space="preserve"> </w:t>
      </w:r>
      <w:r w:rsidR="00E64389">
        <w:t>keep the Monetary Policy Committee on track to cut interest rates in the summer.</w:t>
      </w:r>
    </w:p>
    <w:p w14:paraId="0C12B65D" w14:textId="2FBB794E" w:rsidR="00E64389" w:rsidRDefault="00E64389" w:rsidP="00E64389">
      <w:pPr>
        <w:pStyle w:val="Bullet"/>
      </w:pPr>
      <w:r>
        <w:t xml:space="preserve">Our nowcast </w:t>
      </w:r>
      <w:r w:rsidR="000A0399">
        <w:t xml:space="preserve">also shows </w:t>
      </w:r>
      <w:r>
        <w:t xml:space="preserve">that labour demand continued to slow </w:t>
      </w:r>
      <w:r w:rsidR="00813957">
        <w:t xml:space="preserve">gently </w:t>
      </w:r>
      <w:r>
        <w:t xml:space="preserve">in the </w:t>
      </w:r>
      <w:r w:rsidR="000A0399">
        <w:t>first</w:t>
      </w:r>
      <w:r>
        <w:t xml:space="preserve"> months of 2024. In contrast to the significant volatility in recent Labour Force Survey data, our </w:t>
      </w:r>
      <w:r w:rsidR="000A6D71">
        <w:t xml:space="preserve">sentiment </w:t>
      </w:r>
      <w:r>
        <w:t>indicator points to</w:t>
      </w:r>
      <w:r w:rsidR="00A17C7F">
        <w:t xml:space="preserve"> a</w:t>
      </w:r>
      <w:r>
        <w:t xml:space="preserve"> steady loosening in labour market conditions, more in keeping with the picture from recent data on job vacancies.</w:t>
      </w:r>
    </w:p>
    <w:p w14:paraId="44EAD26B" w14:textId="589A22EB" w:rsidR="00E64389" w:rsidRDefault="00E64389" w:rsidP="0080277F">
      <w:pPr>
        <w:pStyle w:val="Bullet"/>
      </w:pPr>
      <w:r>
        <w:t>Sentiment around talent and HR has dropped sharply in recent weeks, suggesting firms are finding it easier to recruit</w:t>
      </w:r>
      <w:r w:rsidR="00F964B8">
        <w:t>. O</w:t>
      </w:r>
      <w:r w:rsidR="001F5A78">
        <w:t>ther labour demand scores are at, or below, historical averages</w:t>
      </w:r>
      <w:r>
        <w:t xml:space="preserve">. Sentiment around remuneration has also fallen, suggesting looser labour market conditions are mitigating the boost to pay growth from </w:t>
      </w:r>
      <w:r w:rsidR="000A0399">
        <w:t xml:space="preserve">the </w:t>
      </w:r>
      <w:r w:rsidR="003D7B1E">
        <w:t>large increase in the National Living Wage</w:t>
      </w:r>
      <w:r w:rsidR="000A0399" w:rsidRPr="000A0399">
        <w:t xml:space="preserve"> </w:t>
      </w:r>
      <w:r w:rsidR="000A0399">
        <w:t>in April</w:t>
      </w:r>
      <w:r w:rsidR="003D7B1E">
        <w:t>.</w:t>
      </w:r>
    </w:p>
    <w:p w14:paraId="7F973B64" w14:textId="2BF3D6E1" w:rsidR="007114D0" w:rsidRDefault="00E53803" w:rsidP="0080277F">
      <w:r>
        <w:t xml:space="preserve">Coming on the back of stronger-than-expected </w:t>
      </w:r>
      <w:hyperlink r:id="rId10" w:history="1">
        <w:r w:rsidRPr="00E53803">
          <w:rPr>
            <w:rStyle w:val="Hyperlink"/>
          </w:rPr>
          <w:t>US inflation</w:t>
        </w:r>
      </w:hyperlink>
      <w:r>
        <w:t xml:space="preserve"> data, financial markets reacted hawkishly to a modest upside surprise for UK pay growth in February. </w:t>
      </w:r>
      <w:r w:rsidR="000D2CAB">
        <w:t xml:space="preserve">Headline (three-month average of the annual rate) private sector regular pay growth – </w:t>
      </w:r>
      <w:r w:rsidR="000D2CAB" w:rsidRPr="000D2CAB">
        <w:t>the B</w:t>
      </w:r>
      <w:r w:rsidR="00305E60">
        <w:t xml:space="preserve">ank </w:t>
      </w:r>
      <w:r w:rsidR="000D2CAB" w:rsidRPr="000D2CAB">
        <w:t>o</w:t>
      </w:r>
      <w:r w:rsidR="00305E60">
        <w:t xml:space="preserve">f </w:t>
      </w:r>
      <w:r w:rsidR="000D2CAB" w:rsidRPr="000D2CAB">
        <w:t>E</w:t>
      </w:r>
      <w:r w:rsidR="00305E60">
        <w:t>ngland'</w:t>
      </w:r>
      <w:r w:rsidR="000D2CAB" w:rsidRPr="000D2CAB">
        <w:t>s favoured measure</w:t>
      </w:r>
      <w:r w:rsidR="000D2CAB">
        <w:t xml:space="preserve"> – only fell to 6% in February from 6.1% in January. </w:t>
      </w:r>
      <w:r w:rsidR="00FD36DA">
        <w:t xml:space="preserve">This means there's a good chance that pay growth will overshoot the </w:t>
      </w:r>
      <w:r w:rsidR="00305E60">
        <w:t>BoE</w:t>
      </w:r>
      <w:r w:rsidR="00FD36DA">
        <w:t>'s</w:t>
      </w:r>
      <w:r w:rsidR="00305E60">
        <w:t xml:space="preserve"> </w:t>
      </w:r>
      <w:r w:rsidR="00FD36DA">
        <w:t xml:space="preserve">Q1 </w:t>
      </w:r>
      <w:r w:rsidR="00305E60">
        <w:t xml:space="preserve">forecast </w:t>
      </w:r>
      <w:r w:rsidR="00FD36DA">
        <w:t>of</w:t>
      </w:r>
      <w:r w:rsidR="00305E60">
        <w:t xml:space="preserve"> 5.7%</w:t>
      </w:r>
      <w:r w:rsidR="00FD36DA">
        <w:t xml:space="preserve">, thus reducing the chances that the Monetary Policy Committee concludes that </w:t>
      </w:r>
      <w:r w:rsidR="00FD36DA" w:rsidRPr="00FD36DA">
        <w:t>the risks from persistent inflationary pressures ha</w:t>
      </w:r>
      <w:r w:rsidR="00FD36DA">
        <w:t>ve</w:t>
      </w:r>
      <w:r w:rsidR="00FD36DA" w:rsidRPr="00FD36DA">
        <w:t xml:space="preserve"> receded</w:t>
      </w:r>
      <w:r w:rsidR="00FD36DA">
        <w:t xml:space="preserve"> enough to begin cutting interest rates.</w:t>
      </w:r>
    </w:p>
    <w:p w14:paraId="5EF00FA2" w14:textId="230C965D" w:rsidR="00FC255F" w:rsidRDefault="00FD36DA" w:rsidP="007114D0">
      <w:r>
        <w:t xml:space="preserve">But </w:t>
      </w:r>
      <w:hyperlink r:id="rId11" w:history="1">
        <w:r w:rsidRPr="00FD36DA">
          <w:rPr>
            <w:rStyle w:val="Hyperlink"/>
          </w:rPr>
          <w:t>our proprietary high-frequency sentiment dataset</w:t>
        </w:r>
      </w:hyperlink>
      <w:r w:rsidRPr="00FD36DA">
        <w:t>, developed in collaboration with Penta</w:t>
      </w:r>
      <w:r>
        <w:t xml:space="preserve">, suggests that the picture </w:t>
      </w:r>
      <w:r w:rsidR="004F6193">
        <w:t>has started</w:t>
      </w:r>
      <w:r>
        <w:t xml:space="preserve"> to change. Our latest update is based on data for March and the first half of April. The sentiment data-based pay nowcast shows an abrupt slowdown in recent weeks (</w:t>
      </w:r>
      <w:r w:rsidR="00065D79" w:rsidRPr="00683B9C">
        <w:rPr>
          <w:b/>
          <w:color w:val="003469"/>
        </w:rPr>
        <w:fldChar w:fldCharType="begin"/>
      </w:r>
      <w:r w:rsidR="00683B9C" w:rsidRPr="00683B9C">
        <w:rPr>
          <w:b/>
          <w:color w:val="003469"/>
        </w:rPr>
        <w:instrText xml:space="preserve">REF _Ref164859703 \h \* Charformat </w:instrText>
      </w:r>
      <w:r w:rsidR="00683B9C" w:rsidRPr="00683B9C">
        <w:rPr>
          <w:b/>
          <w:color w:val="003469"/>
        </w:rPr>
      </w:r>
      <w:r w:rsidR="00065D79" w:rsidRPr="00683B9C">
        <w:rPr>
          <w:b/>
          <w:color w:val="003469"/>
        </w:rPr>
        <w:fldChar w:fldCharType="separate"/>
      </w:r>
      <w:r w:rsidR="00683B9C" w:rsidRPr="00683B9C">
        <w:rPr>
          <w:b/>
          <w:color w:val="003469"/>
        </w:rPr>
        <w:t>Chart 1</w:t>
      </w:r>
      <w:r w:rsidR="00065D79" w:rsidRPr="00683B9C">
        <w:rPr>
          <w:b/>
          <w:color w:val="003469"/>
        </w:rPr>
        <w:fldChar w:fldCharType="end"/>
      </w:r>
      <w:r>
        <w:t xml:space="preserve">). What's more, this slowdown came after a run of </w:t>
      </w:r>
      <w:r w:rsidR="004F6193">
        <w:t xml:space="preserve">stronger </w:t>
      </w:r>
      <w:r>
        <w:t>data around the turn of the year.</w:t>
      </w:r>
    </w:p>
    <w:p w14:paraId="773C187D" w14:textId="18F13CE7" w:rsidR="0080277F" w:rsidRDefault="0080277F" w:rsidP="00FC255F">
      <w:pPr>
        <w:pStyle w:val="ExhibitTitle"/>
        <w:jc w:val="center"/>
      </w:pPr>
      <w:bookmarkStart w:id="0" w:name="_Ref164859703"/>
      <w:r>
        <w:t xml:space="preserve">Chart </w:t>
      </w:r>
      <w:r w:rsidR="00FD36DA">
        <w:fldChar w:fldCharType="begin"/>
      </w:r>
      <w:r w:rsidR="00065D79">
        <w:instrText>SEQ CHART</w:instrText>
      </w:r>
      <w:r w:rsidR="00FD36DA">
        <w:fldChar w:fldCharType="separate"/>
      </w:r>
      <w:r w:rsidR="00065D79">
        <w:t>1</w:t>
      </w:r>
      <w:r w:rsidR="00FD36DA">
        <w:fldChar w:fldCharType="end"/>
      </w:r>
      <w:bookmarkEnd w:id="0"/>
      <w:r>
        <w:t xml:space="preserve">: </w:t>
      </w:r>
      <w:r w:rsidR="00FD36DA">
        <w:t>Our nowcast data suggests pay growth has slowed abruptly in recent weeks</w:t>
      </w:r>
    </w:p>
    <w:p w14:paraId="6B9A2AC9" w14:textId="7F19AAE8" w:rsidR="00FC255F" w:rsidRDefault="00FC255F" w:rsidP="00FC255F">
      <w:pPr>
        <w:spacing w:after="0"/>
        <w:jc w:val="center"/>
      </w:pPr>
      <w:r>
        <w:rPr>
          <w:noProof/>
        </w:rPr>
        <w:drawing>
          <wp:inline distT="0" distB="0" distL="0" distR="0" wp14:anchorId="16BE8B82" wp14:editId="754F4FAE">
            <wp:extent cx="4006964" cy="3116522"/>
            <wp:effectExtent l="0" t="0" r="0" b="8255"/>
            <wp:docPr id="3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rcRect b="2699"/>
                    <a:stretch>
                      <a:fillRect/>
                    </a:stretch>
                  </pic:blipFill>
                  <pic:spPr>
                    <a:xfrm>
                      <a:off x="0" y="0"/>
                      <a:ext cx="4006964" cy="3116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EC18B" w14:textId="28C61F6E" w:rsidR="0080277F" w:rsidRDefault="00FC255F" w:rsidP="00FC255F">
      <w:pPr>
        <w:pStyle w:val="ExhibitSource"/>
        <w:jc w:val="center"/>
      </w:pPr>
      <w:r>
        <w:t>Sources: Oxford Economics, Penta, Haver Analytics</w:t>
      </w:r>
    </w:p>
    <w:p w14:paraId="0FC39B4F" w14:textId="77777777" w:rsidR="0080277F" w:rsidRDefault="0080277F" w:rsidP="0080277F">
      <w:pPr>
        <w:pStyle w:val="ExhibitSource"/>
        <w:jc w:val="center"/>
        <w:sectPr w:rsidR="0080277F" w:rsidSect="00FC255F">
          <w:headerReference w:type="even" r:id="rId14"/>
          <w:headerReference w:type="default" r:id="rId15"/>
          <w:footerReference w:type="default" r:id="rId16"/>
          <w:headerReference w:type="first" r:id="rId17"/>
          <w:footerReference w:type="first" r:id="rId18"/>
          <w:pgSz w:w="11906" w:h="16838"/>
          <w:pgMar w:top="2665" w:right="1276" w:bottom="838" w:left="1134" w:header="708" w:footer="300" w:gutter="0"/>
          <w:cols w:space="708"/>
          <w:titlePg/>
          <w:docGrid w:linePitch="360"/>
        </w:sectPr>
      </w:pPr>
    </w:p>
    <w:p w14:paraId="5E29E6CF" w14:textId="305E4F1A" w:rsidR="0080277F" w:rsidRDefault="004F6193" w:rsidP="0080277F">
      <w:r>
        <w:lastRenderedPageBreak/>
        <w:t xml:space="preserve">One complication is that our modelling approach </w:t>
      </w:r>
      <w:r w:rsidR="00F44DCD">
        <w:t>may not</w:t>
      </w:r>
      <w:r>
        <w:t xml:space="preserve"> fully capture the impact </w:t>
      </w:r>
      <w:r w:rsidR="00F44DCD">
        <w:t xml:space="preserve">of </w:t>
      </w:r>
      <w:r w:rsidR="00D81270">
        <w:t xml:space="preserve">idiosyncratic events such as </w:t>
      </w:r>
      <w:r w:rsidR="00F44DCD">
        <w:t>April's near-10% increase in the National Living Wage</w:t>
      </w:r>
      <w:r w:rsidR="0080277F">
        <w:t>.</w:t>
      </w:r>
      <w:r w:rsidR="000A0399">
        <w:t xml:space="preserve"> An</w:t>
      </w:r>
      <w:r w:rsidR="00F44DCD">
        <w:t xml:space="preserve"> </w:t>
      </w:r>
      <w:hyperlink r:id="rId19" w:history="1">
        <w:r w:rsidR="00F44DCD" w:rsidRPr="00B05C77">
          <w:rPr>
            <w:rStyle w:val="Hyperlink"/>
          </w:rPr>
          <w:t>S&amp;P Global survey</w:t>
        </w:r>
      </w:hyperlink>
      <w:r w:rsidR="00F44DCD">
        <w:t xml:space="preserve"> </w:t>
      </w:r>
      <w:r w:rsidR="000A0399">
        <w:t xml:space="preserve">in that month </w:t>
      </w:r>
      <w:r w:rsidR="00B05C77">
        <w:t>reported a marked impact on firms' costs, particularly in the services sector.</w:t>
      </w:r>
      <w:r w:rsidR="005278FC">
        <w:t xml:space="preserve"> But the scale of the slowdown indicated by our sentiment indicator suggests that the ONS measure of pay growth could continue to cool, </w:t>
      </w:r>
      <w:r w:rsidR="00D844E8">
        <w:t>despite</w:t>
      </w:r>
      <w:r w:rsidR="005278FC">
        <w:t xml:space="preserve"> the </w:t>
      </w:r>
      <w:r w:rsidR="000A0399">
        <w:t xml:space="preserve">rise in the </w:t>
      </w:r>
      <w:r w:rsidR="005278FC">
        <w:t>NLW.</w:t>
      </w:r>
      <w:r w:rsidR="00FA262D">
        <w:t xml:space="preserve"> What's more, the NLW increase was announced in November 2023, so some of the impact is likely to be spread over the course of several months. It may even have been a factor behind </w:t>
      </w:r>
      <w:r w:rsidR="000A0399">
        <w:t xml:space="preserve">the </w:t>
      </w:r>
      <w:r w:rsidR="00FA262D">
        <w:t>strength</w:t>
      </w:r>
      <w:r w:rsidR="000A0399" w:rsidRPr="000A0399">
        <w:t xml:space="preserve"> </w:t>
      </w:r>
      <w:r w:rsidR="000A0399">
        <w:t>in March</w:t>
      </w:r>
      <w:r w:rsidR="00FA262D">
        <w:t>.</w:t>
      </w:r>
    </w:p>
    <w:p w14:paraId="330E1EE1" w14:textId="13CAC962" w:rsidR="00572BB6" w:rsidRDefault="00572BB6" w:rsidP="003A1218">
      <w:pPr>
        <w:pStyle w:val="Heading3"/>
      </w:pPr>
      <w:r>
        <w:t>Employment growth continues to steadily cool</w:t>
      </w:r>
    </w:p>
    <w:p w14:paraId="6DAA82D5" w14:textId="637A0D30" w:rsidR="0029135B" w:rsidRDefault="00572BB6" w:rsidP="0080277F">
      <w:r>
        <w:t xml:space="preserve">Our employment nowcast shows a continuation of the slowdown in labour demand flagged by </w:t>
      </w:r>
      <w:hyperlink r:id="rId20" w:history="1">
        <w:r w:rsidRPr="000F329E">
          <w:rPr>
            <w:rStyle w:val="Hyperlink"/>
          </w:rPr>
          <w:t>previous updates</w:t>
        </w:r>
      </w:hyperlink>
      <w:r>
        <w:t>, with headcount now broadly flat on a year-on-year basis</w:t>
      </w:r>
      <w:r w:rsidR="00784272">
        <w:t xml:space="preserve"> (</w:t>
      </w:r>
      <w:r w:rsidR="00065D79" w:rsidRPr="00683B9C">
        <w:rPr>
          <w:b/>
          <w:color w:val="003469"/>
        </w:rPr>
        <w:fldChar w:fldCharType="begin"/>
      </w:r>
      <w:r w:rsidR="00683B9C" w:rsidRPr="00683B9C">
        <w:rPr>
          <w:b/>
          <w:color w:val="003469"/>
        </w:rPr>
        <w:instrText xml:space="preserve">REF _Ref164859704 \h \* Charformat </w:instrText>
      </w:r>
      <w:r w:rsidR="00683B9C" w:rsidRPr="00683B9C">
        <w:rPr>
          <w:b/>
          <w:color w:val="003469"/>
        </w:rPr>
      </w:r>
      <w:r w:rsidR="00065D79" w:rsidRPr="00683B9C">
        <w:rPr>
          <w:b/>
          <w:color w:val="003469"/>
        </w:rPr>
        <w:fldChar w:fldCharType="separate"/>
      </w:r>
      <w:r w:rsidR="00683B9C" w:rsidRPr="00683B9C">
        <w:rPr>
          <w:b/>
          <w:color w:val="003469"/>
        </w:rPr>
        <w:t>Chart 2</w:t>
      </w:r>
      <w:r w:rsidR="00065D79" w:rsidRPr="00683B9C">
        <w:rPr>
          <w:b/>
          <w:color w:val="003469"/>
        </w:rPr>
        <w:fldChar w:fldCharType="end"/>
      </w:r>
      <w:r w:rsidR="00784272">
        <w:t>)</w:t>
      </w:r>
      <w:r>
        <w:t xml:space="preserve">. </w:t>
      </w:r>
      <w:r w:rsidR="00784272">
        <w:t xml:space="preserve">This is a </w:t>
      </w:r>
      <w:r w:rsidR="00AC35FE">
        <w:t xml:space="preserve">much </w:t>
      </w:r>
      <w:r w:rsidR="00784272">
        <w:t xml:space="preserve">less abrupt slowdown than that flagged in the </w:t>
      </w:r>
      <w:hyperlink r:id="rId21" w:history="1">
        <w:r w:rsidR="00784272" w:rsidRPr="00784272">
          <w:rPr>
            <w:rStyle w:val="Hyperlink"/>
          </w:rPr>
          <w:t>latest Labour Force Survey data</w:t>
        </w:r>
      </w:hyperlink>
      <w:r w:rsidR="00784272">
        <w:t>. But the ONS is still to resolve the bulk of its sampling problems and recommends caution in interpreting the LFS data.</w:t>
      </w:r>
    </w:p>
    <w:p w14:paraId="08888D7C" w14:textId="4E894A5D" w:rsidR="0080277F" w:rsidRDefault="0080277F" w:rsidP="003A1218">
      <w:pPr>
        <w:pStyle w:val="ExhibitTitle"/>
      </w:pPr>
      <w:bookmarkStart w:id="1" w:name="_Ref164859704"/>
      <w:r>
        <w:t xml:space="preserve">Chart </w:t>
      </w:r>
      <w:r w:rsidR="00FD36DA">
        <w:fldChar w:fldCharType="begin"/>
      </w:r>
      <w:r w:rsidR="00065D79">
        <w:instrText>SEQ CHART</w:instrText>
      </w:r>
      <w:r w:rsidR="00FD36DA">
        <w:fldChar w:fldCharType="separate"/>
      </w:r>
      <w:r w:rsidR="00065D79">
        <w:t>2</w:t>
      </w:r>
      <w:r w:rsidR="00FD36DA">
        <w:fldChar w:fldCharType="end"/>
      </w:r>
      <w:bookmarkEnd w:id="1"/>
      <w:r>
        <w:t xml:space="preserve">: </w:t>
      </w:r>
      <w:r w:rsidR="004A3539">
        <w:t xml:space="preserve">Employment growth continues to </w:t>
      </w:r>
      <w:r w:rsidR="00C62A49">
        <w:t>gradually cool</w:t>
      </w:r>
    </w:p>
    <w:p w14:paraId="44066A29" w14:textId="7CD52C10" w:rsidR="00FC255F" w:rsidRDefault="00FC255F" w:rsidP="003A1218">
      <w:pPr>
        <w:spacing w:after="0"/>
      </w:pPr>
      <w:r>
        <w:rPr>
          <w:noProof/>
        </w:rPr>
        <w:drawing>
          <wp:inline distT="0" distB="0" distL="0" distR="0" wp14:anchorId="19085667" wp14:editId="5B5A490D">
            <wp:extent cx="3250933" cy="2548068"/>
            <wp:effectExtent l="0" t="0" r="6985" b="5080"/>
            <wp:docPr id="2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rcRect b="1886"/>
                    <a:stretch>
                      <a:fillRect/>
                    </a:stretch>
                  </pic:blipFill>
                  <pic:spPr>
                    <a:xfrm>
                      <a:off x="0" y="0"/>
                      <a:ext cx="3250933" cy="2548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1A662" w14:textId="7C8F3D22" w:rsidR="0080277F" w:rsidRDefault="00FC255F" w:rsidP="003A1218">
      <w:pPr>
        <w:pStyle w:val="ExhibitSource"/>
      </w:pPr>
      <w:r>
        <w:t>Sources: Oxford Economics, Penta, Haver Analytics</w:t>
      </w:r>
    </w:p>
    <w:p w14:paraId="26E8B7D5" w14:textId="02B8EFD4" w:rsidR="00DA0BA6" w:rsidRDefault="00073F71" w:rsidP="0029135B">
      <w:r>
        <w:t xml:space="preserve">Other series have also been more consistent with the picture painted by our sentiment data. Annual growth in </w:t>
      </w:r>
      <w:r w:rsidR="0029135B">
        <w:t>HMRC</w:t>
      </w:r>
      <w:r>
        <w:t>'s count of</w:t>
      </w:r>
      <w:r w:rsidR="0029135B">
        <w:t xml:space="preserve"> payroll</w:t>
      </w:r>
      <w:r>
        <w:t xml:space="preserve">ed employees </w:t>
      </w:r>
      <w:r w:rsidR="0029135B">
        <w:t>has a similar shape to our nowcast series over the past year</w:t>
      </w:r>
      <w:r w:rsidR="008F3D19">
        <w:t xml:space="preserve">, and though its growth rate has been higher, </w:t>
      </w:r>
      <w:hyperlink r:id="rId24" w:history="1">
        <w:r w:rsidR="008F3D19" w:rsidRPr="00E41853">
          <w:rPr>
            <w:rStyle w:val="Hyperlink"/>
          </w:rPr>
          <w:t>initial HMRC estimates tend to be revised down</w:t>
        </w:r>
      </w:hyperlink>
      <w:r>
        <w:t xml:space="preserve">. </w:t>
      </w:r>
      <w:r w:rsidR="008F3D19">
        <w:t>T</w:t>
      </w:r>
      <w:r>
        <w:t xml:space="preserve">he ONS's vacancies series </w:t>
      </w:r>
      <w:r w:rsidR="008F3D19">
        <w:t xml:space="preserve">also </w:t>
      </w:r>
      <w:r w:rsidR="00A54DFC">
        <w:t xml:space="preserve">continues to drop slowly, not precipitously, and remains </w:t>
      </w:r>
      <w:r w:rsidR="00B14B50">
        <w:t xml:space="preserve">well </w:t>
      </w:r>
      <w:r w:rsidR="00A54DFC">
        <w:t>above pre-pandemic levels.</w:t>
      </w:r>
    </w:p>
    <w:p w14:paraId="0D2C0BCD" w14:textId="2D0D7762" w:rsidR="0029135B" w:rsidRDefault="00A54DFC" w:rsidP="0029135B">
      <w:r>
        <w:t xml:space="preserve">So we think </w:t>
      </w:r>
      <w:r w:rsidR="0029135B">
        <w:t>the latest LFS outturn will prove to be noise and that labour demand is gently cooling, not slumping.</w:t>
      </w:r>
      <w:r w:rsidR="00DA0BA6">
        <w:t xml:space="preserve"> Given that activity has begun to recover at a decent pace in early-2024, we could be close to the trough in employment</w:t>
      </w:r>
      <w:r w:rsidR="008A6BC7">
        <w:t>. Still</w:t>
      </w:r>
      <w:r w:rsidR="000A0399">
        <w:t>,</w:t>
      </w:r>
      <w:r w:rsidR="008A6BC7">
        <w:t xml:space="preserve"> </w:t>
      </w:r>
      <w:r w:rsidR="00DA0BA6">
        <w:t xml:space="preserve">the turnaround probably won't come quickly enough to stop the year-on-year change </w:t>
      </w:r>
      <w:r w:rsidR="0057321F">
        <w:t>in our sentiment data-based employment indicator briefly dipping</w:t>
      </w:r>
      <w:r w:rsidR="00DA0BA6">
        <w:t xml:space="preserve"> into negative territory.</w:t>
      </w:r>
    </w:p>
    <w:p w14:paraId="71E1D906" w14:textId="1E8CE9C2" w:rsidR="00E13039" w:rsidRDefault="00E13039" w:rsidP="003A1218">
      <w:pPr>
        <w:pStyle w:val="Heading3"/>
      </w:pPr>
      <w:r>
        <w:t>Detailed sentiment data is consistent with loosening labour market conditions</w:t>
      </w:r>
    </w:p>
    <w:p w14:paraId="0158D4BF" w14:textId="391B43AF" w:rsidR="0080277F" w:rsidRDefault="00DA0BA6" w:rsidP="0080277F">
      <w:r>
        <w:t>T</w:t>
      </w:r>
      <w:r w:rsidR="00E13039">
        <w:t xml:space="preserve">he strength of </w:t>
      </w:r>
      <w:hyperlink r:id="rId25" w:history="1">
        <w:r w:rsidR="00E13039" w:rsidRPr="00591626">
          <w:rPr>
            <w:rStyle w:val="Hyperlink"/>
          </w:rPr>
          <w:t>labour supply</w:t>
        </w:r>
      </w:hyperlink>
      <w:r>
        <w:t xml:space="preserve"> means that</w:t>
      </w:r>
      <w:r w:rsidR="00E13039">
        <w:t xml:space="preserve"> flat employment should be consistent with loosening labour market conditions. T</w:t>
      </w:r>
      <w:r w:rsidR="00E13039" w:rsidRPr="00E13039">
        <w:t>he individual sentiment series for labour market-related topics used in our nowcasting indicators</w:t>
      </w:r>
      <w:r w:rsidR="00E13039">
        <w:t xml:space="preserve"> back this narrative</w:t>
      </w:r>
      <w:r w:rsidR="0080277F">
        <w:t>.</w:t>
      </w:r>
      <w:r w:rsidR="00E13039">
        <w:t xml:space="preserve"> </w:t>
      </w:r>
      <w:r w:rsidR="00050A1C">
        <w:t>The scores for jobs, recruitment, and expansion plans are all at or below their long-run averages (</w:t>
      </w:r>
      <w:r w:rsidR="00065D79" w:rsidRPr="00683B9C">
        <w:rPr>
          <w:b/>
          <w:color w:val="003469"/>
        </w:rPr>
        <w:fldChar w:fldCharType="begin"/>
      </w:r>
      <w:r w:rsidR="00683B9C" w:rsidRPr="00683B9C">
        <w:rPr>
          <w:b/>
          <w:color w:val="003469"/>
        </w:rPr>
        <w:instrText xml:space="preserve">REF _Ref164859705 \h \* Charformat </w:instrText>
      </w:r>
      <w:r w:rsidR="00683B9C" w:rsidRPr="00683B9C">
        <w:rPr>
          <w:b/>
          <w:color w:val="003469"/>
        </w:rPr>
      </w:r>
      <w:r w:rsidR="00065D79" w:rsidRPr="00683B9C">
        <w:rPr>
          <w:b/>
          <w:color w:val="003469"/>
        </w:rPr>
        <w:fldChar w:fldCharType="separate"/>
      </w:r>
      <w:r w:rsidR="00683B9C" w:rsidRPr="00683B9C">
        <w:rPr>
          <w:b/>
          <w:color w:val="003469"/>
        </w:rPr>
        <w:t>Chart 3</w:t>
      </w:r>
      <w:r w:rsidR="00065D79" w:rsidRPr="00683B9C">
        <w:rPr>
          <w:b/>
          <w:color w:val="003469"/>
        </w:rPr>
        <w:fldChar w:fldCharType="end"/>
      </w:r>
      <w:r w:rsidR="00050A1C">
        <w:t xml:space="preserve">). And though the score for Talent and HR is higher than historical norms, it has fallen sharply from its early-December peak. This suggests that firms are finding it </w:t>
      </w:r>
      <w:r w:rsidR="00EA7168">
        <w:t xml:space="preserve">much </w:t>
      </w:r>
      <w:r w:rsidR="00050A1C">
        <w:t>easier to recruit than before.</w:t>
      </w:r>
    </w:p>
    <w:p w14:paraId="47E66061" w14:textId="1387ED40" w:rsidR="0080277F" w:rsidRDefault="0080277F" w:rsidP="003A1218">
      <w:pPr>
        <w:pStyle w:val="ExhibitTitle"/>
      </w:pPr>
      <w:bookmarkStart w:id="2" w:name="_Ref164859705"/>
      <w:r>
        <w:lastRenderedPageBreak/>
        <w:t xml:space="preserve">Chart </w:t>
      </w:r>
      <w:r w:rsidR="00FD36DA">
        <w:fldChar w:fldCharType="begin"/>
      </w:r>
      <w:r w:rsidR="00065D79">
        <w:instrText>SEQ CHART</w:instrText>
      </w:r>
      <w:r w:rsidR="00FD36DA">
        <w:fldChar w:fldCharType="separate"/>
      </w:r>
      <w:r w:rsidR="00065D79">
        <w:t>3</w:t>
      </w:r>
      <w:r w:rsidR="00FD36DA">
        <w:fldChar w:fldCharType="end"/>
      </w:r>
      <w:bookmarkEnd w:id="2"/>
      <w:r>
        <w:t xml:space="preserve">: </w:t>
      </w:r>
      <w:r w:rsidR="00BB6377">
        <w:t>Individual sentiment series are consistent with loosening labour market conditions</w:t>
      </w:r>
    </w:p>
    <w:p w14:paraId="2D29B64B" w14:textId="1027AC60" w:rsidR="00FC255F" w:rsidRDefault="00FC255F" w:rsidP="003A1218">
      <w:pPr>
        <w:spacing w:after="0"/>
      </w:pPr>
      <w:r>
        <w:rPr>
          <w:noProof/>
        </w:rPr>
        <w:drawing>
          <wp:inline distT="0" distB="0" distL="0" distR="0" wp14:anchorId="5D0CA0BC" wp14:editId="7CDD3899">
            <wp:extent cx="3250933" cy="2548068"/>
            <wp:effectExtent l="0" t="0" r="6985" b="5080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rcRect b="1886"/>
                    <a:stretch>
                      <a:fillRect/>
                    </a:stretch>
                  </pic:blipFill>
                  <pic:spPr>
                    <a:xfrm>
                      <a:off x="0" y="0"/>
                      <a:ext cx="3250933" cy="2548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17CF9" w14:textId="2E5015A3" w:rsidR="0080277F" w:rsidRDefault="00FC255F" w:rsidP="003A1218">
      <w:pPr>
        <w:pStyle w:val="ExhibitSource"/>
      </w:pPr>
      <w:r>
        <w:t>Sources: Oxford Economics, Penta</w:t>
      </w:r>
    </w:p>
    <w:p w14:paraId="0E3835A3" w14:textId="226A5466" w:rsidR="0080277F" w:rsidRDefault="00111E44" w:rsidP="003A1218">
      <w:pPr>
        <w:pStyle w:val="Heading3"/>
      </w:pPr>
      <w:r>
        <w:t>Nowcast data suggests summer rate cut remains on the table</w:t>
      </w:r>
    </w:p>
    <w:p w14:paraId="511C0612" w14:textId="730794DD" w:rsidR="00111E44" w:rsidRDefault="00A11A59" w:rsidP="0080277F">
      <w:r>
        <w:t xml:space="preserve">After </w:t>
      </w:r>
      <w:r w:rsidR="008D669D">
        <w:t xml:space="preserve">the recent </w:t>
      </w:r>
      <w:hyperlink r:id="rId28" w:history="1">
        <w:r w:rsidR="008D669D" w:rsidRPr="003F154D">
          <w:rPr>
            <w:rStyle w:val="Hyperlink"/>
          </w:rPr>
          <w:t>labour market</w:t>
        </w:r>
      </w:hyperlink>
      <w:r w:rsidR="008D669D">
        <w:t xml:space="preserve"> and </w:t>
      </w:r>
      <w:hyperlink r:id="rId29" w:history="1">
        <w:r w:rsidR="008D669D" w:rsidRPr="003F154D">
          <w:rPr>
            <w:rStyle w:val="Hyperlink"/>
          </w:rPr>
          <w:t>inflation</w:t>
        </w:r>
      </w:hyperlink>
      <w:r w:rsidR="008D669D">
        <w:t xml:space="preserve"> releases, financial market</w:t>
      </w:r>
      <w:r w:rsidR="003F154D">
        <w:t xml:space="preserve"> sentiment</w:t>
      </w:r>
      <w:r w:rsidR="008D669D">
        <w:t xml:space="preserve"> </w:t>
      </w:r>
      <w:r w:rsidR="002A1964">
        <w:t xml:space="preserve">moved to the extent that </w:t>
      </w:r>
      <w:r w:rsidR="008D669D">
        <w:t xml:space="preserve">a rate cut </w:t>
      </w:r>
      <w:r w:rsidR="002A1964">
        <w:t>wasn't fully priced until t</w:t>
      </w:r>
      <w:r w:rsidR="008D669D">
        <w:t xml:space="preserve">he autumn. </w:t>
      </w:r>
      <w:r w:rsidR="003F154D">
        <w:t xml:space="preserve">Subsequently, a relatively dovish </w:t>
      </w:r>
      <w:hyperlink r:id="rId30" w:history="1">
        <w:r w:rsidR="003F154D" w:rsidRPr="003F154D">
          <w:rPr>
            <w:rStyle w:val="Hyperlink"/>
          </w:rPr>
          <w:t>speech</w:t>
        </w:r>
      </w:hyperlink>
      <w:r w:rsidR="003F154D">
        <w:t xml:space="preserve"> </w:t>
      </w:r>
      <w:r>
        <w:t>by</w:t>
      </w:r>
      <w:r w:rsidR="003F154D">
        <w:t xml:space="preserve"> BoE Deputy Governor Dave Ramsden</w:t>
      </w:r>
      <w:r w:rsidR="002A1964">
        <w:t xml:space="preserve"> </w:t>
      </w:r>
      <w:r w:rsidR="00C731DD">
        <w:t>led</w:t>
      </w:r>
      <w:r w:rsidR="003F154D">
        <w:t xml:space="preserve"> markets </w:t>
      </w:r>
      <w:r w:rsidR="00C731DD">
        <w:t xml:space="preserve">to </w:t>
      </w:r>
      <w:r w:rsidR="003F154D">
        <w:t>retrace their steps</w:t>
      </w:r>
      <w:r w:rsidR="00C731DD">
        <w:t>. A</w:t>
      </w:r>
      <w:r w:rsidR="003F154D">
        <w:t>t the time of writing, market pricing implies a first rate cut in August.</w:t>
      </w:r>
    </w:p>
    <w:p w14:paraId="1A315174" w14:textId="3F1823D5" w:rsidR="00C731DD" w:rsidRDefault="00C25E08" w:rsidP="0080277F">
      <w:r>
        <w:t xml:space="preserve">Our nowcast data is consistent with a summer cut. Indeed, if official measures of pay growth slow to a similar extent to our nowcast, </w:t>
      </w:r>
      <w:r w:rsidR="000F0C7E">
        <w:t xml:space="preserve">which is close to the BoE's projection for Q2 from February's Monetary Policy Report, </w:t>
      </w:r>
      <w:r>
        <w:t>there</w:t>
      </w:r>
      <w:r w:rsidR="00A11A59">
        <w:t>'s</w:t>
      </w:r>
      <w:r>
        <w:t xml:space="preserve"> </w:t>
      </w:r>
      <w:r w:rsidR="00A11A59">
        <w:t>still</w:t>
      </w:r>
      <w:r>
        <w:t xml:space="preserve"> a good chance that the first cut </w:t>
      </w:r>
      <w:r w:rsidR="00A11A59">
        <w:t xml:space="preserve">will </w:t>
      </w:r>
      <w:r>
        <w:t>come in June</w:t>
      </w:r>
      <w:r w:rsidR="00C03170">
        <w:t xml:space="preserve">, in line with </w:t>
      </w:r>
      <w:hyperlink r:id="rId31" w:history="1">
        <w:r w:rsidR="00C03170" w:rsidRPr="005B345E">
          <w:rPr>
            <w:rStyle w:val="Hyperlink"/>
          </w:rPr>
          <w:t>our current baseline</w:t>
        </w:r>
      </w:hyperlink>
      <w:r>
        <w:t>. As we've previously argued, the April data for pay and inflation is likely to prove key</w:t>
      </w:r>
      <w:r w:rsidR="007F67C0">
        <w:t>. T</w:t>
      </w:r>
      <w:r w:rsidR="00520FBE">
        <w:t xml:space="preserve">he pay data will show the impact of the NLW rise, while the inflation data will </w:t>
      </w:r>
      <w:r w:rsidR="00A11A59">
        <w:t>show</w:t>
      </w:r>
      <w:r w:rsidR="00520FBE">
        <w:t xml:space="preserve"> the impact on core inflation of the annual increases</w:t>
      </w:r>
      <w:r w:rsidR="00520FBE" w:rsidRPr="00520FBE">
        <w:t xml:space="preserve"> for index-linked contracts and regulated prices</w:t>
      </w:r>
      <w:r w:rsidR="00520FBE">
        <w:t xml:space="preserve">. </w:t>
      </w:r>
    </w:p>
    <w:p w14:paraId="4CB2AAFD" w14:textId="0A8FBC76" w:rsidR="003F154D" w:rsidRDefault="00C731DD" w:rsidP="0080277F">
      <w:r>
        <w:t xml:space="preserve">Both releases will be available to the MPC at its June meeting. If the data confirms that pay growth and core inflation are on a downward </w:t>
      </w:r>
      <w:r w:rsidR="00B3130C">
        <w:t>trajectory</w:t>
      </w:r>
      <w:r>
        <w:t xml:space="preserve"> </w:t>
      </w:r>
      <w:r w:rsidR="00E44CD6">
        <w:t xml:space="preserve">and </w:t>
      </w:r>
      <w:r w:rsidR="00A11A59">
        <w:t xml:space="preserve">are </w:t>
      </w:r>
      <w:r w:rsidR="00E44CD6">
        <w:t xml:space="preserve">progressing in line with the MPC's February forecasts, </w:t>
      </w:r>
      <w:r>
        <w:t xml:space="preserve">then </w:t>
      </w:r>
      <w:r w:rsidR="00B3130C">
        <w:t>we think that would be enough to convince a majority to switch to voting to cut. But the internal bloc appears to be less united tha</w:t>
      </w:r>
      <w:r w:rsidR="00A17C7F">
        <w:t>n</w:t>
      </w:r>
      <w:r w:rsidR="00B3130C">
        <w:t xml:space="preserve"> before</w:t>
      </w:r>
      <w:r w:rsidR="00B9345E">
        <w:t xml:space="preserve"> – this week BoE Chief Economist </w:t>
      </w:r>
      <w:r w:rsidR="00B3130C" w:rsidRPr="00B9345E">
        <w:t>Huw Pill</w:t>
      </w:r>
      <w:r w:rsidR="00B9345E">
        <w:t xml:space="preserve"> </w:t>
      </w:r>
      <w:hyperlink r:id="rId32" w:history="1">
        <w:r w:rsidR="00B9345E" w:rsidRPr="00B9345E">
          <w:rPr>
            <w:rStyle w:val="Hyperlink"/>
          </w:rPr>
          <w:t>said</w:t>
        </w:r>
      </w:hyperlink>
      <w:r w:rsidR="00B9345E">
        <w:t xml:space="preserve"> the monetary policy outlook "has not changed substantially" since his March speech, when he had argued that rate cuts were "some way off". </w:t>
      </w:r>
      <w:r w:rsidR="00B3130C">
        <w:t xml:space="preserve">So it's likely to be a close call and we wouldn't be surprised if </w:t>
      </w:r>
      <w:r w:rsidR="00B9345E">
        <w:t xml:space="preserve">some of the </w:t>
      </w:r>
      <w:r w:rsidR="00B3130C">
        <w:t>BoE insiders opt</w:t>
      </w:r>
      <w:r w:rsidR="00B9345E">
        <w:t xml:space="preserve"> </w:t>
      </w:r>
      <w:r w:rsidR="00B3130C">
        <w:t>to err on the side of caution</w:t>
      </w:r>
      <w:r w:rsidR="00B9345E">
        <w:t>,</w:t>
      </w:r>
      <w:r w:rsidR="00B3130C">
        <w:t xml:space="preserve"> </w:t>
      </w:r>
      <w:r w:rsidR="007F67C0">
        <w:t>making us</w:t>
      </w:r>
      <w:r w:rsidR="00B9345E">
        <w:t xml:space="preserve"> </w:t>
      </w:r>
      <w:r w:rsidR="00B3130C">
        <w:t>wait until August</w:t>
      </w:r>
      <w:r w:rsidR="00B9345E">
        <w:t xml:space="preserve"> before there's a majority to cut</w:t>
      </w:r>
      <w:r w:rsidR="00B3130C">
        <w:t>.</w:t>
      </w:r>
    </w:p>
    <w:sectPr w:rsidR="003F154D" w:rsidSect="00FC255F">
      <w:pgSz w:w="11906" w:h="16838"/>
      <w:pgMar w:top="1417" w:right="1276" w:bottom="838" w:left="1134" w:header="198" w:footer="4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74F7B2" w14:textId="77777777" w:rsidR="009F1047" w:rsidRDefault="009F1047" w:rsidP="0080277F">
      <w:pPr>
        <w:spacing w:before="0" w:after="0"/>
      </w:pPr>
      <w:r>
        <w:separator/>
      </w:r>
    </w:p>
  </w:endnote>
  <w:endnote w:type="continuationSeparator" w:id="0">
    <w:p w14:paraId="149E4957" w14:textId="77777777" w:rsidR="009F1047" w:rsidRDefault="009F1047" w:rsidP="0080277F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1D9EF1" w14:textId="77777777" w:rsidR="0080277F" w:rsidRPr="0080277F" w:rsidRDefault="0080277F" w:rsidP="0080277F">
    <w:pPr>
      <w:pStyle w:val="RepeatingFooter"/>
      <w:tabs>
        <w:tab w:val="clear" w:pos="4320"/>
        <w:tab w:val="center" w:pos="3685"/>
      </w:tabs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2</w:t>
    </w:r>
    <w:r>
      <w:fldChar w:fldCharType="end"/>
    </w:r>
    <w:r>
      <w:tab/>
      <w:t>Andrew Goodwin - agoodwin@oxfordeconomics.com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FF4F60" w14:textId="66B48010" w:rsidR="0080277F" w:rsidRDefault="0080277F" w:rsidP="0080277F">
    <w:pPr>
      <w:pStyle w:val="Author"/>
    </w:pPr>
    <w:r>
      <w:t>Andrew Goodwin</w:t>
    </w:r>
    <w:r w:rsidR="003A1218">
      <w:t xml:space="preserve"> - </w:t>
    </w:r>
    <w:r>
      <w:t>Chief UK Economist</w:t>
    </w:r>
    <w:r w:rsidR="003A1218">
      <w:t xml:space="preserve"> - </w:t>
    </w:r>
    <w:hyperlink r:id="rId1" w:history="1">
      <w:r w:rsidR="00F258EF" w:rsidRPr="00F82E89">
        <w:rPr>
          <w:rStyle w:val="Hyperlink"/>
        </w:rPr>
        <w:t>agoodwin@oxfordeconomics.com</w:t>
      </w:r>
    </w:hyperlink>
  </w:p>
  <w:p w14:paraId="03D40610" w14:textId="4AC72A11" w:rsidR="00F258EF" w:rsidRDefault="00F258EF" w:rsidP="0080277F">
    <w:pPr>
      <w:pStyle w:val="Author"/>
    </w:pPr>
    <w:r>
      <w:t>Tomas Dvorak</w:t>
    </w:r>
    <w:r w:rsidR="003A1218">
      <w:t xml:space="preserve"> - </w:t>
    </w:r>
    <w:r>
      <w:t>Senior Economist</w:t>
    </w:r>
    <w:r w:rsidR="003A1218">
      <w:t xml:space="preserve"> - </w:t>
    </w:r>
    <w:hyperlink r:id="rId2" w:history="1">
      <w:r w:rsidRPr="00F82E89">
        <w:rPr>
          <w:rStyle w:val="Hyperlink"/>
        </w:rPr>
        <w:t>tdvorak@oxfordeconomics.com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77A502" w14:textId="77777777" w:rsidR="009F1047" w:rsidRDefault="009F1047" w:rsidP="0080277F">
      <w:pPr>
        <w:spacing w:before="0" w:after="0"/>
      </w:pPr>
      <w:r>
        <w:separator/>
      </w:r>
    </w:p>
  </w:footnote>
  <w:footnote w:type="continuationSeparator" w:id="0">
    <w:p w14:paraId="5CE565AE" w14:textId="77777777" w:rsidR="009F1047" w:rsidRDefault="009F1047" w:rsidP="0080277F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F3D558" w14:textId="77777777" w:rsidR="0080277F" w:rsidRDefault="0080277F">
    <w:pPr>
      <w:spacing w:before="0"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BC4622" w14:textId="77777777" w:rsidR="0080277F" w:rsidRDefault="0080277F" w:rsidP="0080277F">
    <w:pPr>
      <w:pStyle w:val="Headline"/>
      <w:spacing w:before="120"/>
      <w:ind w:right="-1000"/>
    </w:pPr>
    <w:r w:rsidRPr="0080277F">
      <w:rPr>
        <w:noProof/>
      </w:rPr>
      <w:drawing>
        <wp:anchor distT="0" distB="0" distL="114300" distR="114300" simplePos="0" relativeHeight="251658239" behindDoc="1" locked="1" layoutInCell="1" allowOverlap="1" wp14:anchorId="3F1403CE" wp14:editId="7DE2D87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3325" cy="10658475"/>
          <wp:effectExtent l="0" t="0" r="9525" b="9525"/>
          <wp:wrapNone/>
          <wp:docPr id="23" name="Picture 23" descr="A picture containing background patter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background pattern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3325" cy="10658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B6CDB" w:rsidRPr="008B6CDB">
      <w:t>Nowcast shows wage growth slowing sharply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1922DA" w14:textId="77777777" w:rsidR="0080277F" w:rsidRDefault="0080277F" w:rsidP="0080277F">
    <w:r w:rsidRPr="0080277F">
      <w:rPr>
        <w:noProof/>
      </w:rPr>
      <w:drawing>
        <wp:anchor distT="0" distB="0" distL="114300" distR="114300" simplePos="0" relativeHeight="251659264" behindDoc="1" locked="1" layoutInCell="1" allowOverlap="1" wp14:anchorId="02964264" wp14:editId="597DB9FD">
          <wp:simplePos x="0" y="0"/>
          <wp:positionH relativeFrom="page">
            <wp:posOffset>0</wp:posOffset>
          </wp:positionH>
          <wp:positionV relativeFrom="page">
            <wp:posOffset>190500</wp:posOffset>
          </wp:positionV>
          <wp:extent cx="7569200" cy="1503667"/>
          <wp:effectExtent l="0" t="0" r="0" b="1905"/>
          <wp:wrapNone/>
          <wp:docPr id="15" name="Picture 15" descr="Shape, rectang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 descr="Shape, rectangle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15036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sdt>
    <w:sdtPr>
      <w:id w:val="388772736"/>
      <w:lock w:val="sdtLocked"/>
      <w:placeholder>
        <w:docPart w:val="DefaultPlaceholder_-1854013437"/>
      </w:placeholder>
      <w:date w:fullDate="2024-04-25T00:00:00Z">
        <w:dateFormat w:val="d MMMM yyyy"/>
        <w:lid w:val="en-GB"/>
        <w:storeMappedDataAs w:val="dateTime"/>
        <w:calendar w:val="gregorian"/>
      </w:date>
    </w:sdtPr>
    <w:sdtEndPr/>
    <w:sdtContent>
      <w:p w14:paraId="525AB3E0" w14:textId="04F6D2D4" w:rsidR="0080277F" w:rsidRDefault="00D536C6" w:rsidP="0080277F">
        <w:pPr>
          <w:pStyle w:val="PublishDate"/>
          <w:framePr w:w="2835" w:h="340" w:hRule="exact" w:hSpace="180" w:wrap="around" w:vAnchor="page" w:hAnchor="page" w:x="7801" w:y="601" w:anchorLock="1"/>
        </w:pPr>
        <w:r>
          <w:t>25 April 2024</w:t>
        </w:r>
      </w:p>
    </w:sdtContent>
  </w:sdt>
  <w:p w14:paraId="7CB3786E" w14:textId="77777777" w:rsidR="0080277F" w:rsidRDefault="0080277F" w:rsidP="0080277F">
    <w:pPr>
      <w:pStyle w:val="ProductDescription"/>
      <w:framePr w:w="11339" w:h="1474" w:hRule="exact" w:hSpace="180" w:wrap="around" w:vAnchor="page" w:hAnchor="page" w:x="401" w:y="1141" w:anchorLock="1"/>
      <w:spacing w:after="200"/>
    </w:pPr>
    <w:r>
      <w:t>Research Briefing | UK</w:t>
    </w:r>
  </w:p>
  <w:p w14:paraId="0C200EEC" w14:textId="77777777" w:rsidR="0080277F" w:rsidRDefault="008B6CDB" w:rsidP="0080277F">
    <w:pPr>
      <w:pStyle w:val="Headline"/>
      <w:framePr w:w="11339" w:h="1474" w:hRule="exact" w:hSpace="180" w:wrap="around" w:vAnchor="page" w:hAnchor="page" w:x="401" w:y="1141" w:anchorLock="1"/>
      <w:spacing w:line="200" w:lineRule="auto"/>
    </w:pPr>
    <w:r>
      <w:t>Nowcast shows wage growth slowing sharply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97C2884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D54AA6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67222D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B6EB2D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9C4E34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BD6F21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688D6D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0DC6C8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0C2EE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306BF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A432AF"/>
    <w:multiLevelType w:val="multilevel"/>
    <w:tmpl w:val="85241874"/>
    <w:lvl w:ilvl="0">
      <w:start w:val="1"/>
      <w:numFmt w:val="bullet"/>
      <w:pStyle w:val="BodyBullet"/>
      <w:lvlText w:val=""/>
      <w:lvlJc w:val="left"/>
      <w:pPr>
        <w:ind w:left="284" w:hanging="284"/>
      </w:pPr>
      <w:rPr>
        <w:rFonts w:ascii="Wingdings" w:hAnsi="Wingdings" w:hint="default"/>
        <w:sz w:val="28"/>
      </w:rPr>
    </w:lvl>
    <w:lvl w:ilvl="1">
      <w:start w:val="1"/>
      <w:numFmt w:val="bullet"/>
      <w:lvlText w:val="o"/>
      <w:lvlJc w:val="left"/>
      <w:pPr>
        <w:ind w:left="1514" w:hanging="436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8" w:hanging="43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02" w:hanging="43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96" w:hanging="436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90" w:hanging="43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84" w:hanging="43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78" w:hanging="436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72" w:hanging="436"/>
      </w:pPr>
      <w:rPr>
        <w:rFonts w:ascii="Wingdings" w:hAnsi="Wingdings" w:hint="default"/>
      </w:rPr>
    </w:lvl>
  </w:abstractNum>
  <w:abstractNum w:abstractNumId="11" w15:restartNumberingAfterBreak="0">
    <w:nsid w:val="00C94C9E"/>
    <w:multiLevelType w:val="hybridMultilevel"/>
    <w:tmpl w:val="47144C3A"/>
    <w:lvl w:ilvl="0" w:tplc="D8363B80">
      <w:start w:val="1"/>
      <w:numFmt w:val="bullet"/>
      <w:pStyle w:val="Bullet"/>
      <w:lvlText w:val=""/>
      <w:lvlJc w:val="left"/>
      <w:pPr>
        <w:ind w:left="284" w:hanging="284"/>
      </w:pPr>
      <w:rPr>
        <w:rFonts w:ascii="Wingdings" w:hAnsi="Wingdings" w:hint="default"/>
        <w:color w:val="9CC2E5" w:themeColor="accent5" w:themeTint="99"/>
        <w:sz w:val="20"/>
        <w:u w:val="none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A631E12"/>
    <w:multiLevelType w:val="hybridMultilevel"/>
    <w:tmpl w:val="9EB8A598"/>
    <w:lvl w:ilvl="0" w:tplc="4AA61DFE">
      <w:start w:val="1"/>
      <w:numFmt w:val="bullet"/>
      <w:lvlRestart w:val="0"/>
      <w:lvlText w:val=""/>
      <w:lvlJc w:val="left"/>
      <w:pPr>
        <w:ind w:left="720" w:hanging="360"/>
      </w:pPr>
      <w:rPr>
        <w:rFonts w:ascii="Webdings" w:hAnsi="Webdings" w:hint="default"/>
        <w:color w:val="ACB9CA" w:themeColor="text2" w:themeTint="66"/>
        <w:sz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C566A5E"/>
    <w:multiLevelType w:val="hybridMultilevel"/>
    <w:tmpl w:val="ACE8EDBE"/>
    <w:lvl w:ilvl="0" w:tplc="88FEDC1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36F32CF"/>
    <w:multiLevelType w:val="hybridMultilevel"/>
    <w:tmpl w:val="BE80DE78"/>
    <w:lvl w:ilvl="0" w:tplc="2ACE6A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4AF2819"/>
    <w:multiLevelType w:val="hybridMultilevel"/>
    <w:tmpl w:val="157C753A"/>
    <w:lvl w:ilvl="0" w:tplc="047AFB16">
      <w:start w:val="1"/>
      <w:numFmt w:val="bullet"/>
      <w:lvlRestart w:val="0"/>
      <w:lvlText w:val=""/>
      <w:lvlJc w:val="left"/>
      <w:pPr>
        <w:ind w:left="720" w:hanging="360"/>
      </w:pPr>
      <w:rPr>
        <w:rFonts w:ascii="Webdings" w:hAnsi="Webdings" w:hint="default"/>
        <w:color w:val="ACB9CA" w:themeColor="text2" w:themeTint="66"/>
        <w:sz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90809A8"/>
    <w:multiLevelType w:val="hybridMultilevel"/>
    <w:tmpl w:val="5A90D112"/>
    <w:lvl w:ilvl="0" w:tplc="829E818E">
      <w:start w:val="1"/>
      <w:numFmt w:val="bullet"/>
      <w:lvlRestart w:val="0"/>
      <w:lvlText w:val=""/>
      <w:lvlJc w:val="left"/>
      <w:pPr>
        <w:ind w:left="720" w:hanging="360"/>
      </w:pPr>
      <w:rPr>
        <w:rFonts w:ascii="Webdings" w:hAnsi="Webdings" w:hint="default"/>
        <w:color w:val="ACB9CA" w:themeColor="text2" w:themeTint="66"/>
        <w:sz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C912899"/>
    <w:multiLevelType w:val="hybridMultilevel"/>
    <w:tmpl w:val="80E44722"/>
    <w:lvl w:ilvl="0" w:tplc="1AFA6C12">
      <w:start w:val="1"/>
      <w:numFmt w:val="bullet"/>
      <w:lvlRestart w:val="0"/>
      <w:lvlText w:val=""/>
      <w:lvlJc w:val="left"/>
      <w:pPr>
        <w:ind w:left="720" w:hanging="360"/>
      </w:pPr>
      <w:rPr>
        <w:rFonts w:ascii="Webdings" w:hAnsi="Webdings" w:hint="default"/>
        <w:color w:val="ACB9CA" w:themeColor="text2" w:themeTint="66"/>
        <w:sz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1027C37"/>
    <w:multiLevelType w:val="hybridMultilevel"/>
    <w:tmpl w:val="2BB0871A"/>
    <w:lvl w:ilvl="0" w:tplc="829E818E">
      <w:start w:val="1"/>
      <w:numFmt w:val="bullet"/>
      <w:lvlRestart w:val="0"/>
      <w:lvlText w:val=""/>
      <w:lvlJc w:val="left"/>
      <w:pPr>
        <w:ind w:left="720" w:hanging="360"/>
      </w:pPr>
      <w:rPr>
        <w:rFonts w:ascii="Webdings" w:hAnsi="Webdings" w:hint="default"/>
        <w:color w:val="ACB9CA" w:themeColor="text2" w:themeTint="66"/>
        <w:sz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1B14A7F"/>
    <w:multiLevelType w:val="hybridMultilevel"/>
    <w:tmpl w:val="5FC0DC60"/>
    <w:lvl w:ilvl="0" w:tplc="C2F4A666">
      <w:start w:val="1"/>
      <w:numFmt w:val="bullet"/>
      <w:lvlRestart w:val="0"/>
      <w:lvlText w:val=""/>
      <w:lvlJc w:val="left"/>
      <w:pPr>
        <w:ind w:left="720" w:hanging="360"/>
      </w:pPr>
      <w:rPr>
        <w:rFonts w:ascii="Webdings" w:hAnsi="Webdings" w:hint="default"/>
        <w:color w:val="ACB9CA" w:themeColor="text2" w:themeTint="66"/>
        <w:sz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4DD68A8"/>
    <w:multiLevelType w:val="hybridMultilevel"/>
    <w:tmpl w:val="C1EC2B32"/>
    <w:lvl w:ilvl="0" w:tplc="88E8C1B2">
      <w:start w:val="1"/>
      <w:numFmt w:val="bullet"/>
      <w:lvlText w:val=""/>
      <w:lvlJc w:val="left"/>
      <w:pPr>
        <w:ind w:left="-720" w:hanging="360"/>
      </w:pPr>
      <w:rPr>
        <w:rFonts w:ascii="Wingdings" w:hAnsi="Wingdings" w:hint="default"/>
        <w:color w:val="3D4D79"/>
      </w:rPr>
    </w:lvl>
    <w:lvl w:ilvl="1" w:tplc="08090003" w:tentative="1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</w:abstractNum>
  <w:abstractNum w:abstractNumId="21" w15:restartNumberingAfterBreak="0">
    <w:nsid w:val="2937580B"/>
    <w:multiLevelType w:val="hybridMultilevel"/>
    <w:tmpl w:val="EB047A7C"/>
    <w:lvl w:ilvl="0" w:tplc="4ECAF0EC">
      <w:start w:val="1"/>
      <w:numFmt w:val="bullet"/>
      <w:lvlRestart w:val="0"/>
      <w:lvlText w:val=""/>
      <w:lvlJc w:val="left"/>
      <w:pPr>
        <w:ind w:left="720" w:hanging="360"/>
      </w:pPr>
      <w:rPr>
        <w:rFonts w:ascii="Webdings" w:hAnsi="Webdings" w:hint="default"/>
        <w:color w:val="ACB9CA" w:themeColor="text2" w:themeTint="66"/>
        <w:sz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C7249EA"/>
    <w:multiLevelType w:val="hybridMultilevel"/>
    <w:tmpl w:val="8CAAC5DC"/>
    <w:lvl w:ilvl="0" w:tplc="9CB8E808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3E2276F"/>
    <w:multiLevelType w:val="hybridMultilevel"/>
    <w:tmpl w:val="9572BDE8"/>
    <w:lvl w:ilvl="0" w:tplc="E1C4A66A">
      <w:start w:val="1"/>
      <w:numFmt w:val="bullet"/>
      <w:pStyle w:val="Summary"/>
      <w:lvlText w:val=""/>
      <w:lvlJc w:val="left"/>
      <w:pPr>
        <w:ind w:left="1800" w:hanging="360"/>
      </w:pPr>
      <w:rPr>
        <w:rFonts w:ascii="Wingdings" w:hAnsi="Wingdings" w:hint="default"/>
        <w:color w:val="3D4D79"/>
        <w:sz w:val="16"/>
        <w:szCs w:val="20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41F448B"/>
    <w:multiLevelType w:val="hybridMultilevel"/>
    <w:tmpl w:val="7F02F5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58C6CA2"/>
    <w:multiLevelType w:val="multilevel"/>
    <w:tmpl w:val="08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6" w15:restartNumberingAfterBreak="0">
    <w:nsid w:val="367277C7"/>
    <w:multiLevelType w:val="hybridMultilevel"/>
    <w:tmpl w:val="D158A6DA"/>
    <w:lvl w:ilvl="0" w:tplc="C2F4A666">
      <w:start w:val="1"/>
      <w:numFmt w:val="bullet"/>
      <w:lvlRestart w:val="0"/>
      <w:lvlText w:val=""/>
      <w:lvlJc w:val="left"/>
      <w:pPr>
        <w:ind w:left="720" w:hanging="360"/>
      </w:pPr>
      <w:rPr>
        <w:rFonts w:ascii="Webdings" w:hAnsi="Webdings" w:hint="default"/>
        <w:color w:val="ACB9CA" w:themeColor="text2" w:themeTint="66"/>
        <w:sz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6E539D0"/>
    <w:multiLevelType w:val="hybridMultilevel"/>
    <w:tmpl w:val="42541D1C"/>
    <w:lvl w:ilvl="0" w:tplc="60121A1E">
      <w:start w:val="1"/>
      <w:numFmt w:val="bullet"/>
      <w:lvlText w:val=""/>
      <w:lvlJc w:val="left"/>
      <w:pPr>
        <w:ind w:left="720" w:hanging="360"/>
      </w:pPr>
      <w:rPr>
        <w:rFonts w:ascii="Webdings" w:hAnsi="Webdings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9FE14C4"/>
    <w:multiLevelType w:val="hybridMultilevel"/>
    <w:tmpl w:val="C9484A32"/>
    <w:lvl w:ilvl="0" w:tplc="4ECAF0EC">
      <w:start w:val="1"/>
      <w:numFmt w:val="bullet"/>
      <w:lvlRestart w:val="0"/>
      <w:lvlText w:val=""/>
      <w:lvlJc w:val="left"/>
      <w:pPr>
        <w:ind w:left="720" w:hanging="360"/>
      </w:pPr>
      <w:rPr>
        <w:rFonts w:ascii="Webdings" w:hAnsi="Webdings" w:hint="default"/>
        <w:color w:val="ACB9CA" w:themeColor="text2" w:themeTint="66"/>
        <w:sz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BEB67AD"/>
    <w:multiLevelType w:val="hybridMultilevel"/>
    <w:tmpl w:val="44E8EBD6"/>
    <w:lvl w:ilvl="0" w:tplc="1AFA6C12">
      <w:start w:val="1"/>
      <w:numFmt w:val="bullet"/>
      <w:lvlRestart w:val="0"/>
      <w:lvlText w:val=""/>
      <w:lvlJc w:val="left"/>
      <w:pPr>
        <w:ind w:left="720" w:hanging="360"/>
      </w:pPr>
      <w:rPr>
        <w:rFonts w:ascii="Webdings" w:hAnsi="Webdings" w:hint="default"/>
        <w:color w:val="ACB9CA" w:themeColor="text2" w:themeTint="66"/>
        <w:sz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CEC682A"/>
    <w:multiLevelType w:val="hybridMultilevel"/>
    <w:tmpl w:val="9EE8CC52"/>
    <w:lvl w:ilvl="0" w:tplc="7976422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0A541FD"/>
    <w:multiLevelType w:val="hybridMultilevel"/>
    <w:tmpl w:val="9574031A"/>
    <w:lvl w:ilvl="0" w:tplc="3C4A3C3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10C224E"/>
    <w:multiLevelType w:val="hybridMultilevel"/>
    <w:tmpl w:val="656E90C8"/>
    <w:lvl w:ilvl="0" w:tplc="829E818E">
      <w:start w:val="1"/>
      <w:numFmt w:val="bullet"/>
      <w:lvlRestart w:val="0"/>
      <w:lvlText w:val=""/>
      <w:lvlJc w:val="left"/>
      <w:pPr>
        <w:ind w:left="720" w:hanging="360"/>
      </w:pPr>
      <w:rPr>
        <w:rFonts w:ascii="Webdings" w:hAnsi="Webdings" w:hint="default"/>
        <w:color w:val="ACB9CA" w:themeColor="text2" w:themeTint="66"/>
        <w:sz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2ED3B55"/>
    <w:multiLevelType w:val="hybridMultilevel"/>
    <w:tmpl w:val="DF6E0320"/>
    <w:lvl w:ilvl="0" w:tplc="EE083EF2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5714373"/>
    <w:multiLevelType w:val="hybridMultilevel"/>
    <w:tmpl w:val="C31457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8162A0F"/>
    <w:multiLevelType w:val="hybridMultilevel"/>
    <w:tmpl w:val="62FAAB68"/>
    <w:lvl w:ilvl="0" w:tplc="1AFA6C12">
      <w:start w:val="1"/>
      <w:numFmt w:val="bullet"/>
      <w:lvlRestart w:val="0"/>
      <w:lvlText w:val=""/>
      <w:lvlJc w:val="left"/>
      <w:pPr>
        <w:ind w:left="720" w:hanging="360"/>
      </w:pPr>
      <w:rPr>
        <w:rFonts w:ascii="Webdings" w:hAnsi="Webdings" w:hint="default"/>
        <w:color w:val="ACB9CA" w:themeColor="text2" w:themeTint="66"/>
        <w:sz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9D775CD"/>
    <w:multiLevelType w:val="hybridMultilevel"/>
    <w:tmpl w:val="6B0E6210"/>
    <w:lvl w:ilvl="0" w:tplc="6AA6C10E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9CC2E5" w:themeColor="accent5" w:themeTint="99"/>
        <w:sz w:val="20"/>
        <w:u w:val="no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1934573"/>
    <w:multiLevelType w:val="multilevel"/>
    <w:tmpl w:val="B352DD0C"/>
    <w:lvl w:ilvl="0">
      <w:start w:val="1"/>
      <w:numFmt w:val="bullet"/>
      <w:lvlText w:val=""/>
      <w:lvlJc w:val="left"/>
      <w:pPr>
        <w:ind w:left="284" w:hanging="284"/>
      </w:pPr>
      <w:rPr>
        <w:rFonts w:ascii="Wingdings" w:hAnsi="Wingdings" w:hint="default"/>
        <w:color w:val="9CC2E5" w:themeColor="accent5" w:themeTint="99"/>
        <w:sz w:val="20"/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571A5AA8"/>
    <w:multiLevelType w:val="hybridMultilevel"/>
    <w:tmpl w:val="53EE3E6E"/>
    <w:lvl w:ilvl="0" w:tplc="1C6A6FC0">
      <w:start w:val="1"/>
      <w:numFmt w:val="bullet"/>
      <w:lvlText w:val=""/>
      <w:lvlJc w:val="left"/>
      <w:pPr>
        <w:ind w:left="720" w:hanging="360"/>
      </w:pPr>
      <w:rPr>
        <w:rFonts w:ascii="Webdings" w:hAnsi="Webdings" w:hint="default"/>
        <w:sz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8A20213"/>
    <w:multiLevelType w:val="hybridMultilevel"/>
    <w:tmpl w:val="8E3294BA"/>
    <w:lvl w:ilvl="0" w:tplc="1AFA6C12">
      <w:start w:val="1"/>
      <w:numFmt w:val="bullet"/>
      <w:lvlRestart w:val="0"/>
      <w:lvlText w:val=""/>
      <w:lvlJc w:val="left"/>
      <w:pPr>
        <w:ind w:left="720" w:hanging="360"/>
      </w:pPr>
      <w:rPr>
        <w:rFonts w:ascii="Webdings" w:hAnsi="Webdings" w:hint="default"/>
        <w:color w:val="ACB9CA" w:themeColor="text2" w:themeTint="66"/>
        <w:sz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D9321EE"/>
    <w:multiLevelType w:val="hybridMultilevel"/>
    <w:tmpl w:val="B3986AB2"/>
    <w:lvl w:ilvl="0" w:tplc="08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41" w15:restartNumberingAfterBreak="0">
    <w:nsid w:val="646D6F89"/>
    <w:multiLevelType w:val="hybridMultilevel"/>
    <w:tmpl w:val="3602343A"/>
    <w:lvl w:ilvl="0" w:tplc="B3C29BA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A3843C1"/>
    <w:multiLevelType w:val="hybridMultilevel"/>
    <w:tmpl w:val="EC5AE4DA"/>
    <w:lvl w:ilvl="0" w:tplc="4ECAF0EC">
      <w:start w:val="1"/>
      <w:numFmt w:val="bullet"/>
      <w:lvlRestart w:val="0"/>
      <w:lvlText w:val=""/>
      <w:lvlJc w:val="left"/>
      <w:pPr>
        <w:ind w:left="720" w:hanging="360"/>
      </w:pPr>
      <w:rPr>
        <w:rFonts w:ascii="Webdings" w:hAnsi="Webdings" w:hint="default"/>
        <w:color w:val="ACB9CA" w:themeColor="text2" w:themeTint="66"/>
        <w:sz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C913A18"/>
    <w:multiLevelType w:val="hybridMultilevel"/>
    <w:tmpl w:val="FB104A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D407CA3"/>
    <w:multiLevelType w:val="singleLevel"/>
    <w:tmpl w:val="DFCC12D8"/>
    <w:lvl w:ilvl="0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5" w15:restartNumberingAfterBreak="0">
    <w:nsid w:val="6FB00AB4"/>
    <w:multiLevelType w:val="hybridMultilevel"/>
    <w:tmpl w:val="A8CC42E2"/>
    <w:lvl w:ilvl="0" w:tplc="71A6902E">
      <w:start w:val="1"/>
      <w:numFmt w:val="bullet"/>
      <w:lvlRestart w:val="0"/>
      <w:lvlText w:val=""/>
      <w:lvlJc w:val="left"/>
      <w:pPr>
        <w:ind w:left="436" w:hanging="360"/>
      </w:pPr>
      <w:rPr>
        <w:rFonts w:ascii="Webdings" w:hAnsi="Webdings" w:hint="default"/>
        <w:color w:val="ACB9CA" w:themeColor="text2" w:themeTint="66"/>
        <w:sz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46" w15:restartNumberingAfterBreak="0">
    <w:nsid w:val="6FE038AD"/>
    <w:multiLevelType w:val="hybridMultilevel"/>
    <w:tmpl w:val="2C2026B0"/>
    <w:lvl w:ilvl="0" w:tplc="1AFA6C12">
      <w:start w:val="1"/>
      <w:numFmt w:val="bullet"/>
      <w:lvlRestart w:val="0"/>
      <w:lvlText w:val=""/>
      <w:lvlJc w:val="left"/>
      <w:pPr>
        <w:ind w:left="720" w:hanging="360"/>
      </w:pPr>
      <w:rPr>
        <w:rFonts w:ascii="Webdings" w:hAnsi="Webdings" w:hint="default"/>
        <w:color w:val="ACB9CA" w:themeColor="text2" w:themeTint="66"/>
        <w:sz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3473CBD"/>
    <w:multiLevelType w:val="hybridMultilevel"/>
    <w:tmpl w:val="CE008BB4"/>
    <w:lvl w:ilvl="0" w:tplc="829E818E">
      <w:start w:val="1"/>
      <w:numFmt w:val="bullet"/>
      <w:lvlRestart w:val="0"/>
      <w:lvlText w:val=""/>
      <w:lvlJc w:val="left"/>
      <w:pPr>
        <w:ind w:left="720" w:hanging="360"/>
      </w:pPr>
      <w:rPr>
        <w:rFonts w:ascii="Webdings" w:hAnsi="Webdings" w:hint="default"/>
        <w:color w:val="ACB9CA" w:themeColor="text2" w:themeTint="66"/>
        <w:sz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81E78D7"/>
    <w:multiLevelType w:val="hybridMultilevel"/>
    <w:tmpl w:val="250EEE86"/>
    <w:lvl w:ilvl="0" w:tplc="829E818E">
      <w:start w:val="1"/>
      <w:numFmt w:val="bullet"/>
      <w:lvlRestart w:val="0"/>
      <w:lvlText w:val=""/>
      <w:lvlJc w:val="left"/>
      <w:pPr>
        <w:ind w:left="720" w:hanging="360"/>
      </w:pPr>
      <w:rPr>
        <w:rFonts w:ascii="Webdings" w:hAnsi="Webdings" w:hint="default"/>
        <w:color w:val="ACB9CA" w:themeColor="text2" w:themeTint="66"/>
        <w:sz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4886228">
    <w:abstractNumId w:val="34"/>
  </w:num>
  <w:num w:numId="2" w16cid:durableId="1829903970">
    <w:abstractNumId w:val="24"/>
  </w:num>
  <w:num w:numId="3" w16cid:durableId="1194266905">
    <w:abstractNumId w:val="26"/>
  </w:num>
  <w:num w:numId="4" w16cid:durableId="849023727">
    <w:abstractNumId w:val="19"/>
  </w:num>
  <w:num w:numId="5" w16cid:durableId="74866496">
    <w:abstractNumId w:val="21"/>
  </w:num>
  <w:num w:numId="6" w16cid:durableId="1696495556">
    <w:abstractNumId w:val="28"/>
  </w:num>
  <w:num w:numId="7" w16cid:durableId="1818718989">
    <w:abstractNumId w:val="42"/>
  </w:num>
  <w:num w:numId="8" w16cid:durableId="243607606">
    <w:abstractNumId w:val="15"/>
  </w:num>
  <w:num w:numId="9" w16cid:durableId="1194347786">
    <w:abstractNumId w:val="43"/>
  </w:num>
  <w:num w:numId="10" w16cid:durableId="982466357">
    <w:abstractNumId w:val="12"/>
  </w:num>
  <w:num w:numId="11" w16cid:durableId="526526584">
    <w:abstractNumId w:val="29"/>
  </w:num>
  <w:num w:numId="12" w16cid:durableId="1145394332">
    <w:abstractNumId w:val="39"/>
  </w:num>
  <w:num w:numId="13" w16cid:durableId="1030881623">
    <w:abstractNumId w:val="17"/>
  </w:num>
  <w:num w:numId="14" w16cid:durableId="666055573">
    <w:abstractNumId w:val="46"/>
  </w:num>
  <w:num w:numId="15" w16cid:durableId="689186118">
    <w:abstractNumId w:val="35"/>
  </w:num>
  <w:num w:numId="16" w16cid:durableId="560403710">
    <w:abstractNumId w:val="32"/>
  </w:num>
  <w:num w:numId="17" w16cid:durableId="168524081">
    <w:abstractNumId w:val="18"/>
  </w:num>
  <w:num w:numId="18" w16cid:durableId="718477381">
    <w:abstractNumId w:val="16"/>
  </w:num>
  <w:num w:numId="19" w16cid:durableId="916062382">
    <w:abstractNumId w:val="47"/>
  </w:num>
  <w:num w:numId="20" w16cid:durableId="860780654">
    <w:abstractNumId w:val="48"/>
  </w:num>
  <w:num w:numId="21" w16cid:durableId="1764453888">
    <w:abstractNumId w:val="9"/>
  </w:num>
  <w:num w:numId="22" w16cid:durableId="1069815394">
    <w:abstractNumId w:val="7"/>
  </w:num>
  <w:num w:numId="23" w16cid:durableId="1694770430">
    <w:abstractNumId w:val="6"/>
  </w:num>
  <w:num w:numId="24" w16cid:durableId="1660498404">
    <w:abstractNumId w:val="5"/>
  </w:num>
  <w:num w:numId="25" w16cid:durableId="675688319">
    <w:abstractNumId w:val="4"/>
  </w:num>
  <w:num w:numId="26" w16cid:durableId="1414887902">
    <w:abstractNumId w:val="8"/>
  </w:num>
  <w:num w:numId="27" w16cid:durableId="325714389">
    <w:abstractNumId w:val="3"/>
  </w:num>
  <w:num w:numId="28" w16cid:durableId="1710956165">
    <w:abstractNumId w:val="2"/>
  </w:num>
  <w:num w:numId="29" w16cid:durableId="2039308034">
    <w:abstractNumId w:val="1"/>
  </w:num>
  <w:num w:numId="30" w16cid:durableId="535504013">
    <w:abstractNumId w:val="0"/>
  </w:num>
  <w:num w:numId="31" w16cid:durableId="1663241854">
    <w:abstractNumId w:val="40"/>
  </w:num>
  <w:num w:numId="32" w16cid:durableId="801264644">
    <w:abstractNumId w:val="45"/>
  </w:num>
  <w:num w:numId="33" w16cid:durableId="1455520341">
    <w:abstractNumId w:val="20"/>
  </w:num>
  <w:num w:numId="34" w16cid:durableId="1580560433">
    <w:abstractNumId w:val="23"/>
  </w:num>
  <w:num w:numId="35" w16cid:durableId="1764566259">
    <w:abstractNumId w:val="14"/>
  </w:num>
  <w:num w:numId="36" w16cid:durableId="1010720609">
    <w:abstractNumId w:val="31"/>
  </w:num>
  <w:num w:numId="37" w16cid:durableId="1451243074">
    <w:abstractNumId w:val="13"/>
  </w:num>
  <w:num w:numId="38" w16cid:durableId="813328128">
    <w:abstractNumId w:val="30"/>
  </w:num>
  <w:num w:numId="39" w16cid:durableId="824857053">
    <w:abstractNumId w:val="27"/>
  </w:num>
  <w:num w:numId="40" w16cid:durableId="1481507298">
    <w:abstractNumId w:val="38"/>
  </w:num>
  <w:num w:numId="41" w16cid:durableId="1763258735">
    <w:abstractNumId w:val="22"/>
  </w:num>
  <w:num w:numId="42" w16cid:durableId="590772910">
    <w:abstractNumId w:val="33"/>
  </w:num>
  <w:num w:numId="43" w16cid:durableId="1110708799">
    <w:abstractNumId w:val="36"/>
  </w:num>
  <w:num w:numId="44" w16cid:durableId="575897493">
    <w:abstractNumId w:val="11"/>
  </w:num>
  <w:num w:numId="45" w16cid:durableId="2074311132">
    <w:abstractNumId w:val="11"/>
    <w:lvlOverride w:ilvl="0">
      <w:startOverride w:val="1"/>
    </w:lvlOverride>
  </w:num>
  <w:num w:numId="46" w16cid:durableId="218368505">
    <w:abstractNumId w:val="44"/>
  </w:num>
  <w:num w:numId="47" w16cid:durableId="1240553240">
    <w:abstractNumId w:val="41"/>
  </w:num>
  <w:num w:numId="48" w16cid:durableId="65612579">
    <w:abstractNumId w:val="37"/>
  </w:num>
  <w:num w:numId="49" w16cid:durableId="617294149">
    <w:abstractNumId w:val="25"/>
  </w:num>
  <w:num w:numId="50" w16cid:durableId="187565204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cumentProtection w:formatting="1" w:enforcement="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77F"/>
    <w:rsid w:val="00003BA7"/>
    <w:rsid w:val="00011024"/>
    <w:rsid w:val="00022761"/>
    <w:rsid w:val="00022FF4"/>
    <w:rsid w:val="00050A1C"/>
    <w:rsid w:val="00065D79"/>
    <w:rsid w:val="00073F71"/>
    <w:rsid w:val="000A0399"/>
    <w:rsid w:val="000A6D71"/>
    <w:rsid w:val="000C0ADF"/>
    <w:rsid w:val="000D2CAB"/>
    <w:rsid w:val="000D3E43"/>
    <w:rsid w:val="000E2BD3"/>
    <w:rsid w:val="000F0C7E"/>
    <w:rsid w:val="000F329E"/>
    <w:rsid w:val="000F3F52"/>
    <w:rsid w:val="001018E9"/>
    <w:rsid w:val="00111E44"/>
    <w:rsid w:val="00120D7A"/>
    <w:rsid w:val="00124E58"/>
    <w:rsid w:val="001447CF"/>
    <w:rsid w:val="00160F71"/>
    <w:rsid w:val="0016316B"/>
    <w:rsid w:val="0017078A"/>
    <w:rsid w:val="00192CDF"/>
    <w:rsid w:val="001A5775"/>
    <w:rsid w:val="001A6993"/>
    <w:rsid w:val="001B2B67"/>
    <w:rsid w:val="001B2C32"/>
    <w:rsid w:val="001D7057"/>
    <w:rsid w:val="001E0785"/>
    <w:rsid w:val="001E0C4A"/>
    <w:rsid w:val="001F3317"/>
    <w:rsid w:val="001F5A78"/>
    <w:rsid w:val="002615F6"/>
    <w:rsid w:val="00262D94"/>
    <w:rsid w:val="00263E48"/>
    <w:rsid w:val="002745D6"/>
    <w:rsid w:val="00282A8A"/>
    <w:rsid w:val="00286754"/>
    <w:rsid w:val="0029135B"/>
    <w:rsid w:val="0029566B"/>
    <w:rsid w:val="002A1964"/>
    <w:rsid w:val="002A58F3"/>
    <w:rsid w:val="002D0DC9"/>
    <w:rsid w:val="003017D9"/>
    <w:rsid w:val="00305E60"/>
    <w:rsid w:val="0031169C"/>
    <w:rsid w:val="00316CBE"/>
    <w:rsid w:val="00370974"/>
    <w:rsid w:val="00374E02"/>
    <w:rsid w:val="003A1218"/>
    <w:rsid w:val="003B0CAB"/>
    <w:rsid w:val="003B715A"/>
    <w:rsid w:val="003D7B1E"/>
    <w:rsid w:val="003F0F4E"/>
    <w:rsid w:val="003F154D"/>
    <w:rsid w:val="0040359C"/>
    <w:rsid w:val="00405D65"/>
    <w:rsid w:val="004258C9"/>
    <w:rsid w:val="004458BB"/>
    <w:rsid w:val="0046292D"/>
    <w:rsid w:val="004677EA"/>
    <w:rsid w:val="004827E3"/>
    <w:rsid w:val="00495DE7"/>
    <w:rsid w:val="004A2A92"/>
    <w:rsid w:val="004A3539"/>
    <w:rsid w:val="004B4F66"/>
    <w:rsid w:val="004C7923"/>
    <w:rsid w:val="004D473F"/>
    <w:rsid w:val="004D650E"/>
    <w:rsid w:val="004F6193"/>
    <w:rsid w:val="005176F2"/>
    <w:rsid w:val="00520FBE"/>
    <w:rsid w:val="005278FC"/>
    <w:rsid w:val="005414BA"/>
    <w:rsid w:val="0054280C"/>
    <w:rsid w:val="005473C6"/>
    <w:rsid w:val="00563FEB"/>
    <w:rsid w:val="00572BB6"/>
    <w:rsid w:val="0057321F"/>
    <w:rsid w:val="00576CB8"/>
    <w:rsid w:val="00591626"/>
    <w:rsid w:val="00592138"/>
    <w:rsid w:val="005B345E"/>
    <w:rsid w:val="005F0616"/>
    <w:rsid w:val="006125A3"/>
    <w:rsid w:val="006166EE"/>
    <w:rsid w:val="00671564"/>
    <w:rsid w:val="006739BF"/>
    <w:rsid w:val="0067595A"/>
    <w:rsid w:val="00683B9C"/>
    <w:rsid w:val="006A1630"/>
    <w:rsid w:val="006A676D"/>
    <w:rsid w:val="007114D0"/>
    <w:rsid w:val="00720A0F"/>
    <w:rsid w:val="00753926"/>
    <w:rsid w:val="00755AFB"/>
    <w:rsid w:val="007723AE"/>
    <w:rsid w:val="00784272"/>
    <w:rsid w:val="007A0F18"/>
    <w:rsid w:val="007B57CD"/>
    <w:rsid w:val="007F67C0"/>
    <w:rsid w:val="0080277F"/>
    <w:rsid w:val="00813957"/>
    <w:rsid w:val="00847933"/>
    <w:rsid w:val="00855D68"/>
    <w:rsid w:val="0086090E"/>
    <w:rsid w:val="00874B7C"/>
    <w:rsid w:val="0088455B"/>
    <w:rsid w:val="008A6BC7"/>
    <w:rsid w:val="008B6CDB"/>
    <w:rsid w:val="008C7961"/>
    <w:rsid w:val="008D669D"/>
    <w:rsid w:val="008E11F0"/>
    <w:rsid w:val="008E721D"/>
    <w:rsid w:val="008F1A70"/>
    <w:rsid w:val="008F3D19"/>
    <w:rsid w:val="00920D15"/>
    <w:rsid w:val="00933B30"/>
    <w:rsid w:val="009634AC"/>
    <w:rsid w:val="00995E6B"/>
    <w:rsid w:val="009B53A5"/>
    <w:rsid w:val="009C7C16"/>
    <w:rsid w:val="009E07F1"/>
    <w:rsid w:val="009E5F70"/>
    <w:rsid w:val="009F1047"/>
    <w:rsid w:val="009F37D1"/>
    <w:rsid w:val="009F3F01"/>
    <w:rsid w:val="00A11A59"/>
    <w:rsid w:val="00A17C7F"/>
    <w:rsid w:val="00A25234"/>
    <w:rsid w:val="00A332D4"/>
    <w:rsid w:val="00A50835"/>
    <w:rsid w:val="00A52669"/>
    <w:rsid w:val="00A54DFC"/>
    <w:rsid w:val="00A63323"/>
    <w:rsid w:val="00A66B32"/>
    <w:rsid w:val="00A77085"/>
    <w:rsid w:val="00A9430E"/>
    <w:rsid w:val="00AC35FE"/>
    <w:rsid w:val="00AD07ED"/>
    <w:rsid w:val="00AE76E6"/>
    <w:rsid w:val="00B04E07"/>
    <w:rsid w:val="00B05C77"/>
    <w:rsid w:val="00B14B50"/>
    <w:rsid w:val="00B16B5A"/>
    <w:rsid w:val="00B3130C"/>
    <w:rsid w:val="00B7343B"/>
    <w:rsid w:val="00B846EA"/>
    <w:rsid w:val="00B910EA"/>
    <w:rsid w:val="00B9345E"/>
    <w:rsid w:val="00BB6195"/>
    <w:rsid w:val="00BB6377"/>
    <w:rsid w:val="00BE1485"/>
    <w:rsid w:val="00BF6A2A"/>
    <w:rsid w:val="00C03170"/>
    <w:rsid w:val="00C17065"/>
    <w:rsid w:val="00C25E08"/>
    <w:rsid w:val="00C33EBE"/>
    <w:rsid w:val="00C62A49"/>
    <w:rsid w:val="00C65A69"/>
    <w:rsid w:val="00C72052"/>
    <w:rsid w:val="00C731DD"/>
    <w:rsid w:val="00C75153"/>
    <w:rsid w:val="00C7547D"/>
    <w:rsid w:val="00C76458"/>
    <w:rsid w:val="00C84AD7"/>
    <w:rsid w:val="00C90D41"/>
    <w:rsid w:val="00C93538"/>
    <w:rsid w:val="00C9768F"/>
    <w:rsid w:val="00CA4BF3"/>
    <w:rsid w:val="00CB23EC"/>
    <w:rsid w:val="00CB7716"/>
    <w:rsid w:val="00CC3321"/>
    <w:rsid w:val="00CC4792"/>
    <w:rsid w:val="00D379EC"/>
    <w:rsid w:val="00D44219"/>
    <w:rsid w:val="00D536C6"/>
    <w:rsid w:val="00D573C9"/>
    <w:rsid w:val="00D645EE"/>
    <w:rsid w:val="00D81270"/>
    <w:rsid w:val="00D844E8"/>
    <w:rsid w:val="00DA0BA6"/>
    <w:rsid w:val="00DC3B6C"/>
    <w:rsid w:val="00DE568D"/>
    <w:rsid w:val="00DF73F9"/>
    <w:rsid w:val="00E13039"/>
    <w:rsid w:val="00E213A8"/>
    <w:rsid w:val="00E23560"/>
    <w:rsid w:val="00E41853"/>
    <w:rsid w:val="00E44CD6"/>
    <w:rsid w:val="00E53803"/>
    <w:rsid w:val="00E64389"/>
    <w:rsid w:val="00EA0803"/>
    <w:rsid w:val="00EA2025"/>
    <w:rsid w:val="00EA7168"/>
    <w:rsid w:val="00ED615F"/>
    <w:rsid w:val="00ED6FF0"/>
    <w:rsid w:val="00EF3DD1"/>
    <w:rsid w:val="00F258EF"/>
    <w:rsid w:val="00F2643F"/>
    <w:rsid w:val="00F26D1F"/>
    <w:rsid w:val="00F44DCD"/>
    <w:rsid w:val="00F52C66"/>
    <w:rsid w:val="00F72F2A"/>
    <w:rsid w:val="00F964B8"/>
    <w:rsid w:val="00FA262D"/>
    <w:rsid w:val="00FC0B39"/>
    <w:rsid w:val="00FC1EA7"/>
    <w:rsid w:val="00FC255F"/>
    <w:rsid w:val="00FD36DA"/>
    <w:rsid w:val="00FE0EF6"/>
    <w:rsid w:val="00FE5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F76501"/>
  <w15:chartTrackingRefBased/>
  <w15:docId w15:val="{71144504-7045-40C8-959F-5811C246F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77F"/>
    <w:pPr>
      <w:spacing w:before="100" w:after="100" w:line="240" w:lineRule="auto"/>
    </w:pPr>
    <w:rPr>
      <w:rFonts w:ascii="Segoe UI" w:hAnsi="Segoe UI" w:cs="Segoe UI"/>
      <w:color w:val="000000" w:themeColor="text1"/>
      <w:kern w:val="0"/>
      <w:sz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277F"/>
    <w:pPr>
      <w:keepNext/>
      <w:keepLines/>
      <w:spacing w:before="120" w:after="120" w:line="259" w:lineRule="auto"/>
      <w:outlineLvl w:val="0"/>
    </w:pPr>
    <w:rPr>
      <w:rFonts w:eastAsiaTheme="majorEastAsia" w:cstheme="majorBidi"/>
      <w:b/>
      <w:color w:val="003469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0277F"/>
    <w:pPr>
      <w:outlineLvl w:val="1"/>
    </w:pPr>
    <w:rPr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277F"/>
    <w:pPr>
      <w:keepNext/>
      <w:keepLines/>
      <w:spacing w:before="120" w:after="120" w:line="259" w:lineRule="auto"/>
      <w:outlineLvl w:val="2"/>
    </w:pPr>
    <w:rPr>
      <w:rFonts w:eastAsiaTheme="majorEastAsia" w:cstheme="majorBidi"/>
      <w:color w:val="003469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0277F"/>
    <w:pPr>
      <w:keepNext/>
      <w:keepLines/>
      <w:outlineLvl w:val="3"/>
    </w:pPr>
    <w:rPr>
      <w:rFonts w:eastAsiaTheme="majorEastAsia" w:cstheme="majorBidi"/>
      <w:iCs/>
      <w:u w:val="single"/>
    </w:rPr>
  </w:style>
  <w:style w:type="paragraph" w:styleId="Heading5">
    <w:name w:val="heading 5"/>
    <w:basedOn w:val="Normal"/>
    <w:next w:val="Normal"/>
    <w:link w:val="Heading5Char"/>
    <w:uiPriority w:val="9"/>
    <w:unhideWhenUsed/>
    <w:locked/>
    <w:rsid w:val="0080277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locked/>
    <w:rsid w:val="0080277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locked/>
    <w:rsid w:val="0080277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locked/>
    <w:rsid w:val="0080277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locked/>
    <w:rsid w:val="0080277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locked/>
    <w:rsid w:val="0080277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277F"/>
    <w:rPr>
      <w:rFonts w:ascii="Segoe UI" w:hAnsi="Segoe UI" w:cs="Segoe UI"/>
      <w:noProof w:val="0"/>
      <w:color w:val="000000" w:themeColor="text1"/>
      <w:kern w:val="0"/>
      <w:sz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0277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277F"/>
    <w:rPr>
      <w:rFonts w:ascii="Segoe UI" w:hAnsi="Segoe UI" w:cs="Segoe UI"/>
      <w:noProof w:val="0"/>
      <w:color w:val="000000" w:themeColor="text1"/>
      <w:kern w:val="0"/>
      <w:sz w:val="2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0277F"/>
    <w:rPr>
      <w:rFonts w:ascii="Segoe UI" w:eastAsiaTheme="majorEastAsia" w:hAnsi="Segoe UI" w:cstheme="majorBidi"/>
      <w:b/>
      <w:noProof w:val="0"/>
      <w:color w:val="003469"/>
      <w:kern w:val="0"/>
      <w:sz w:val="32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0277F"/>
    <w:rPr>
      <w:rFonts w:ascii="Segoe UI" w:eastAsiaTheme="majorEastAsia" w:hAnsi="Segoe UI" w:cstheme="majorBidi"/>
      <w:b/>
      <w:noProof w:val="0"/>
      <w:color w:val="003469"/>
      <w:kern w:val="0"/>
      <w:sz w:val="28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0277F"/>
    <w:rPr>
      <w:rFonts w:ascii="Segoe UI" w:eastAsiaTheme="majorEastAsia" w:hAnsi="Segoe UI" w:cstheme="majorBidi"/>
      <w:noProof w:val="0"/>
      <w:color w:val="003469"/>
      <w:kern w:val="0"/>
      <w:sz w:val="24"/>
      <w:szCs w:val="24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80277F"/>
    <w:rPr>
      <w:rFonts w:ascii="Segoe UI" w:eastAsiaTheme="majorEastAsia" w:hAnsi="Segoe UI" w:cstheme="majorBidi"/>
      <w:iCs/>
      <w:noProof w:val="0"/>
      <w:color w:val="000000" w:themeColor="text1"/>
      <w:kern w:val="0"/>
      <w:sz w:val="20"/>
      <w:u w:val="single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80277F"/>
    <w:rPr>
      <w:rFonts w:asciiTheme="majorHAnsi" w:eastAsiaTheme="majorEastAsia" w:hAnsiTheme="majorHAnsi" w:cstheme="majorBidi"/>
      <w:noProof w:val="0"/>
      <w:color w:val="2F5496" w:themeColor="accent1" w:themeShade="BF"/>
      <w:kern w:val="0"/>
      <w:sz w:val="2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77F"/>
    <w:rPr>
      <w:rFonts w:asciiTheme="majorHAnsi" w:eastAsiaTheme="majorEastAsia" w:hAnsiTheme="majorHAnsi" w:cstheme="majorBidi"/>
      <w:noProof w:val="0"/>
      <w:color w:val="1F3763" w:themeColor="accent1" w:themeShade="7F"/>
      <w:kern w:val="0"/>
      <w:sz w:val="2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77F"/>
    <w:rPr>
      <w:rFonts w:asciiTheme="majorHAnsi" w:eastAsiaTheme="majorEastAsia" w:hAnsiTheme="majorHAnsi" w:cstheme="majorBidi"/>
      <w:i/>
      <w:iCs/>
      <w:noProof w:val="0"/>
      <w:color w:val="1F3763" w:themeColor="accent1" w:themeShade="7F"/>
      <w:kern w:val="0"/>
      <w:sz w:val="2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77F"/>
    <w:rPr>
      <w:rFonts w:asciiTheme="majorHAnsi" w:eastAsiaTheme="majorEastAsia" w:hAnsiTheme="majorHAnsi" w:cstheme="majorBidi"/>
      <w:noProof w:val="0"/>
      <w:color w:val="272727" w:themeColor="text1" w:themeTint="D8"/>
      <w:kern w:val="0"/>
      <w:sz w:val="21"/>
      <w:szCs w:val="21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77F"/>
    <w:rPr>
      <w:rFonts w:asciiTheme="majorHAnsi" w:eastAsiaTheme="majorEastAsia" w:hAnsiTheme="majorHAnsi" w:cstheme="majorBidi"/>
      <w:i/>
      <w:iCs/>
      <w:noProof w:val="0"/>
      <w:color w:val="272727" w:themeColor="text1" w:themeTint="D8"/>
      <w:kern w:val="0"/>
      <w:sz w:val="21"/>
      <w:szCs w:val="21"/>
      <w14:ligatures w14:val="none"/>
    </w:rPr>
  </w:style>
  <w:style w:type="character" w:styleId="PageNumber">
    <w:name w:val="page number"/>
    <w:basedOn w:val="DefaultParagraphFont"/>
    <w:uiPriority w:val="99"/>
    <w:unhideWhenUsed/>
    <w:locked/>
    <w:rsid w:val="0080277F"/>
    <w:rPr>
      <w:noProof w:val="0"/>
    </w:rPr>
  </w:style>
  <w:style w:type="character" w:styleId="Hyperlink">
    <w:name w:val="Hyperlink"/>
    <w:basedOn w:val="DefaultParagraphFont"/>
    <w:uiPriority w:val="99"/>
    <w:unhideWhenUsed/>
    <w:rsid w:val="0080277F"/>
    <w:rPr>
      <w:noProof w:val="0"/>
      <w:color w:val="0563C1" w:themeColor="hyperlink"/>
      <w:u w:val="single"/>
    </w:rPr>
  </w:style>
  <w:style w:type="paragraph" w:styleId="ListParagraph">
    <w:name w:val="List Paragraph"/>
    <w:next w:val="Normal"/>
    <w:link w:val="ListParagraphChar"/>
    <w:uiPriority w:val="34"/>
    <w:locked/>
    <w:rsid w:val="0080277F"/>
    <w:pPr>
      <w:numPr>
        <w:numId w:val="46"/>
      </w:numPr>
      <w:spacing w:after="0" w:line="240" w:lineRule="auto"/>
      <w:ind w:left="284" w:hanging="284"/>
      <w:contextualSpacing/>
    </w:pPr>
    <w:rPr>
      <w:rFonts w:ascii="Segoe UI" w:hAnsi="Segoe UI" w:cs="Segoe UI"/>
      <w:color w:val="000000" w:themeColor="text1"/>
      <w:kern w:val="0"/>
      <w:sz w:val="20"/>
      <w14:ligatures w14:val="none"/>
    </w:rPr>
  </w:style>
  <w:style w:type="paragraph" w:styleId="Revision">
    <w:name w:val="Revision"/>
    <w:hidden/>
    <w:uiPriority w:val="99"/>
    <w:semiHidden/>
    <w:rsid w:val="0080277F"/>
    <w:pPr>
      <w:spacing w:after="0" w:line="240" w:lineRule="auto"/>
    </w:pPr>
    <w:rPr>
      <w:rFonts w:ascii="Arial" w:eastAsiaTheme="minorEastAsia" w:hAnsi="Arial"/>
      <w:color w:val="404040" w:themeColor="text1" w:themeTint="BF"/>
      <w:kern w:val="0"/>
      <w:sz w:val="20"/>
      <w:szCs w:val="24"/>
      <w:lang w:eastAsia="ja-JP"/>
      <w14:ligatures w14:val="none"/>
    </w:rPr>
  </w:style>
  <w:style w:type="paragraph" w:customStyle="1" w:styleId="ProductDescription">
    <w:name w:val="Product Description"/>
    <w:basedOn w:val="Normal"/>
    <w:next w:val="Normal"/>
    <w:link w:val="ProductDescriptionChar"/>
    <w:qFormat/>
    <w:rsid w:val="0080277F"/>
    <w:pPr>
      <w:spacing w:after="120"/>
    </w:pPr>
    <w:rPr>
      <w:b/>
      <w:bCs/>
      <w:color w:val="FFFFFF"/>
      <w:sz w:val="32"/>
      <w:szCs w:val="32"/>
    </w:rPr>
  </w:style>
  <w:style w:type="paragraph" w:customStyle="1" w:styleId="Headline">
    <w:name w:val="Headline"/>
    <w:basedOn w:val="Normal"/>
    <w:next w:val="Normal"/>
    <w:link w:val="HeadlineChar"/>
    <w:qFormat/>
    <w:rsid w:val="0080277F"/>
    <w:rPr>
      <w:rFonts w:ascii="Segoe UI Semilight" w:hAnsi="Segoe UI Semilight" w:cs="Segoe UI Semilight"/>
      <w:b/>
      <w:bCs/>
      <w:color w:val="FFFFFF"/>
      <w:sz w:val="40"/>
      <w:szCs w:val="40"/>
    </w:rPr>
  </w:style>
  <w:style w:type="paragraph" w:customStyle="1" w:styleId="ExhibitTitle">
    <w:name w:val="Exhibit Title"/>
    <w:basedOn w:val="Normal"/>
    <w:qFormat/>
    <w:rsid w:val="0080277F"/>
    <w:pPr>
      <w:keepNext/>
      <w:spacing w:before="120" w:after="0"/>
    </w:pPr>
    <w:rPr>
      <w:rFonts w:ascii="Segoe UI Semibold" w:hAnsi="Segoe UI Semibold" w:cs="Segoe UI Semibold"/>
      <w:color w:val="003469"/>
      <w:szCs w:val="24"/>
    </w:rPr>
  </w:style>
  <w:style w:type="paragraph" w:customStyle="1" w:styleId="ExhibitNote">
    <w:name w:val="Exhibit Note"/>
    <w:basedOn w:val="Normal"/>
    <w:next w:val="Normal"/>
    <w:rsid w:val="0080277F"/>
    <w:pPr>
      <w:shd w:val="clear" w:color="auto" w:fill="D6E2FA"/>
      <w:spacing w:after="0"/>
    </w:pPr>
    <w:rPr>
      <w:color w:val="595959" w:themeColor="text1" w:themeTint="A6"/>
      <w:sz w:val="18"/>
    </w:rPr>
  </w:style>
  <w:style w:type="paragraph" w:customStyle="1" w:styleId="ExhibitSource">
    <w:name w:val="Exhibit Source"/>
    <w:next w:val="Normal"/>
    <w:qFormat/>
    <w:rsid w:val="0080277F"/>
    <w:pPr>
      <w:pBdr>
        <w:top w:val="single" w:sz="6" w:space="1" w:color="FFFFFF"/>
        <w:left w:val="single" w:sz="6" w:space="1" w:color="FFFFFF"/>
        <w:bottom w:val="single" w:sz="6" w:space="1" w:color="FFFFFF"/>
        <w:right w:val="single" w:sz="6" w:space="1" w:color="FFFFFF"/>
      </w:pBdr>
      <w:spacing w:after="120" w:line="240" w:lineRule="auto"/>
      <w:contextualSpacing/>
    </w:pPr>
    <w:rPr>
      <w:rFonts w:ascii="Segoe UI" w:hAnsi="Segoe UI" w:cs="Segoe UI"/>
      <w:i/>
      <w:iCs/>
      <w:color w:val="595959" w:themeColor="text1" w:themeTint="A6"/>
      <w:kern w:val="0"/>
      <w:sz w:val="18"/>
      <w14:ligatures w14:val="none"/>
    </w:rPr>
  </w:style>
  <w:style w:type="paragraph" w:customStyle="1" w:styleId="Glossary">
    <w:name w:val="Glossary"/>
    <w:basedOn w:val="Normal"/>
    <w:qFormat/>
    <w:rsid w:val="0080277F"/>
    <w:pPr>
      <w:shd w:val="clear" w:color="auto" w:fill="ACB9CA" w:themeFill="text2" w:themeFillTint="66"/>
      <w:ind w:left="198" w:right="80"/>
      <w:contextualSpacing/>
    </w:pPr>
    <w:rPr>
      <w:color w:val="595959" w:themeColor="text1" w:themeTint="A6"/>
    </w:rPr>
  </w:style>
  <w:style w:type="paragraph" w:customStyle="1" w:styleId="Bullet">
    <w:name w:val="Bullet"/>
    <w:link w:val="BulletChar"/>
    <w:qFormat/>
    <w:rsid w:val="0080277F"/>
    <w:pPr>
      <w:numPr>
        <w:numId w:val="44"/>
      </w:numPr>
      <w:pBdr>
        <w:top w:val="single" w:sz="48" w:space="1" w:color="F2F2F2" w:themeColor="background1" w:themeShade="F2"/>
        <w:left w:val="single" w:sz="48" w:space="4" w:color="F2F2F2" w:themeColor="background1" w:themeShade="F2"/>
        <w:bottom w:val="single" w:sz="48" w:space="1" w:color="F2F2F2" w:themeColor="background1" w:themeShade="F2"/>
        <w:right w:val="single" w:sz="48" w:space="4" w:color="F2F2F2" w:themeColor="background1" w:themeShade="F2"/>
      </w:pBdr>
      <w:shd w:val="clear" w:color="auto" w:fill="F2F2F2" w:themeFill="background1" w:themeFillShade="F2"/>
      <w:spacing w:before="120" w:after="120" w:line="250" w:lineRule="auto"/>
    </w:pPr>
    <w:rPr>
      <w:rFonts w:ascii="Segoe UI" w:hAnsi="Segoe UI" w:cs="Segoe UI"/>
      <w:b/>
      <w:bCs/>
      <w:color w:val="003469"/>
      <w:kern w:val="0"/>
      <w:sz w:val="20"/>
      <w:szCs w:val="20"/>
      <w14:ligatures w14:val="none"/>
    </w:rPr>
  </w:style>
  <w:style w:type="character" w:customStyle="1" w:styleId="BulletChar">
    <w:name w:val="Bullet Char"/>
    <w:basedOn w:val="DefaultParagraphFont"/>
    <w:link w:val="Bullet"/>
    <w:rsid w:val="0080277F"/>
    <w:rPr>
      <w:rFonts w:ascii="Segoe UI" w:hAnsi="Segoe UI" w:cs="Segoe UI"/>
      <w:b/>
      <w:bCs/>
      <w:noProof w:val="0"/>
      <w:color w:val="003469"/>
      <w:kern w:val="0"/>
      <w:sz w:val="20"/>
      <w:szCs w:val="20"/>
      <w:shd w:val="clear" w:color="auto" w:fill="F2F2F2" w:themeFill="background1" w:themeFillShade="F2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80277F"/>
    <w:pPr>
      <w:ind w:left="862" w:right="862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77F"/>
    <w:rPr>
      <w:rFonts w:ascii="Segoe UI" w:hAnsi="Segoe UI" w:cs="Segoe UI"/>
      <w:i/>
      <w:iCs/>
      <w:noProof w:val="0"/>
      <w:color w:val="404040" w:themeColor="text1" w:themeTint="BF"/>
      <w:kern w:val="0"/>
      <w:sz w:val="20"/>
      <w14:ligatures w14:val="none"/>
    </w:rPr>
  </w:style>
  <w:style w:type="paragraph" w:customStyle="1" w:styleId="TableHeader">
    <w:name w:val="Table Header"/>
    <w:basedOn w:val="TableData"/>
    <w:qFormat/>
    <w:rsid w:val="0080277F"/>
    <w:rPr>
      <w:rFonts w:ascii="Segoe UI Semibold" w:hAnsi="Segoe UI Semibold" w:cs="Segoe UI Semibold"/>
      <w:color w:val="F2F2F2" w:themeColor="background1" w:themeShade="F2"/>
    </w:rPr>
  </w:style>
  <w:style w:type="character" w:customStyle="1" w:styleId="SummaryChar">
    <w:name w:val="Summary Char"/>
    <w:basedOn w:val="DefaultParagraphFont"/>
    <w:link w:val="Summary"/>
    <w:locked/>
    <w:rsid w:val="0080277F"/>
    <w:rPr>
      <w:rFonts w:ascii="Segoe UI" w:hAnsi="Segoe UI" w:cs="Segoe UI"/>
      <w:noProof w:val="0"/>
      <w:color w:val="000000" w:themeColor="text1"/>
    </w:rPr>
  </w:style>
  <w:style w:type="paragraph" w:customStyle="1" w:styleId="Summary">
    <w:name w:val="Summary"/>
    <w:basedOn w:val="Normal"/>
    <w:link w:val="SummaryChar"/>
    <w:qFormat/>
    <w:rsid w:val="0080277F"/>
    <w:pPr>
      <w:numPr>
        <w:numId w:val="34"/>
      </w:numPr>
      <w:ind w:left="1797" w:hanging="357"/>
    </w:pPr>
    <w:rPr>
      <w:kern w:val="2"/>
      <w:sz w:val="22"/>
      <w14:ligatures w14:val="standardContextual"/>
    </w:rPr>
  </w:style>
  <w:style w:type="paragraph" w:customStyle="1" w:styleId="TableData">
    <w:name w:val="Table Data"/>
    <w:link w:val="TableDataChar"/>
    <w:qFormat/>
    <w:rsid w:val="0080277F"/>
    <w:pPr>
      <w:spacing w:after="0" w:line="240" w:lineRule="auto"/>
    </w:pPr>
    <w:rPr>
      <w:rFonts w:ascii="Segoe UI" w:hAnsi="Segoe UI" w:cs="Segoe UI"/>
      <w:color w:val="000000" w:themeColor="text1"/>
      <w:kern w:val="0"/>
      <w:sz w:val="20"/>
      <w:szCs w:val="18"/>
      <w14:ligatures w14:val="none"/>
    </w:rPr>
  </w:style>
  <w:style w:type="character" w:customStyle="1" w:styleId="TableDataChar">
    <w:name w:val="Table Data Char"/>
    <w:basedOn w:val="DefaultParagraphFont"/>
    <w:link w:val="TableData"/>
    <w:rsid w:val="0080277F"/>
    <w:rPr>
      <w:rFonts w:ascii="Segoe UI" w:hAnsi="Segoe UI" w:cs="Segoe UI"/>
      <w:noProof w:val="0"/>
      <w:color w:val="000000" w:themeColor="text1"/>
      <w:kern w:val="0"/>
      <w:sz w:val="20"/>
      <w:szCs w:val="18"/>
      <w14:ligatures w14:val="none"/>
    </w:rPr>
  </w:style>
  <w:style w:type="character" w:customStyle="1" w:styleId="HeadlineChar">
    <w:name w:val="Headline Char"/>
    <w:basedOn w:val="DefaultParagraphFont"/>
    <w:link w:val="Headline"/>
    <w:rsid w:val="0080277F"/>
    <w:rPr>
      <w:rFonts w:ascii="Segoe UI Semilight" w:hAnsi="Segoe UI Semilight" w:cs="Segoe UI Semilight"/>
      <w:b/>
      <w:bCs/>
      <w:noProof w:val="0"/>
      <w:color w:val="FFFFFF"/>
      <w:kern w:val="0"/>
      <w:sz w:val="40"/>
      <w:szCs w:val="40"/>
      <w14:ligatures w14:val="none"/>
    </w:rPr>
  </w:style>
  <w:style w:type="paragraph" w:customStyle="1" w:styleId="PublishDate">
    <w:name w:val="Publish Date"/>
    <w:next w:val="Normal"/>
    <w:link w:val="PublishDateChar"/>
    <w:qFormat/>
    <w:rsid w:val="0080277F"/>
    <w:pPr>
      <w:spacing w:after="0" w:line="240" w:lineRule="auto"/>
      <w:jc w:val="right"/>
    </w:pPr>
    <w:rPr>
      <w:rFonts w:ascii="Segoe UI" w:eastAsiaTheme="majorEastAsia" w:hAnsi="Segoe UI" w:cstheme="majorBidi"/>
      <w:color w:val="003469"/>
      <w:kern w:val="0"/>
      <w:sz w:val="24"/>
      <w:szCs w:val="28"/>
      <w14:ligatures w14:val="none"/>
    </w:rPr>
  </w:style>
  <w:style w:type="paragraph" w:customStyle="1" w:styleId="Author">
    <w:name w:val="Author"/>
    <w:basedOn w:val="Bullet"/>
    <w:link w:val="AuthorChar"/>
    <w:qFormat/>
    <w:rsid w:val="0080277F"/>
    <w:pPr>
      <w:numPr>
        <w:numId w:val="0"/>
      </w:numPr>
      <w:spacing w:after="0" w:line="240" w:lineRule="auto"/>
    </w:pPr>
    <w:rPr>
      <w:color w:val="7F7F7F" w:themeColor="text1" w:themeTint="80"/>
      <w:szCs w:val="22"/>
    </w:rPr>
  </w:style>
  <w:style w:type="character" w:customStyle="1" w:styleId="PublishDateChar">
    <w:name w:val="Publish Date Char"/>
    <w:basedOn w:val="Heading1Char"/>
    <w:link w:val="PublishDate"/>
    <w:rsid w:val="0080277F"/>
    <w:rPr>
      <w:rFonts w:ascii="Segoe UI" w:eastAsiaTheme="majorEastAsia" w:hAnsi="Segoe UI" w:cstheme="majorBidi"/>
      <w:b w:val="0"/>
      <w:noProof w:val="0"/>
      <w:color w:val="003469"/>
      <w:kern w:val="0"/>
      <w:sz w:val="24"/>
      <w:szCs w:val="28"/>
      <w14:ligatures w14:val="none"/>
    </w:rPr>
  </w:style>
  <w:style w:type="character" w:customStyle="1" w:styleId="AuthorChar">
    <w:name w:val="Author Char"/>
    <w:basedOn w:val="FooterChar"/>
    <w:link w:val="Author"/>
    <w:rsid w:val="0080277F"/>
    <w:rPr>
      <w:rFonts w:ascii="Segoe UI" w:hAnsi="Segoe UI" w:cs="Segoe UI"/>
      <w:b/>
      <w:bCs/>
      <w:noProof w:val="0"/>
      <w:color w:val="7F7F7F" w:themeColor="text1" w:themeTint="80"/>
      <w:kern w:val="0"/>
      <w:sz w:val="20"/>
      <w:shd w:val="clear" w:color="auto" w:fill="F2F2F2" w:themeFill="background1" w:themeFillShade="F2"/>
      <w14:ligatures w14:val="none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80277F"/>
    <w:rPr>
      <w:rFonts w:ascii="Segoe UI" w:hAnsi="Segoe UI" w:cs="Segoe UI"/>
      <w:noProof w:val="0"/>
      <w:color w:val="000000" w:themeColor="text1"/>
      <w:kern w:val="0"/>
      <w:sz w:val="20"/>
      <w14:ligatures w14:val="none"/>
    </w:rPr>
  </w:style>
  <w:style w:type="paragraph" w:customStyle="1" w:styleId="BodyBullet">
    <w:name w:val="Body Bullet"/>
    <w:link w:val="BodyBulletChar"/>
    <w:qFormat/>
    <w:rsid w:val="0080277F"/>
    <w:pPr>
      <w:numPr>
        <w:numId w:val="50"/>
      </w:numPr>
      <w:spacing w:after="200" w:line="240" w:lineRule="auto"/>
      <w:contextualSpacing/>
    </w:pPr>
    <w:rPr>
      <w:rFonts w:ascii="Segoe UI" w:hAnsi="Segoe UI" w:cs="Segoe UI"/>
      <w:bCs/>
      <w:kern w:val="0"/>
      <w:sz w:val="20"/>
      <w:szCs w:val="20"/>
      <w14:ligatures w14:val="none"/>
    </w:rPr>
  </w:style>
  <w:style w:type="character" w:customStyle="1" w:styleId="BodyBulletChar">
    <w:name w:val="Body Bullet Char"/>
    <w:basedOn w:val="DefaultParagraphFont"/>
    <w:link w:val="BodyBullet"/>
    <w:rsid w:val="0080277F"/>
    <w:rPr>
      <w:rFonts w:ascii="Segoe UI" w:hAnsi="Segoe UI" w:cs="Segoe UI"/>
      <w:bCs/>
      <w:noProof w:val="0"/>
      <w:kern w:val="0"/>
      <w:sz w:val="20"/>
      <w:szCs w:val="20"/>
      <w14:ligatures w14:val="none"/>
    </w:rPr>
  </w:style>
  <w:style w:type="paragraph" w:customStyle="1" w:styleId="RepeatingFooter">
    <w:name w:val="Repeating Footer"/>
    <w:basedOn w:val="Footer"/>
    <w:link w:val="RepeatingFooterChar"/>
    <w:qFormat/>
    <w:rsid w:val="0080277F"/>
    <w:rPr>
      <w:color w:val="003469"/>
    </w:rPr>
  </w:style>
  <w:style w:type="character" w:customStyle="1" w:styleId="RepeatingFooterChar">
    <w:name w:val="Repeating Footer Char"/>
    <w:basedOn w:val="FooterChar"/>
    <w:link w:val="RepeatingFooter"/>
    <w:rsid w:val="0080277F"/>
    <w:rPr>
      <w:rFonts w:ascii="Segoe UI" w:hAnsi="Segoe UI" w:cs="Segoe UI"/>
      <w:noProof w:val="0"/>
      <w:color w:val="003469"/>
      <w:kern w:val="0"/>
      <w:sz w:val="20"/>
      <w14:ligatures w14:val="none"/>
    </w:rPr>
  </w:style>
  <w:style w:type="character" w:customStyle="1" w:styleId="ProductDescriptionChar">
    <w:name w:val="Product Description Char"/>
    <w:basedOn w:val="DefaultParagraphFont"/>
    <w:link w:val="ProductDescription"/>
    <w:rsid w:val="0080277F"/>
    <w:rPr>
      <w:rFonts w:ascii="Segoe UI" w:hAnsi="Segoe UI" w:cs="Segoe UI"/>
      <w:b/>
      <w:bCs/>
      <w:noProof w:val="0"/>
      <w:color w:val="FFFFFF"/>
      <w:kern w:val="0"/>
      <w:sz w:val="32"/>
      <w:szCs w:val="32"/>
      <w14:ligatures w14:val="none"/>
    </w:rPr>
  </w:style>
  <w:style w:type="character" w:customStyle="1" w:styleId="Bold">
    <w:name w:val="Bold"/>
    <w:basedOn w:val="DefaultParagraphFont"/>
    <w:uiPriority w:val="1"/>
    <w:qFormat/>
    <w:rsid w:val="0080277F"/>
    <w:rPr>
      <w:b/>
      <w:bCs/>
      <w:noProof w:val="0"/>
    </w:rPr>
  </w:style>
  <w:style w:type="character" w:customStyle="1" w:styleId="Italics">
    <w:name w:val="Italics"/>
    <w:uiPriority w:val="1"/>
    <w:qFormat/>
    <w:rsid w:val="0080277F"/>
    <w:rPr>
      <w:i/>
      <w:iCs/>
      <w:noProof w:val="0"/>
    </w:rPr>
  </w:style>
  <w:style w:type="table" w:customStyle="1" w:styleId="TableGridHeader">
    <w:name w:val="Table Grid Header"/>
    <w:basedOn w:val="TableNormal"/>
    <w:uiPriority w:val="99"/>
    <w:rsid w:val="0080277F"/>
    <w:pPr>
      <w:spacing w:after="200" w:line="240" w:lineRule="auto"/>
    </w:pPr>
    <w:rPr>
      <w:rFonts w:ascii="Segoe UI" w:eastAsiaTheme="minorEastAsia" w:hAnsi="Segoe UI"/>
      <w:color w:val="F2F2F2" w:themeColor="background1" w:themeShade="F2"/>
      <w:kern w:val="0"/>
      <w:szCs w:val="20"/>
      <w:lang w:eastAsia="en-GB"/>
      <w14:ligatures w14:val="non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rFonts w:ascii="Segoe UI" w:hAnsi="Segoe UI"/>
        <w:color w:val="F2F2F2" w:themeColor="background1" w:themeShade="F2"/>
        <w:sz w:val="22"/>
      </w:rPr>
      <w:tblPr/>
      <w:tcPr>
        <w:shd w:val="clear" w:color="auto" w:fill="003469"/>
      </w:tcPr>
    </w:tblStyle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svg"/><Relationship Id="rId18" Type="http://schemas.openxmlformats.org/officeDocument/2006/relationships/footer" Target="footer2.xml"/><Relationship Id="rId26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hyperlink" Target="https://my.oxfordeconomics.com/reports/58c4Ba5dfeE54e5ab04Ebc" TargetMode="External"/><Relationship Id="rId34" Type="http://schemas.openxmlformats.org/officeDocument/2006/relationships/glossaryDocument" Target="glossary/document.xml"/><Relationship Id="rId7" Type="http://schemas.openxmlformats.org/officeDocument/2006/relationships/webSettings" Target="webSettings.xml"/><Relationship Id="rId12" Type="http://schemas.openxmlformats.org/officeDocument/2006/relationships/image" Target="media/image1.png"/><Relationship Id="rId17" Type="http://schemas.openxmlformats.org/officeDocument/2006/relationships/header" Target="header3.xml"/><Relationship Id="rId25" Type="http://schemas.openxmlformats.org/officeDocument/2006/relationships/hyperlink" Target="https://my.oxfordeconomics.com/reports/e72EB461b29B45C79706eb" TargetMode="External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hyperlink" Target="https://my.oxfordeconomics.com/reportaction/c8a84b7ce3744f81a6eA13/Toc" TargetMode="External"/><Relationship Id="rId29" Type="http://schemas.openxmlformats.org/officeDocument/2006/relationships/hyperlink" Target="https://my.oxfordeconomics.com/reports/9f58Fa6d8c3248D2a7f697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my.oxfordeconomics.com/reports/F86FA9731A0549228e8Ca7" TargetMode="External"/><Relationship Id="rId24" Type="http://schemas.openxmlformats.org/officeDocument/2006/relationships/hyperlink" Target="https://my.oxfordeconomics.com/reportaction/4210652037F0488b942Ff9/Toc" TargetMode="External"/><Relationship Id="rId32" Type="http://schemas.openxmlformats.org/officeDocument/2006/relationships/hyperlink" Target="https://www.bankofengland.co.uk/-/media/boe/files/speech/2024/april/strategy-and-stance.pdf" TargetMode="External"/><Relationship Id="rId5" Type="http://schemas.openxmlformats.org/officeDocument/2006/relationships/styles" Target="styles.xml"/><Relationship Id="rId15" Type="http://schemas.openxmlformats.org/officeDocument/2006/relationships/header" Target="header2.xml"/><Relationship Id="rId23" Type="http://schemas.openxmlformats.org/officeDocument/2006/relationships/image" Target="media/image6.svg"/><Relationship Id="rId28" Type="http://schemas.openxmlformats.org/officeDocument/2006/relationships/hyperlink" Target="https://my.oxfordeconomics.com/reports/58c4Ba5dfeE54e5ab04Ebc" TargetMode="External"/><Relationship Id="rId10" Type="http://schemas.openxmlformats.org/officeDocument/2006/relationships/hyperlink" Target="https://my.oxfordeconomics.com/reports/d4d5E9834c3945Afb209b7" TargetMode="External"/><Relationship Id="rId19" Type="http://schemas.openxmlformats.org/officeDocument/2006/relationships/hyperlink" Target="https://my.oxfordeconomics.com/reportaction/663F9e1aa99D40Eea64660/Toc" TargetMode="External"/><Relationship Id="rId31" Type="http://schemas.openxmlformats.org/officeDocument/2006/relationships/hyperlink" Target="https://my.oxfordeconomics.com/reports/c8f5B87f88F4435192c5fc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Relationship Id="rId22" Type="http://schemas.openxmlformats.org/officeDocument/2006/relationships/image" Target="media/image5.png"/><Relationship Id="rId27" Type="http://schemas.openxmlformats.org/officeDocument/2006/relationships/image" Target="media/image8.svg"/><Relationship Id="rId30" Type="http://schemas.openxmlformats.org/officeDocument/2006/relationships/hyperlink" Target="https://www.bankofengland.co.uk/-/media/boe/files/speech/2024/april/outlier-or-laggard-divergence-and-convergence-in-the-uks-recent-inflation-performance.pdf" TargetMode="External"/><Relationship Id="rId35" Type="http://schemas.openxmlformats.org/officeDocument/2006/relationships/theme" Target="theme/theme1.xml"/><Relationship Id="rId8" Type="http://schemas.openxmlformats.org/officeDocument/2006/relationships/footnotes" Target="footnotes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mailto:tdvorak@oxfordeconomics.com" TargetMode="External"/><Relationship Id="rId1" Type="http://schemas.openxmlformats.org/officeDocument/2006/relationships/hyperlink" Target="mailto:agoodwin@oxfordeconomics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9A0021-1F1A-4862-97C9-78220C4BFC33}"/>
      </w:docPartPr>
      <w:docPartBody>
        <w:p w:rsidR="00914476" w:rsidRDefault="00914476">
          <w:r w:rsidRPr="00684CED"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476"/>
    <w:rsid w:val="00704C5D"/>
    <w:rsid w:val="00914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en-GB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401BB7205AF745BAD4FA98BDE0B98F" ma:contentTypeVersion="17" ma:contentTypeDescription="Create a new document." ma:contentTypeScope="" ma:versionID="23030a2609a0bfe461689b6bacd9a9f4">
  <xsd:schema xmlns:xsd="http://www.w3.org/2001/XMLSchema" xmlns:xs="http://www.w3.org/2001/XMLSchema" xmlns:p="http://schemas.microsoft.com/office/2006/metadata/properties" xmlns:ns3="6ec33f61-c765-4e3b-9958-53c32fd1fd0b" xmlns:ns4="6c77b332-7df6-4eff-997f-266963d55fc4" targetNamespace="http://schemas.microsoft.com/office/2006/metadata/properties" ma:root="true" ma:fieldsID="83983b71c34b7d262d94b4ad995a0d1c" ns3:_="" ns4:_="">
    <xsd:import namespace="6ec33f61-c765-4e3b-9958-53c32fd1fd0b"/>
    <xsd:import namespace="6c77b332-7df6-4eff-997f-266963d55fc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c33f61-c765-4e3b-9958-53c32fd1fd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77b332-7df6-4eff-997f-266963d55fc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ec33f61-c765-4e3b-9958-53c32fd1fd0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56A9C32-5473-4915-B198-003B22F648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c33f61-c765-4e3b-9958-53c32fd1fd0b"/>
    <ds:schemaRef ds:uri="6c77b332-7df6-4eff-997f-266963d55f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FE96F25-CB0E-4060-96C3-0B72614687FB}">
  <ds:schemaRefs>
    <ds:schemaRef ds:uri="http://schemas.microsoft.com/office/2006/metadata/properties"/>
    <ds:schemaRef ds:uri="http://schemas.microsoft.com/office/infopath/2007/PartnerControls"/>
    <ds:schemaRef ds:uri="6ec33f61-c765-4e3b-9958-53c32fd1fd0b"/>
  </ds:schemaRefs>
</ds:datastoreItem>
</file>

<file path=customXml/itemProps3.xml><?xml version="1.0" encoding="utf-8"?>
<ds:datastoreItem xmlns:ds="http://schemas.openxmlformats.org/officeDocument/2006/customXml" ds:itemID="{10F31EF9-412A-42B8-861F-9AC8B1126D6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1285</Words>
  <Characters>6558</Characters>
  <Application>Microsoft Office Word</Application>
  <DocSecurity>0</DocSecurity>
  <Lines>92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Goodwin</dc:creator>
  <cp:keywords/>
  <dc:description/>
  <cp:lastModifiedBy>Andrew Goodwin</cp:lastModifiedBy>
  <cp:revision>9</cp:revision>
  <dcterms:created xsi:type="dcterms:W3CDTF">2024-04-25T10:00:00Z</dcterms:created>
  <dcterms:modified xsi:type="dcterms:W3CDTF">2024-04-25T10:12:00Z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EP_VERSION">
    <vt:lpwstr>v0.8.0.7</vt:lpwstr>
  </property>
  <property fmtid="{D5CDD505-2E9C-101B-9397-08002B2CF9AE}" pid="3" name="OEP_GROUP_BRAND">
    <vt:lpwstr>OE</vt:lpwstr>
  </property>
  <property fmtid="{D5CDD505-2E9C-101B-9397-08002B2CF9AE}" pid="4" name="MSIP_Label_231f5784-19ed-4d1e-9a93-4ea41014d730_Enabled">
    <vt:lpwstr>true</vt:lpwstr>
  </property>
  <property fmtid="{D5CDD505-2E9C-101B-9397-08002B2CF9AE}" pid="5" name="MSIP_Label_231f5784-19ed-4d1e-9a93-4ea41014d730_SetDate">
    <vt:lpwstr>2024-04-25T10:01:31.000Z</vt:lpwstr>
  </property>
  <property fmtid="{D5CDD505-2E9C-101B-9397-08002B2CF9AE}" pid="6" name="MSIP_Label_231f5784-19ed-4d1e-9a93-4ea41014d730_Method">
    <vt:lpwstr>Privileged</vt:lpwstr>
  </property>
  <property fmtid="{D5CDD505-2E9C-101B-9397-08002B2CF9AE}" pid="7" name="MSIP_Label_231f5784-19ed-4d1e-9a93-4ea41014d730_Name">
    <vt:lpwstr>External</vt:lpwstr>
  </property>
  <property fmtid="{D5CDD505-2E9C-101B-9397-08002B2CF9AE}" pid="8" name="MSIP_Label_231f5784-19ed-4d1e-9a93-4ea41014d730_SiteId">
    <vt:lpwstr>2c277f63-6743-4f98-ac15-4851e55c0cc7</vt:lpwstr>
  </property>
  <property fmtid="{D5CDD505-2E9C-101B-9397-08002B2CF9AE}" pid="9" name="OEP_TEMPLATE_STYLES">
    <vt:lpwstr>v0.8.0.7</vt:lpwstr>
  </property>
  <property fmtid="{D5CDD505-2E9C-101B-9397-08002B2CF9AE}" pid="10" name="OEP_ANALYST_FULLNAME">
    <vt:lpwstr>Andrew Goodwin</vt:lpwstr>
  </property>
  <property fmtid="{D5CDD505-2E9C-101B-9397-08002B2CF9AE}" pid="11" name="OEP_ANALYST_JOBTITLE">
    <vt:lpwstr>Chief UK Economist</vt:lpwstr>
  </property>
  <property fmtid="{D5CDD505-2E9C-101B-9397-08002B2CF9AE}" pid="12" name="OEP_ANALYST_EMAIL">
    <vt:lpwstr>agoodwin@oxfordeconomics.com</vt:lpwstr>
  </property>
  <property fmtid="{D5CDD505-2E9C-101B-9397-08002B2CF9AE}" pid="13" name="OEP_AUTHORS">
    <vt:lpwstr>Andrew Goodwin|Chief UK Economist|agoodwin@oxfordeconomics.com_x000d_;Tomas Dvorak|Senior Economist|tdvorak@oxfordeconomics.com_x000d_</vt:lpwstr>
  </property>
  <property fmtid="{D5CDD505-2E9C-101B-9397-08002B2CF9AE}" pid="14" name="OEP_EXHIBIT_FILEPATHS">
    <vt:lpwstr>Z:\UK Team\UK Research Briefing\20240424 RB UK Penta update.xlsx</vt:lpwstr>
  </property>
  <property fmtid="{D5CDD505-2E9C-101B-9397-08002B2CF9AE}" pid="15" name="OEP_CATEGORIES">
    <vt:lpwstr>AnalysisbyRegion-Europe-UnitedKingdom,Macro-ResearchBriefings-UnitedKingdom</vt:lpwstr>
  </property>
  <property fmtid="{D5CDD505-2E9C-101B-9397-08002B2CF9AE}" pid="16" name="OEP_TAGS">
    <vt:lpwstr>Key Themes:labour trends,indicators,monetary policy</vt:lpwstr>
  </property>
  <property fmtid="{D5CDD505-2E9C-101B-9397-08002B2CF9AE}" pid="17" name="ContentTypeId">
    <vt:lpwstr>0x01010009401BB7205AF745BAD4FA98BDE0B98F</vt:lpwstr>
  </property>
  <property fmtid="{D5CDD505-2E9C-101B-9397-08002B2CF9AE}" pid="18" name="OEP_PRODUCT_CODE">
    <vt:lpwstr>33995976ca1C4a679F6Bf7</vt:lpwstr>
  </property>
  <property fmtid="{D5CDD505-2E9C-101B-9397-08002B2CF9AE}" pid="19" name="OEP_PUBLISH_DATE">
    <vt:lpwstr/>
  </property>
</Properties>
</file>