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52649" w14:textId="623C9275" w:rsidR="00B869E6" w:rsidRPr="003E4351" w:rsidRDefault="009903A2" w:rsidP="00B869E6">
      <w:pPr>
        <w:pStyle w:val="Bullet"/>
      </w:pPr>
      <w:r w:rsidRPr="003E4351">
        <w:t>We estimate that</w:t>
      </w:r>
      <w:r w:rsidR="00965F00" w:rsidRPr="003E4351">
        <w:t xml:space="preserve"> the UK neutral interest rate </w:t>
      </w:r>
      <w:r w:rsidR="00847DD4" w:rsidRPr="003E4351">
        <w:t xml:space="preserve">– the rate consistent with monetary policy </w:t>
      </w:r>
      <w:r w:rsidR="003E4351">
        <w:t>that is neither stimulative nor restrictive</w:t>
      </w:r>
      <w:r w:rsidR="00847DD4" w:rsidRPr="003E4351">
        <w:t xml:space="preserve"> – </w:t>
      </w:r>
      <w:r w:rsidR="003078E6" w:rsidRPr="003E4351">
        <w:t xml:space="preserve">has risen recently </w:t>
      </w:r>
      <w:r w:rsidR="003E4351">
        <w:t>to</w:t>
      </w:r>
      <w:r w:rsidR="003078E6" w:rsidRPr="003E4351">
        <w:t xml:space="preserve"> just below 3%.</w:t>
      </w:r>
      <w:r w:rsidR="00E6649A" w:rsidRPr="003E4351">
        <w:t xml:space="preserve"> </w:t>
      </w:r>
      <w:r w:rsidR="003E4351">
        <w:t>W</w:t>
      </w:r>
      <w:r w:rsidR="00E6649A" w:rsidRPr="003E4351">
        <w:t xml:space="preserve">e project </w:t>
      </w:r>
      <w:r w:rsidR="003E4351" w:rsidRPr="003E4351">
        <w:t xml:space="preserve">it is now set to fall back </w:t>
      </w:r>
      <w:r w:rsidR="003E4351">
        <w:t>to</w:t>
      </w:r>
      <w:r w:rsidR="003E4351" w:rsidRPr="003E4351">
        <w:t xml:space="preserve"> </w:t>
      </w:r>
      <w:r w:rsidR="00E6649A" w:rsidRPr="003E4351">
        <w:t xml:space="preserve">a long-run nominal neutral rate of around 2% </w:t>
      </w:r>
      <w:r w:rsidR="003E4351">
        <w:t>by</w:t>
      </w:r>
      <w:r w:rsidR="003E4351" w:rsidRPr="003E4351">
        <w:t xml:space="preserve"> </w:t>
      </w:r>
      <w:r w:rsidR="00E6649A" w:rsidRPr="003E4351">
        <w:t>2030</w:t>
      </w:r>
      <w:r w:rsidR="00537741" w:rsidRPr="003E4351">
        <w:t>.</w:t>
      </w:r>
    </w:p>
    <w:p w14:paraId="022AAC4B" w14:textId="33330E97" w:rsidR="00B869E6" w:rsidRPr="003E4351" w:rsidRDefault="00C444F8" w:rsidP="00B869E6">
      <w:pPr>
        <w:pStyle w:val="Bullet"/>
      </w:pPr>
      <w:r w:rsidRPr="003E4351">
        <w:t xml:space="preserve">The main reason </w:t>
      </w:r>
      <w:r w:rsidR="004A0A93" w:rsidRPr="003E4351">
        <w:t xml:space="preserve">behind the recent increase in </w:t>
      </w:r>
      <w:r w:rsidR="00CE5DF0" w:rsidRPr="003E4351">
        <w:t xml:space="preserve">the nominal </w:t>
      </w:r>
      <w:r w:rsidR="002C62DA" w:rsidRPr="003E4351">
        <w:t xml:space="preserve">neutral </w:t>
      </w:r>
      <w:r w:rsidR="00CE5DF0" w:rsidRPr="003E4351">
        <w:t>rate</w:t>
      </w:r>
      <w:r w:rsidR="002C62DA" w:rsidRPr="003E4351">
        <w:t xml:space="preserve"> and </w:t>
      </w:r>
      <w:r w:rsidR="003E4351">
        <w:t xml:space="preserve">the </w:t>
      </w:r>
      <w:r w:rsidR="002C62DA" w:rsidRPr="003E4351">
        <w:t xml:space="preserve">predicted decline </w:t>
      </w:r>
      <w:r w:rsidR="004C3037" w:rsidRPr="003E4351">
        <w:t>is</w:t>
      </w:r>
      <w:r w:rsidR="000225FF" w:rsidRPr="003E4351">
        <w:t xml:space="preserve"> inflation expectations. Our analysis </w:t>
      </w:r>
      <w:r w:rsidR="003E4351">
        <w:t>suggests</w:t>
      </w:r>
      <w:r w:rsidR="003E4351" w:rsidRPr="003E4351">
        <w:t xml:space="preserve"> </w:t>
      </w:r>
      <w:r w:rsidR="000225FF" w:rsidRPr="003E4351">
        <w:t xml:space="preserve">that </w:t>
      </w:r>
      <w:r w:rsidR="000E2239" w:rsidRPr="003E4351">
        <w:t xml:space="preserve">as inflation expectations normalise, the structural forces that have pushed rates down </w:t>
      </w:r>
      <w:r w:rsidR="006B3774" w:rsidRPr="003E4351">
        <w:t xml:space="preserve">since 1980 will reassert themselves. </w:t>
      </w:r>
      <w:r w:rsidR="00293C74" w:rsidRPr="003E4351">
        <w:t xml:space="preserve">This is likely to prevent a return to the much higher rates </w:t>
      </w:r>
      <w:r w:rsidR="003E4351">
        <w:t>in</w:t>
      </w:r>
      <w:r w:rsidR="003E4351" w:rsidRPr="003E4351">
        <w:t xml:space="preserve"> </w:t>
      </w:r>
      <w:r w:rsidR="00332C3C" w:rsidRPr="003E4351">
        <w:t>the decades preceding the global financial crisis.</w:t>
      </w:r>
    </w:p>
    <w:p w14:paraId="146F6ACA" w14:textId="7790A6DA" w:rsidR="006A7A11" w:rsidRPr="003E4351" w:rsidRDefault="006A7A11" w:rsidP="006A7A11">
      <w:pPr>
        <w:pStyle w:val="Bullet"/>
      </w:pPr>
      <w:r w:rsidRPr="003E4351">
        <w:t xml:space="preserve">Stripping out inflation expectations, the real neutral rate has risen far more modestly in recent years. We expect the UK's weak demographic and productivity prospects to keep the </w:t>
      </w:r>
      <w:r w:rsidR="00CF55BF" w:rsidRPr="003E4351">
        <w:t xml:space="preserve">neutral </w:t>
      </w:r>
      <w:r w:rsidRPr="003E4351">
        <w:t>real rate at historically low levels for the foreseeable future.</w:t>
      </w:r>
    </w:p>
    <w:p w14:paraId="114C1EA4" w14:textId="06197C3D" w:rsidR="00A17424" w:rsidRPr="003E4351" w:rsidRDefault="00291DD7" w:rsidP="005A3052">
      <w:pPr>
        <w:pStyle w:val="Bullet"/>
      </w:pPr>
      <w:r w:rsidRPr="003E4351">
        <w:t>N</w:t>
      </w:r>
      <w:r w:rsidR="00163F35" w:rsidRPr="003E4351">
        <w:t xml:space="preserve">eutral rate </w:t>
      </w:r>
      <w:r w:rsidRPr="003E4351">
        <w:t xml:space="preserve">estimates </w:t>
      </w:r>
      <w:r w:rsidR="007448B0" w:rsidRPr="003E4351">
        <w:t>are inherently uncertain</w:t>
      </w:r>
      <w:r w:rsidR="00E76EDD" w:rsidRPr="003E4351">
        <w:t>, especially</w:t>
      </w:r>
      <w:r w:rsidR="00163F35" w:rsidRPr="003E4351">
        <w:t xml:space="preserve"> </w:t>
      </w:r>
      <w:r w:rsidR="007448B0" w:rsidRPr="003E4351">
        <w:t xml:space="preserve">for small open economies such as the UK. </w:t>
      </w:r>
      <w:r w:rsidR="00D9552D" w:rsidRPr="003E4351">
        <w:t xml:space="preserve">Still, </w:t>
      </w:r>
      <w:r w:rsidR="003E677C" w:rsidRPr="003E4351">
        <w:t xml:space="preserve">our approach </w:t>
      </w:r>
      <w:r w:rsidR="00D05809" w:rsidRPr="003E4351">
        <w:t xml:space="preserve">provides a framework </w:t>
      </w:r>
      <w:r w:rsidR="003E4351">
        <w:t>that can inform</w:t>
      </w:r>
      <w:r w:rsidR="00FF790E" w:rsidRPr="003E4351">
        <w:t xml:space="preserve"> our </w:t>
      </w:r>
      <w:r w:rsidR="00610693" w:rsidRPr="003E4351">
        <w:t xml:space="preserve">view </w:t>
      </w:r>
      <w:r w:rsidR="003E69D9" w:rsidRPr="003E4351">
        <w:t>of</w:t>
      </w:r>
      <w:r w:rsidR="00FF790E" w:rsidRPr="003E4351">
        <w:t xml:space="preserve"> the path for </w:t>
      </w:r>
      <w:r w:rsidR="003E69D9" w:rsidRPr="003E4351">
        <w:t>long-</w:t>
      </w:r>
      <w:r w:rsidR="00D90B85" w:rsidRPr="003E4351">
        <w:t>run</w:t>
      </w:r>
      <w:r w:rsidR="003E69D9" w:rsidRPr="003E4351">
        <w:t xml:space="preserve"> </w:t>
      </w:r>
      <w:r w:rsidR="00FF790E" w:rsidRPr="003E4351">
        <w:t>interest rates</w:t>
      </w:r>
      <w:r w:rsidR="005B1B9B" w:rsidRPr="003E4351">
        <w:t xml:space="preserve">, and our scenario analysis </w:t>
      </w:r>
      <w:r w:rsidR="003E4351">
        <w:t>offers</w:t>
      </w:r>
      <w:r w:rsidR="003E4351" w:rsidRPr="003E4351">
        <w:t xml:space="preserve"> </w:t>
      </w:r>
      <w:r w:rsidR="00CE5191" w:rsidRPr="003E4351">
        <w:t>a</w:t>
      </w:r>
      <w:r w:rsidR="0025526F" w:rsidRPr="003E4351">
        <w:t xml:space="preserve"> useful</w:t>
      </w:r>
      <w:r w:rsidR="00CE5191" w:rsidRPr="003E4351">
        <w:t xml:space="preserve"> gauge </w:t>
      </w:r>
      <w:r w:rsidR="0025526F" w:rsidRPr="003E4351">
        <w:t>of</w:t>
      </w:r>
      <w:r w:rsidR="00CE5191" w:rsidRPr="003E4351">
        <w:t xml:space="preserve"> the risks around our estimate</w:t>
      </w:r>
      <w:r w:rsidR="0025526F" w:rsidRPr="003E4351">
        <w:t>s</w:t>
      </w:r>
      <w:r w:rsidR="007E4A7D" w:rsidRPr="003E4351">
        <w:t>.</w:t>
      </w:r>
    </w:p>
    <w:p w14:paraId="426ACC3B" w14:textId="5CC783E9" w:rsidR="00473854" w:rsidRPr="003E4351" w:rsidRDefault="00D80399" w:rsidP="002A7CD7">
      <w:r w:rsidRPr="003E4351">
        <w:t xml:space="preserve">The Bank of England's Monetary Policy Committee has </w:t>
      </w:r>
      <w:hyperlink r:id="rId11" w:history="1">
        <w:r w:rsidRPr="003E4351">
          <w:rPr>
            <w:rStyle w:val="Hyperlink"/>
          </w:rPr>
          <w:t>signalled</w:t>
        </w:r>
      </w:hyperlink>
      <w:r w:rsidRPr="003E4351">
        <w:t xml:space="preserve"> that there's a good chance the first interest rate cut of this cycle will take</w:t>
      </w:r>
      <w:r w:rsidR="003078E6" w:rsidRPr="003E4351">
        <w:t xml:space="preserve"> place</w:t>
      </w:r>
      <w:r w:rsidRPr="003E4351">
        <w:t xml:space="preserve"> </w:t>
      </w:r>
      <w:r w:rsidR="00CF55BF" w:rsidRPr="003E4351">
        <w:t>in the next few months</w:t>
      </w:r>
      <w:r w:rsidRPr="003E4351">
        <w:t>. This raises the key question of where Bank Rate</w:t>
      </w:r>
      <w:r w:rsidR="0037176A" w:rsidRPr="003E4351">
        <w:t xml:space="preserve"> might settle in the long</w:t>
      </w:r>
      <w:r w:rsidR="002D27A1" w:rsidRPr="003E4351">
        <w:t>-</w:t>
      </w:r>
      <w:r w:rsidR="0037176A" w:rsidRPr="003E4351">
        <w:t xml:space="preserve">term </w:t>
      </w:r>
      <w:r w:rsidR="003E4351">
        <w:t>when</w:t>
      </w:r>
      <w:r w:rsidR="003E4351" w:rsidRPr="003E4351">
        <w:t xml:space="preserve"> </w:t>
      </w:r>
      <w:r w:rsidR="0037176A" w:rsidRPr="003E4351">
        <w:t>the MPC's rate</w:t>
      </w:r>
      <w:r w:rsidR="00EC39DD" w:rsidRPr="003E4351">
        <w:t>-</w:t>
      </w:r>
      <w:r w:rsidR="0037176A" w:rsidRPr="003E4351">
        <w:t>cutting</w:t>
      </w:r>
      <w:r w:rsidR="00EC39DD" w:rsidRPr="003E4351">
        <w:t xml:space="preserve"> </w:t>
      </w:r>
      <w:r w:rsidR="0037176A" w:rsidRPr="003E4351">
        <w:t xml:space="preserve">cycle </w:t>
      </w:r>
      <w:r w:rsidR="00FA1D46" w:rsidRPr="003E4351">
        <w:t>ends</w:t>
      </w:r>
      <w:r w:rsidR="001D339D" w:rsidRPr="003E4351">
        <w:t>.</w:t>
      </w:r>
      <w:r w:rsidR="002E2E9F" w:rsidRPr="003E4351">
        <w:t xml:space="preserve"> </w:t>
      </w:r>
    </w:p>
    <w:p w14:paraId="3FA6C5A4" w14:textId="4A1BBE09" w:rsidR="00057219" w:rsidRPr="003E4351" w:rsidRDefault="001D339D" w:rsidP="002A7CD7">
      <w:r w:rsidRPr="003E4351">
        <w:t xml:space="preserve">To </w:t>
      </w:r>
      <w:r w:rsidR="003E4351">
        <w:t>answer this question</w:t>
      </w:r>
      <w:r w:rsidRPr="003E4351">
        <w:t xml:space="preserve">, we have extended our previous </w:t>
      </w:r>
      <w:r w:rsidR="003E4351">
        <w:t>analysis</w:t>
      </w:r>
      <w:r w:rsidR="003E4351" w:rsidRPr="003E4351">
        <w:t xml:space="preserve"> </w:t>
      </w:r>
      <w:r w:rsidRPr="003E4351">
        <w:t>that estimated the</w:t>
      </w:r>
      <w:r w:rsidR="0093283D" w:rsidRPr="003E4351">
        <w:t xml:space="preserve"> long-run</w:t>
      </w:r>
      <w:r w:rsidRPr="003E4351">
        <w:t xml:space="preserve"> neutral interest rate</w:t>
      </w:r>
      <w:r w:rsidR="001F1C13" w:rsidRPr="003E4351">
        <w:t xml:space="preserve"> –</w:t>
      </w:r>
      <w:r w:rsidR="0078694C" w:rsidRPr="003E4351">
        <w:t xml:space="preserve"> the rate where monetary policy is neither </w:t>
      </w:r>
      <w:r w:rsidR="004F38B9" w:rsidRPr="003E4351">
        <w:t xml:space="preserve">stimulatory nor </w:t>
      </w:r>
      <w:r w:rsidR="0078694C" w:rsidRPr="003E4351">
        <w:t xml:space="preserve">restrictive </w:t>
      </w:r>
      <w:r w:rsidR="0051300D" w:rsidRPr="003E4351">
        <w:t>–</w:t>
      </w:r>
      <w:r w:rsidRPr="003E4351">
        <w:t xml:space="preserve"> </w:t>
      </w:r>
      <w:r w:rsidR="00CA77A8" w:rsidRPr="003E4351">
        <w:t>for</w:t>
      </w:r>
      <w:r w:rsidR="00265946" w:rsidRPr="003E4351">
        <w:t xml:space="preserve"> the </w:t>
      </w:r>
      <w:hyperlink r:id="rId12" w:history="1">
        <w:r w:rsidR="00265946" w:rsidRPr="003E4351">
          <w:rPr>
            <w:rStyle w:val="Hyperlink"/>
          </w:rPr>
          <w:t>US</w:t>
        </w:r>
      </w:hyperlink>
      <w:r w:rsidR="00265946" w:rsidRPr="003E4351">
        <w:t xml:space="preserve"> and </w:t>
      </w:r>
      <w:hyperlink r:id="rId13" w:history="1">
        <w:r w:rsidR="00265946" w:rsidRPr="003E4351">
          <w:rPr>
            <w:rStyle w:val="Hyperlink"/>
          </w:rPr>
          <w:t>eurozone</w:t>
        </w:r>
      </w:hyperlink>
      <w:r w:rsidR="00265946" w:rsidRPr="003E4351">
        <w:t xml:space="preserve"> to the UK.</w:t>
      </w:r>
      <w:r w:rsidR="00473854" w:rsidRPr="003E4351">
        <w:t xml:space="preserve"> </w:t>
      </w:r>
      <w:r w:rsidR="00A265D7" w:rsidRPr="003E4351">
        <w:t>Estimates of the neutral rate are inherently uncertain</w:t>
      </w:r>
      <w:r w:rsidR="00F934A4" w:rsidRPr="003E4351">
        <w:t>, especially for small open economies such as the UK</w:t>
      </w:r>
      <w:r w:rsidR="004E6661" w:rsidRPr="003E4351">
        <w:t xml:space="preserve">. </w:t>
      </w:r>
      <w:r w:rsidR="003E4351">
        <w:t>Still</w:t>
      </w:r>
      <w:r w:rsidR="004E6661" w:rsidRPr="003E4351">
        <w:t xml:space="preserve">, </w:t>
      </w:r>
      <w:r w:rsidR="00FC7FEE" w:rsidRPr="003E4351">
        <w:t xml:space="preserve">we think our approach </w:t>
      </w:r>
      <w:r w:rsidR="003E4351">
        <w:t>offers</w:t>
      </w:r>
      <w:r w:rsidR="003E4351" w:rsidRPr="003E4351">
        <w:t xml:space="preserve"> </w:t>
      </w:r>
      <w:r w:rsidR="00B97F43" w:rsidRPr="003E4351">
        <w:t>a</w:t>
      </w:r>
      <w:r w:rsidR="00FC7FEE" w:rsidRPr="003E4351">
        <w:t xml:space="preserve"> </w:t>
      </w:r>
      <w:r w:rsidR="002479A9" w:rsidRPr="003E4351">
        <w:t xml:space="preserve">consistent and </w:t>
      </w:r>
      <w:r w:rsidR="005E201A" w:rsidRPr="003E4351">
        <w:t>helpful</w:t>
      </w:r>
      <w:r w:rsidR="000F7B2A" w:rsidRPr="003E4351">
        <w:t xml:space="preserve"> </w:t>
      </w:r>
      <w:r w:rsidR="00307D28" w:rsidRPr="003E4351">
        <w:t xml:space="preserve">framework </w:t>
      </w:r>
      <w:r w:rsidR="003E4351">
        <w:t>to</w:t>
      </w:r>
      <w:r w:rsidR="003E4351" w:rsidRPr="003E4351">
        <w:t xml:space="preserve"> </w:t>
      </w:r>
      <w:r w:rsidR="009C4055" w:rsidRPr="003E4351">
        <w:t>assess</w:t>
      </w:r>
      <w:r w:rsidR="00C33DC2" w:rsidRPr="003E4351">
        <w:t xml:space="preserve"> </w:t>
      </w:r>
      <w:r w:rsidR="00BF0013" w:rsidRPr="003E4351">
        <w:t xml:space="preserve">the forces </w:t>
      </w:r>
      <w:r w:rsidR="00D209A6" w:rsidRPr="003E4351">
        <w:t>shap</w:t>
      </w:r>
      <w:r w:rsidR="00BF0013" w:rsidRPr="003E4351">
        <w:t>ing</w:t>
      </w:r>
      <w:r w:rsidR="00D209A6" w:rsidRPr="003E4351">
        <w:t xml:space="preserve"> the neutral rate. </w:t>
      </w:r>
      <w:r w:rsidR="005F39ED" w:rsidRPr="003E4351">
        <w:t xml:space="preserve">Our findings suggest </w:t>
      </w:r>
      <w:r w:rsidR="00D209A6" w:rsidRPr="003E4351">
        <w:t>that</w:t>
      </w:r>
      <w:r w:rsidR="0097268B" w:rsidRPr="003E4351">
        <w:t xml:space="preserve"> </w:t>
      </w:r>
      <w:r w:rsidR="00057219" w:rsidRPr="003E4351">
        <w:t>the</w:t>
      </w:r>
      <w:r w:rsidR="007800B5" w:rsidRPr="003E4351">
        <w:t xml:space="preserve"> nominal</w:t>
      </w:r>
      <w:r w:rsidR="00057219" w:rsidRPr="003E4351">
        <w:t xml:space="preserve"> neutral rate </w:t>
      </w:r>
      <w:r w:rsidR="00421A1D" w:rsidRPr="003E4351">
        <w:t>has risen since the pandemic, but not excessively so</w:t>
      </w:r>
      <w:r w:rsidR="003277E3" w:rsidRPr="003E4351">
        <w:t>, and</w:t>
      </w:r>
      <w:r w:rsidR="00184BEF" w:rsidRPr="003E4351">
        <w:t xml:space="preserve"> that</w:t>
      </w:r>
      <w:r w:rsidR="003277E3" w:rsidRPr="003E4351">
        <w:t xml:space="preserve"> </w:t>
      </w:r>
      <w:r w:rsidR="00CF55BF" w:rsidRPr="003E4351">
        <w:t xml:space="preserve">part of </w:t>
      </w:r>
      <w:r w:rsidR="003E4351">
        <w:t>the</w:t>
      </w:r>
      <w:r w:rsidR="003277E3" w:rsidRPr="003E4351">
        <w:t xml:space="preserve"> </w:t>
      </w:r>
      <w:r w:rsidR="00CF55BF" w:rsidRPr="003E4351">
        <w:t xml:space="preserve">recent rise </w:t>
      </w:r>
      <w:r w:rsidR="003277E3" w:rsidRPr="003E4351">
        <w:t xml:space="preserve">is </w:t>
      </w:r>
      <w:r w:rsidR="00E61375" w:rsidRPr="003E4351">
        <w:t xml:space="preserve">likely to unwind </w:t>
      </w:r>
      <w:r w:rsidR="003E4351">
        <w:t>over time</w:t>
      </w:r>
      <w:r w:rsidR="00E977E4" w:rsidRPr="003E4351">
        <w:t xml:space="preserve"> (</w:t>
      </w:r>
      <w:r w:rsidR="00F26CC7" w:rsidRPr="00F06300">
        <w:rPr>
          <w:b/>
          <w:color w:val="003469"/>
        </w:rPr>
        <w:fldChar w:fldCharType="begin"/>
      </w:r>
      <w:r w:rsidR="00F06300" w:rsidRPr="00F06300">
        <w:rPr>
          <w:b/>
          <w:color w:val="003469"/>
        </w:rPr>
        <w:instrText xml:space="preserve">REF _Ref146279103 \h \* Charformat </w:instrText>
      </w:r>
      <w:r w:rsidR="00F06300" w:rsidRPr="00F06300">
        <w:rPr>
          <w:b/>
          <w:color w:val="003469"/>
        </w:rPr>
      </w:r>
      <w:r w:rsidR="00F26CC7" w:rsidRPr="00F06300">
        <w:rPr>
          <w:b/>
          <w:color w:val="003469"/>
        </w:rPr>
        <w:fldChar w:fldCharType="separate"/>
      </w:r>
      <w:r w:rsidR="00F06300" w:rsidRPr="00F06300">
        <w:rPr>
          <w:b/>
          <w:color w:val="003469"/>
        </w:rPr>
        <w:t>Chart 1</w:t>
      </w:r>
      <w:r w:rsidR="00F26CC7" w:rsidRPr="00F06300">
        <w:rPr>
          <w:b/>
          <w:color w:val="003469"/>
        </w:rPr>
        <w:fldChar w:fldCharType="end"/>
      </w:r>
      <w:r w:rsidR="00E977E4" w:rsidRPr="003E4351">
        <w:t>).</w:t>
      </w:r>
    </w:p>
    <w:p w14:paraId="0269EF9A" w14:textId="360514C2" w:rsidR="0001550F" w:rsidRPr="003E4351" w:rsidRDefault="0001550F" w:rsidP="00292E9A">
      <w:pPr>
        <w:pStyle w:val="ExhibitTitle"/>
        <w:jc w:val="center"/>
      </w:pPr>
      <w:bookmarkStart w:id="0" w:name="_Ref146279103"/>
      <w:r w:rsidRPr="003E4351">
        <w:t xml:space="preserve">Chart </w:t>
      </w:r>
      <w:r w:rsidR="00D40A6D" w:rsidRPr="003E4351">
        <w:fldChar w:fldCharType="begin"/>
      </w:r>
      <w:r w:rsidR="00292E9A" w:rsidRPr="003E4351">
        <w:instrText>SEQ CHART</w:instrText>
      </w:r>
      <w:r w:rsidR="00D40A6D" w:rsidRPr="003E4351">
        <w:fldChar w:fldCharType="separate"/>
      </w:r>
      <w:r w:rsidR="006F1CA8" w:rsidRPr="003E4351">
        <w:t>1</w:t>
      </w:r>
      <w:r w:rsidR="00D40A6D" w:rsidRPr="003E4351">
        <w:fldChar w:fldCharType="end"/>
      </w:r>
      <w:bookmarkEnd w:id="0"/>
      <w:r w:rsidRPr="003E4351">
        <w:t>:</w:t>
      </w:r>
      <w:r w:rsidR="00332FF9" w:rsidRPr="003E4351">
        <w:t xml:space="preserve"> </w:t>
      </w:r>
      <w:r w:rsidR="00C408DC" w:rsidRPr="003E4351">
        <w:t>Our long-run neutral rate estimate</w:t>
      </w:r>
      <w:r w:rsidR="006F4E7B" w:rsidRPr="003E4351">
        <w:t>s</w:t>
      </w:r>
      <w:r w:rsidR="00C408DC" w:rsidRPr="003E4351">
        <w:t xml:space="preserve"> suggest Bank Rate may </w:t>
      </w:r>
      <w:r w:rsidR="009B6479" w:rsidRPr="003E4351">
        <w:t>end the decade around 2%</w:t>
      </w:r>
    </w:p>
    <w:p w14:paraId="22F756CB" w14:textId="1CB8FAF6" w:rsidR="00292E9A" w:rsidRPr="003E4351" w:rsidRDefault="00292E9A" w:rsidP="00292E9A">
      <w:pPr>
        <w:spacing w:after="0"/>
        <w:jc w:val="center"/>
      </w:pPr>
      <w:r w:rsidRPr="003E4351">
        <w:rPr>
          <w:noProof/>
        </w:rPr>
        <w:drawing>
          <wp:inline distT="0" distB="0" distL="0" distR="0" wp14:anchorId="7F807FC3" wp14:editId="22CACE7E">
            <wp:extent cx="4006964" cy="3145495"/>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799"/>
                    <a:stretch>
                      <a:fillRect/>
                    </a:stretch>
                  </pic:blipFill>
                  <pic:spPr>
                    <a:xfrm>
                      <a:off x="0" y="0"/>
                      <a:ext cx="4006964" cy="3145495"/>
                    </a:xfrm>
                    <a:prstGeom prst="rect">
                      <a:avLst/>
                    </a:prstGeom>
                  </pic:spPr>
                </pic:pic>
              </a:graphicData>
            </a:graphic>
          </wp:inline>
        </w:drawing>
      </w:r>
    </w:p>
    <w:p w14:paraId="75C48FA2" w14:textId="7AD375BD" w:rsidR="00761CCD" w:rsidRPr="003E4351" w:rsidRDefault="00292E9A" w:rsidP="00761CCD">
      <w:pPr>
        <w:pStyle w:val="ExhibitSource"/>
        <w:jc w:val="center"/>
      </w:pPr>
      <w:r w:rsidRPr="003E4351">
        <w:t>Source: Oxford Economics</w:t>
      </w:r>
      <w:r w:rsidR="003157AA" w:rsidRPr="003E4351">
        <w:t>,</w:t>
      </w:r>
      <w:r w:rsidRPr="003E4351">
        <w:t xml:space="preserve"> Haver Analytics</w:t>
      </w:r>
      <w:r w:rsidR="00761CCD" w:rsidRPr="003E4351">
        <w:br w:type="page"/>
      </w:r>
    </w:p>
    <w:p w14:paraId="498D4807" w14:textId="77777777" w:rsidR="0001550F" w:rsidRPr="003E4351" w:rsidRDefault="0001550F" w:rsidP="006472E9">
      <w:pPr>
        <w:pStyle w:val="ExhibitSource"/>
        <w:sectPr w:rsidR="0001550F" w:rsidRPr="003E4351" w:rsidSect="00292E9A">
          <w:headerReference w:type="even" r:id="rId16"/>
          <w:headerReference w:type="default" r:id="rId17"/>
          <w:footerReference w:type="default" r:id="rId18"/>
          <w:headerReference w:type="first" r:id="rId19"/>
          <w:footerReference w:type="first" r:id="rId20"/>
          <w:pgSz w:w="11906" w:h="16838"/>
          <w:pgMar w:top="1417" w:right="1276" w:bottom="1218" w:left="1134" w:header="708" w:footer="300" w:gutter="0"/>
          <w:cols w:space="708"/>
          <w:titlePg/>
          <w:docGrid w:linePitch="360"/>
        </w:sectPr>
      </w:pPr>
    </w:p>
    <w:p w14:paraId="5AB8689F" w14:textId="31E61348" w:rsidR="00BA772B" w:rsidRPr="003E4351" w:rsidRDefault="00211B16" w:rsidP="00FC10E4">
      <w:r w:rsidRPr="003E4351">
        <w:lastRenderedPageBreak/>
        <w:t xml:space="preserve">Our approach to modelling </w:t>
      </w:r>
      <w:r w:rsidR="005B0C7B" w:rsidRPr="003E4351">
        <w:t xml:space="preserve">neutral rates has built on and extended the influential work of </w:t>
      </w:r>
      <w:hyperlink r:id="rId21" w:history="1">
        <w:r w:rsidR="007F4D3B" w:rsidRPr="003E4351">
          <w:rPr>
            <w:rStyle w:val="Hyperlink"/>
          </w:rPr>
          <w:t xml:space="preserve">Eggertsson </w:t>
        </w:r>
        <w:r w:rsidR="009714D2" w:rsidRPr="003E4351">
          <w:rPr>
            <w:rStyle w:val="Hyperlink"/>
          </w:rPr>
          <w:t>et al. (2019)</w:t>
        </w:r>
      </w:hyperlink>
      <w:r w:rsidR="007F4D3B" w:rsidRPr="003E4351">
        <w:t>.</w:t>
      </w:r>
      <w:r w:rsidR="00A902AD" w:rsidRPr="003E4351">
        <w:t xml:space="preserve"> </w:t>
      </w:r>
      <w:r w:rsidR="00F60046" w:rsidRPr="003E4351">
        <w:t xml:space="preserve">Their </w:t>
      </w:r>
      <w:r w:rsidR="00BE0FF5" w:rsidRPr="003E4351">
        <w:t>research</w:t>
      </w:r>
      <w:r w:rsidR="003C775D" w:rsidRPr="003E4351">
        <w:t xml:space="preserve"> introduced </w:t>
      </w:r>
      <w:r w:rsidR="003A5D05" w:rsidRPr="003E4351">
        <w:t xml:space="preserve">New-Keynesian (NK) frictions </w:t>
      </w:r>
      <w:r w:rsidR="00E22F9F" w:rsidRPr="003E4351">
        <w:t>to</w:t>
      </w:r>
      <w:r w:rsidR="003A5D05" w:rsidRPr="003E4351">
        <w:t xml:space="preserve"> an overlapping generations </w:t>
      </w:r>
      <w:r w:rsidR="00120D02" w:rsidRPr="003E4351">
        <w:t>(OLG)</w:t>
      </w:r>
      <w:r w:rsidR="00E22F9F" w:rsidRPr="003E4351">
        <w:t xml:space="preserve"> </w:t>
      </w:r>
      <w:r w:rsidR="006A5FFA" w:rsidRPr="003E4351">
        <w:t>model.</w:t>
      </w:r>
      <w:r w:rsidR="00787E63" w:rsidRPr="003E4351">
        <w:t xml:space="preserve"> </w:t>
      </w:r>
      <w:r w:rsidR="00407149" w:rsidRPr="003E4351">
        <w:t xml:space="preserve">The OLG part captures how the lifecycle savings and consumption behaviour of an ageing population, together with slowing productivity growth, lead to subdued private demand and an </w:t>
      </w:r>
      <w:r w:rsidR="00B60E42" w:rsidRPr="003E4351">
        <w:t xml:space="preserve">increase in the supply </w:t>
      </w:r>
      <w:r w:rsidR="00407149" w:rsidRPr="003E4351">
        <w:t>of savings. This pushes down the neutral rate that equilibrates supply and demand in the capital market. The NK frictions allow the policy rate to deviate from the neutral rate for prolonged periods.</w:t>
      </w:r>
    </w:p>
    <w:p w14:paraId="64933A21" w14:textId="1B229E1B" w:rsidR="00BA772B" w:rsidRPr="003E4351" w:rsidRDefault="00BE0FF5" w:rsidP="00FC10E4">
      <w:r w:rsidRPr="003E4351">
        <w:t xml:space="preserve">We extended </w:t>
      </w:r>
      <w:r w:rsidR="009C1CA3" w:rsidRPr="003E4351">
        <w:t>this work to include net foreign assets, net migration, increases in retirement age</w:t>
      </w:r>
      <w:r w:rsidR="00C77194" w:rsidRPr="003E4351">
        <w:t>, and the stock of securities held by central banks</w:t>
      </w:r>
      <w:r w:rsidR="009C1CA3" w:rsidRPr="003E4351">
        <w:t xml:space="preserve">. </w:t>
      </w:r>
      <w:r w:rsidR="001C233B" w:rsidRPr="003E4351">
        <w:t xml:space="preserve">More </w:t>
      </w:r>
      <w:r w:rsidR="000D7A53" w:rsidRPr="003E4351">
        <w:t xml:space="preserve">details on our approach </w:t>
      </w:r>
      <w:r w:rsidR="006970AD" w:rsidRPr="003E4351">
        <w:t xml:space="preserve">are available in the </w:t>
      </w:r>
      <w:r w:rsidR="001369A0" w:rsidRPr="003E4351">
        <w:rPr>
          <w:b/>
          <w:color w:val="003469"/>
        </w:rPr>
        <w:t>online appendix</w:t>
      </w:r>
      <w:r w:rsidR="001369A0" w:rsidRPr="003E4351">
        <w:t xml:space="preserve"> attached to this </w:t>
      </w:r>
      <w:r w:rsidR="00CA552C" w:rsidRPr="003E4351">
        <w:t>publication</w:t>
      </w:r>
      <w:r w:rsidR="001369A0" w:rsidRPr="003E4351">
        <w:t xml:space="preserve">. </w:t>
      </w:r>
      <w:r w:rsidR="009C14E9" w:rsidRPr="003E4351">
        <w:t xml:space="preserve">This contains a </w:t>
      </w:r>
      <w:r w:rsidR="00CA552C" w:rsidRPr="003E4351">
        <w:t>basic</w:t>
      </w:r>
      <w:r w:rsidR="009C14E9" w:rsidRPr="003E4351">
        <w:t xml:space="preserve"> description of the model</w:t>
      </w:r>
      <w:r w:rsidR="00750E37" w:rsidRPr="003E4351">
        <w:t>, as well as documentation on our forecasts</w:t>
      </w:r>
      <w:r w:rsidR="00F64343" w:rsidRPr="003E4351">
        <w:t>,</w:t>
      </w:r>
      <w:r w:rsidR="00F97317" w:rsidRPr="003E4351">
        <w:t xml:space="preserve"> scenarios</w:t>
      </w:r>
      <w:r w:rsidR="00AA531D" w:rsidRPr="003E4351">
        <w:t xml:space="preserve">, and estimated parameters. A formal discussion of the </w:t>
      </w:r>
      <w:r w:rsidR="007F2B56" w:rsidRPr="003E4351">
        <w:t>model</w:t>
      </w:r>
      <w:r w:rsidR="00097B6A" w:rsidRPr="003E4351">
        <w:t xml:space="preserve"> can be found in our </w:t>
      </w:r>
      <w:hyperlink r:id="rId22" w:history="1">
        <w:r w:rsidR="00097B6A" w:rsidRPr="003E4351">
          <w:rPr>
            <w:rStyle w:val="Hyperlink"/>
          </w:rPr>
          <w:t>white paper</w:t>
        </w:r>
      </w:hyperlink>
      <w:r w:rsidR="007F2B56" w:rsidRPr="003E4351">
        <w:t>.</w:t>
      </w:r>
    </w:p>
    <w:p w14:paraId="7C8DD42C" w14:textId="53BC9866" w:rsidR="00C14210" w:rsidRPr="003E4351" w:rsidRDefault="003A107B" w:rsidP="00125C67">
      <w:r w:rsidRPr="003E4351">
        <w:t xml:space="preserve">The neutral rate cannot be observed directly, </w:t>
      </w:r>
      <w:r w:rsidR="00D6476C">
        <w:t>so</w:t>
      </w:r>
      <w:r w:rsidR="00D6476C" w:rsidRPr="003E4351">
        <w:t xml:space="preserve"> </w:t>
      </w:r>
      <w:r w:rsidRPr="003E4351">
        <w:t>estimates are always subject to considerable uncertainty. But e</w:t>
      </w:r>
      <w:r w:rsidR="00C14210" w:rsidRPr="003E4351">
        <w:t xml:space="preserve">stimating this model for the UK is </w:t>
      </w:r>
      <w:r w:rsidRPr="003E4351">
        <w:t xml:space="preserve">arguably </w:t>
      </w:r>
      <w:r w:rsidR="00C14210" w:rsidRPr="003E4351">
        <w:t xml:space="preserve">more challenging than for large economies such as the US or </w:t>
      </w:r>
      <w:r w:rsidR="00DC1ECB" w:rsidRPr="003E4351">
        <w:t>eurozone</w:t>
      </w:r>
      <w:r w:rsidRPr="003E4351">
        <w:t>, due to</w:t>
      </w:r>
      <w:r w:rsidR="00C14210" w:rsidRPr="003E4351">
        <w:t xml:space="preserve"> the </w:t>
      </w:r>
      <w:r w:rsidRPr="003E4351">
        <w:t>greater</w:t>
      </w:r>
      <w:r w:rsidR="00C14210" w:rsidRPr="003E4351">
        <w:t xml:space="preserve"> impact of external developments </w:t>
      </w:r>
      <w:r w:rsidR="00066484" w:rsidRPr="003E4351">
        <w:t>outside of</w:t>
      </w:r>
      <w:r w:rsidR="00DC1ECB" w:rsidRPr="003E4351">
        <w:t xml:space="preserve"> changes in net foreign assets or net migration</w:t>
      </w:r>
      <w:r w:rsidRPr="003E4351">
        <w:t>. Meanwhile, large UK-specific structural shifts over the past 50 years suggest</w:t>
      </w:r>
      <w:r w:rsidR="00125C67" w:rsidRPr="003E4351">
        <w:t xml:space="preserve"> </w:t>
      </w:r>
      <w:r w:rsidR="00720F5E" w:rsidRPr="003E4351">
        <w:t>d</w:t>
      </w:r>
      <w:r w:rsidR="00DC1ECB" w:rsidRPr="003E4351">
        <w:t xml:space="preserve">omestic developments may </w:t>
      </w:r>
      <w:r w:rsidR="001103BF" w:rsidRPr="003E4351">
        <w:t xml:space="preserve">have </w:t>
      </w:r>
      <w:r w:rsidR="00DC1ECB" w:rsidRPr="003E4351">
        <w:t>play</w:t>
      </w:r>
      <w:r w:rsidR="001103BF" w:rsidRPr="003E4351">
        <w:t>ed</w:t>
      </w:r>
      <w:r w:rsidR="00DC1ECB" w:rsidRPr="003E4351">
        <w:t xml:space="preserve"> more of a role too.</w:t>
      </w:r>
    </w:p>
    <w:p w14:paraId="018B09A0" w14:textId="38298430" w:rsidR="00EC6550" w:rsidRPr="003E4351" w:rsidRDefault="00705860" w:rsidP="00177B55">
      <w:pPr>
        <w:pStyle w:val="Heading3"/>
      </w:pPr>
      <w:r w:rsidRPr="003E4351">
        <w:t xml:space="preserve">Higher inflation expectations </w:t>
      </w:r>
      <w:r w:rsidR="00EA6FA8" w:rsidRPr="003E4351">
        <w:t>are</w:t>
      </w:r>
      <w:r w:rsidR="00337279" w:rsidRPr="003E4351">
        <w:t xml:space="preserve"> behind the recent rise in the nominal neutral rate </w:t>
      </w:r>
    </w:p>
    <w:p w14:paraId="6C4D23A5" w14:textId="5A829255" w:rsidR="00886E60" w:rsidRPr="003E4351" w:rsidRDefault="00F73908" w:rsidP="00C227C9">
      <w:r w:rsidRPr="003E4351">
        <w:t>The main reason why the nominal neutral rate has risen in recent years and is projected to fall over the next few years is long-ru</w:t>
      </w:r>
      <w:r w:rsidR="00A71CF4" w:rsidRPr="003E4351">
        <w:t xml:space="preserve">n inflation expectations. </w:t>
      </w:r>
      <w:r w:rsidR="00E267F2" w:rsidRPr="003E4351">
        <w:t xml:space="preserve">Inflation increased dramatically </w:t>
      </w:r>
      <w:r w:rsidR="0030053A" w:rsidRPr="003E4351">
        <w:t>in 2021 and 2022</w:t>
      </w:r>
      <w:r w:rsidR="00587F59" w:rsidRPr="003E4351">
        <w:t xml:space="preserve"> </w:t>
      </w:r>
      <w:r w:rsidR="00D6476C">
        <w:t>due</w:t>
      </w:r>
      <w:r w:rsidR="004F6946" w:rsidRPr="003E4351">
        <w:t xml:space="preserve"> to </w:t>
      </w:r>
      <w:r w:rsidR="00523860" w:rsidRPr="003E4351">
        <w:t xml:space="preserve">the </w:t>
      </w:r>
      <w:r w:rsidR="00E6649A" w:rsidRPr="003E4351">
        <w:t>pandemic</w:t>
      </w:r>
      <w:r w:rsidR="00990EF3" w:rsidRPr="003E4351">
        <w:t>,</w:t>
      </w:r>
      <w:r w:rsidR="00523860" w:rsidRPr="003E4351">
        <w:t xml:space="preserve"> Russia's </w:t>
      </w:r>
      <w:r w:rsidR="005C68BE" w:rsidRPr="003E4351">
        <w:t>invasion of Ukraine</w:t>
      </w:r>
      <w:r w:rsidR="00990EF3" w:rsidRPr="003E4351">
        <w:t xml:space="preserve">, and </w:t>
      </w:r>
      <w:r w:rsidR="00E6649A" w:rsidRPr="003E4351">
        <w:t>a surge in pay growth</w:t>
      </w:r>
      <w:r w:rsidR="005C68BE" w:rsidRPr="003E4351">
        <w:t xml:space="preserve">. </w:t>
      </w:r>
      <w:r w:rsidR="00D66C9A" w:rsidRPr="003E4351">
        <w:t xml:space="preserve">The </w:t>
      </w:r>
      <w:r w:rsidR="00001CF6" w:rsidRPr="003E4351">
        <w:t>resulting rise in</w:t>
      </w:r>
      <w:r w:rsidR="00AF1B58" w:rsidRPr="003E4351">
        <w:t xml:space="preserve"> inflation expectations </w:t>
      </w:r>
      <w:r w:rsidR="003F1A0B" w:rsidRPr="003E4351">
        <w:t xml:space="preserve">lifted </w:t>
      </w:r>
      <w:r w:rsidR="008F22DC" w:rsidRPr="003E4351">
        <w:t xml:space="preserve">the nominal </w:t>
      </w:r>
      <w:r w:rsidR="00621D7D" w:rsidRPr="003E4351">
        <w:t xml:space="preserve">neutral </w:t>
      </w:r>
      <w:r w:rsidR="00D632CF" w:rsidRPr="003E4351">
        <w:t xml:space="preserve">rate, which our estimates suggest </w:t>
      </w:r>
      <w:r w:rsidR="00D6476C">
        <w:t>is now</w:t>
      </w:r>
      <w:r w:rsidR="00D632CF" w:rsidRPr="003E4351">
        <w:t xml:space="preserve"> slightly below </w:t>
      </w:r>
      <w:r w:rsidR="00F07724" w:rsidRPr="003E4351">
        <w:t>3%.</w:t>
      </w:r>
    </w:p>
    <w:p w14:paraId="5C7A2A5D" w14:textId="4143DBA6" w:rsidR="00707917" w:rsidRPr="003E4351" w:rsidRDefault="00B60A25" w:rsidP="00707917">
      <w:r>
        <w:t xml:space="preserve">With Bank Rate currently at </w:t>
      </w:r>
      <w:r w:rsidR="00D6476C" w:rsidRPr="00D6476C">
        <w:t>5.25%</w:t>
      </w:r>
      <w:r>
        <w:t>, it</w:t>
      </w:r>
      <w:r w:rsidR="00D6476C" w:rsidRPr="00D6476C">
        <w:t xml:space="preserve"> </w:t>
      </w:r>
      <w:r w:rsidR="00790617" w:rsidRPr="003E4351">
        <w:t xml:space="preserve">is </w:t>
      </w:r>
      <w:r w:rsidR="00707917" w:rsidRPr="003E4351">
        <w:t xml:space="preserve">well above our estimate of the long-run nominal neutral rate. This </w:t>
      </w:r>
      <w:r w:rsidR="00D6476C">
        <w:t>means</w:t>
      </w:r>
      <w:r w:rsidR="00707917" w:rsidRPr="003E4351">
        <w:t xml:space="preserve"> the BoE's policy stance is quite restrictive</w:t>
      </w:r>
      <w:r w:rsidR="00790617" w:rsidRPr="003E4351">
        <w:t xml:space="preserve"> at the moment</w:t>
      </w:r>
      <w:r w:rsidR="00707917" w:rsidRPr="003E4351">
        <w:t xml:space="preserve">, corroborating the language introduced in </w:t>
      </w:r>
      <w:r w:rsidR="00CF55BF" w:rsidRPr="003E4351">
        <w:t>the MPC</w:t>
      </w:r>
      <w:r w:rsidR="003078E6" w:rsidRPr="003E4351">
        <w:t>'s</w:t>
      </w:r>
      <w:r w:rsidR="00CF55BF" w:rsidRPr="003E4351">
        <w:t xml:space="preserve"> </w:t>
      </w:r>
      <w:r w:rsidR="003078E6" w:rsidRPr="003E4351">
        <w:t xml:space="preserve">recent </w:t>
      </w:r>
      <w:r w:rsidR="00CF55BF" w:rsidRPr="003E4351">
        <w:t xml:space="preserve">policy statements </w:t>
      </w:r>
      <w:r w:rsidR="00707917" w:rsidRPr="003E4351">
        <w:t xml:space="preserve">which </w:t>
      </w:r>
      <w:r w:rsidR="00CF55BF" w:rsidRPr="003E4351">
        <w:t xml:space="preserve">noted </w:t>
      </w:r>
      <w:r w:rsidR="00707917" w:rsidRPr="003E4351">
        <w:t>that policy was at a restrictive level</w:t>
      </w:r>
      <w:r w:rsidR="00EE0965">
        <w:t>,</w:t>
      </w:r>
      <w:r w:rsidR="00707917" w:rsidRPr="003E4351">
        <w:t xml:space="preserve"> and it would remain restrictive even if Bank Rate were to be lowered</w:t>
      </w:r>
      <w:r w:rsidR="008F373B" w:rsidRPr="003E4351">
        <w:t xml:space="preserve"> </w:t>
      </w:r>
      <w:r w:rsidR="006518E4" w:rsidRPr="003E4351">
        <w:t>a bit</w:t>
      </w:r>
      <w:r w:rsidR="00707917" w:rsidRPr="003E4351">
        <w:t>.</w:t>
      </w:r>
    </w:p>
    <w:p w14:paraId="36139D82" w14:textId="19626E1C" w:rsidR="00EE0965" w:rsidRDefault="003C4A0E" w:rsidP="009C6774">
      <w:r w:rsidRPr="003E4351">
        <w:t xml:space="preserve">With most of the impacts </w:t>
      </w:r>
      <w:r w:rsidR="000B6C13" w:rsidRPr="003E4351">
        <w:t xml:space="preserve">of recent supply shocks having dissipated </w:t>
      </w:r>
      <w:r w:rsidR="00D20DB0" w:rsidRPr="003E4351">
        <w:t>and</w:t>
      </w:r>
      <w:r w:rsidR="00D204CD" w:rsidRPr="003E4351">
        <w:t xml:space="preserve"> CPI</w:t>
      </w:r>
      <w:r w:rsidR="00D20DB0" w:rsidRPr="003E4351">
        <w:t xml:space="preserve"> </w:t>
      </w:r>
      <w:r w:rsidR="00C969FF" w:rsidRPr="003E4351">
        <w:t>inflation</w:t>
      </w:r>
      <w:r w:rsidR="002E3943" w:rsidRPr="003E4351">
        <w:t xml:space="preserve"> now</w:t>
      </w:r>
      <w:r w:rsidR="00C969FF" w:rsidRPr="003E4351">
        <w:t xml:space="preserve"> close to the BoE's 2%</w:t>
      </w:r>
      <w:r w:rsidR="002E3943" w:rsidRPr="003E4351">
        <w:t xml:space="preserve"> target</w:t>
      </w:r>
      <w:r w:rsidR="0017001D" w:rsidRPr="003E4351">
        <w:t xml:space="preserve">, </w:t>
      </w:r>
      <w:r w:rsidR="005062B9" w:rsidRPr="003E4351">
        <w:t xml:space="preserve">inflation expectations have fallen back significantly. </w:t>
      </w:r>
      <w:r w:rsidR="001C066C" w:rsidRPr="003E4351">
        <w:t>As inflation expectations continue to normalise</w:t>
      </w:r>
      <w:r w:rsidR="00714FD9" w:rsidRPr="003E4351">
        <w:t xml:space="preserve">, </w:t>
      </w:r>
      <w:r w:rsidR="005F1427" w:rsidRPr="003E4351">
        <w:t xml:space="preserve">we think </w:t>
      </w:r>
      <w:r w:rsidR="00B9168C" w:rsidRPr="003E4351">
        <w:t xml:space="preserve">the secular forces that </w:t>
      </w:r>
      <w:r w:rsidR="00EE0965">
        <w:t>drove</w:t>
      </w:r>
      <w:r w:rsidR="00B9168C" w:rsidRPr="003E4351">
        <w:t xml:space="preserve"> interest rates down </w:t>
      </w:r>
      <w:r w:rsidR="00D204CD" w:rsidRPr="003E4351">
        <w:t xml:space="preserve">in </w:t>
      </w:r>
      <w:r w:rsidR="00EE0965">
        <w:t>previous</w:t>
      </w:r>
      <w:r w:rsidR="00D204CD" w:rsidRPr="003E4351">
        <w:t xml:space="preserve"> decades</w:t>
      </w:r>
      <w:r w:rsidR="005F1427" w:rsidRPr="003E4351">
        <w:t xml:space="preserve"> will firmly reassert themselves.</w:t>
      </w:r>
      <w:r w:rsidR="0005757B" w:rsidRPr="003E4351">
        <w:t xml:space="preserve"> </w:t>
      </w:r>
      <w:r w:rsidR="00BE640E" w:rsidRPr="003E4351">
        <w:t>Therefore</w:t>
      </w:r>
      <w:r w:rsidR="001D1390" w:rsidRPr="003E4351">
        <w:t xml:space="preserve">, </w:t>
      </w:r>
      <w:r w:rsidR="008F0818" w:rsidRPr="003E4351">
        <w:t xml:space="preserve">we </w:t>
      </w:r>
      <w:r w:rsidR="00EE0965">
        <w:t>anticipate</w:t>
      </w:r>
      <w:r w:rsidR="00EE0965" w:rsidRPr="003E4351">
        <w:t xml:space="preserve"> </w:t>
      </w:r>
      <w:r w:rsidR="008F0818" w:rsidRPr="003E4351">
        <w:t xml:space="preserve">the long-run nominal neutral </w:t>
      </w:r>
      <w:r w:rsidR="00EF1681" w:rsidRPr="003E4351">
        <w:t xml:space="preserve">rate ending </w:t>
      </w:r>
      <w:r w:rsidR="00EE0965" w:rsidRPr="003E4351">
        <w:t>th</w:t>
      </w:r>
      <w:r w:rsidR="00EE0965">
        <w:t>is</w:t>
      </w:r>
      <w:r w:rsidR="00EE0965" w:rsidRPr="003E4351">
        <w:t xml:space="preserve"> </w:t>
      </w:r>
      <w:r w:rsidR="007829B3" w:rsidRPr="003E4351">
        <w:t xml:space="preserve">decade </w:t>
      </w:r>
      <w:r w:rsidR="00EE0965">
        <w:t xml:space="preserve">at </w:t>
      </w:r>
      <w:r w:rsidR="007829B3" w:rsidRPr="003E4351">
        <w:t>around the 2% mark.</w:t>
      </w:r>
      <w:r w:rsidR="00FE17F4" w:rsidRPr="003E4351">
        <w:t xml:space="preserve"> </w:t>
      </w:r>
    </w:p>
    <w:p w14:paraId="72DC6243" w14:textId="5BA547D5" w:rsidR="00707917" w:rsidRPr="003E4351" w:rsidRDefault="00FE17F4" w:rsidP="009C6774">
      <w:r w:rsidRPr="003E4351">
        <w:t xml:space="preserve">However, our scenarios, discussed below, highlight that the risks to our baseline are currently skewed to the upside. </w:t>
      </w:r>
      <w:r w:rsidR="00EE0965">
        <w:t>What's more</w:t>
      </w:r>
      <w:r w:rsidRPr="003E4351">
        <w:t xml:space="preserve">, in the </w:t>
      </w:r>
      <w:r w:rsidR="00066484" w:rsidRPr="003E4351">
        <w:t>upcoming</w:t>
      </w:r>
      <w:r w:rsidRPr="003E4351">
        <w:t xml:space="preserve"> rate cutting cycle, </w:t>
      </w:r>
      <w:r w:rsidR="00066484" w:rsidRPr="003E4351">
        <w:t xml:space="preserve">already-low inflation and recovering growth prospects suggest </w:t>
      </w:r>
      <w:r w:rsidRPr="003E4351">
        <w:t xml:space="preserve">the BoE </w:t>
      </w:r>
      <w:r w:rsidR="00EE0965">
        <w:t>might</w:t>
      </w:r>
      <w:r w:rsidR="00EE0965" w:rsidRPr="003E4351">
        <w:t xml:space="preserve"> </w:t>
      </w:r>
      <w:r w:rsidR="00D96771" w:rsidRPr="003E4351">
        <w:t xml:space="preserve">not lower Bank Rate all the way to </w:t>
      </w:r>
      <w:r w:rsidR="00EE0965">
        <w:t xml:space="preserve">a level that </w:t>
      </w:r>
      <w:r w:rsidR="00D96771" w:rsidRPr="003E4351">
        <w:t xml:space="preserve">we estimate would </w:t>
      </w:r>
      <w:r w:rsidR="003F3C12" w:rsidRPr="003E4351">
        <w:t>represent a</w:t>
      </w:r>
      <w:r w:rsidR="00D96771" w:rsidRPr="003E4351">
        <w:t xml:space="preserve"> neutral policy stance.</w:t>
      </w:r>
    </w:p>
    <w:p w14:paraId="6A0F77EE" w14:textId="17F0E9CB" w:rsidR="0088154D" w:rsidRPr="003E4351" w:rsidRDefault="003078E6" w:rsidP="00C227C9">
      <w:r w:rsidRPr="003E4351">
        <w:t>Stripping out inflation expectations,</w:t>
      </w:r>
      <w:r w:rsidR="00342959" w:rsidRPr="003E4351">
        <w:t xml:space="preserve"> </w:t>
      </w:r>
      <w:r w:rsidR="003D4C34" w:rsidRPr="003E4351">
        <w:t>the</w:t>
      </w:r>
      <w:r w:rsidR="0014020E" w:rsidRPr="003E4351">
        <w:t xml:space="preserve"> long</w:t>
      </w:r>
      <w:r w:rsidR="002C04AB" w:rsidRPr="003E4351">
        <w:t>-run</w:t>
      </w:r>
      <w:r w:rsidR="003D4C34" w:rsidRPr="003E4351">
        <w:t xml:space="preserve"> </w:t>
      </w:r>
      <w:r w:rsidR="003D4C34" w:rsidRPr="003E4351">
        <w:rPr>
          <w:i/>
        </w:rPr>
        <w:t>real</w:t>
      </w:r>
      <w:r w:rsidR="003D4C34" w:rsidRPr="003E4351">
        <w:t xml:space="preserve"> neutral rate is arguably </w:t>
      </w:r>
      <w:r w:rsidR="003034A7" w:rsidRPr="003E4351">
        <w:t>the more important concept</w:t>
      </w:r>
      <w:r w:rsidR="00D63249" w:rsidRPr="003E4351">
        <w:t xml:space="preserve">. </w:t>
      </w:r>
      <w:r w:rsidR="00DF4AD1" w:rsidRPr="003E4351">
        <w:t>A</w:t>
      </w:r>
      <w:r w:rsidR="00D63249" w:rsidRPr="003E4351">
        <w:t xml:space="preserve">ccording to our analysis, </w:t>
      </w:r>
      <w:r w:rsidR="002201E7" w:rsidRPr="003E4351">
        <w:t xml:space="preserve">the real neutral rate </w:t>
      </w:r>
      <w:r w:rsidR="00574A75" w:rsidRPr="003E4351">
        <w:t>may</w:t>
      </w:r>
      <w:r w:rsidR="002201E7" w:rsidRPr="003E4351">
        <w:t xml:space="preserve"> edge upward in the near-term</w:t>
      </w:r>
      <w:r w:rsidR="00813D84" w:rsidRPr="003E4351">
        <w:t xml:space="preserve">, </w:t>
      </w:r>
      <w:r w:rsidR="00F22E25" w:rsidRPr="003E4351">
        <w:t xml:space="preserve">similar to our findings </w:t>
      </w:r>
      <w:r w:rsidR="0022479E" w:rsidRPr="003E4351">
        <w:t>for</w:t>
      </w:r>
      <w:r w:rsidR="008D04D4" w:rsidRPr="003E4351">
        <w:t xml:space="preserve"> the US and </w:t>
      </w:r>
      <w:r w:rsidR="00183AC2" w:rsidRPr="003E4351">
        <w:t xml:space="preserve">the </w:t>
      </w:r>
      <w:r w:rsidR="008D04D4" w:rsidRPr="003E4351">
        <w:t xml:space="preserve">eurozone. However, </w:t>
      </w:r>
      <w:r w:rsidR="00B8768D" w:rsidRPr="003E4351">
        <w:t>the big</w:t>
      </w:r>
      <w:r w:rsidR="00EE0965">
        <w:t>ger</w:t>
      </w:r>
      <w:r w:rsidR="00B8768D" w:rsidRPr="003E4351">
        <w:t xml:space="preserve"> picture</w:t>
      </w:r>
      <w:r w:rsidR="0093150B" w:rsidRPr="003E4351">
        <w:t xml:space="preserve"> </w:t>
      </w:r>
      <w:r w:rsidR="00CF4D31" w:rsidRPr="003E4351">
        <w:t xml:space="preserve">is that </w:t>
      </w:r>
      <w:r w:rsidR="00667799" w:rsidRPr="003E4351">
        <w:t xml:space="preserve">we </w:t>
      </w:r>
      <w:r w:rsidR="002E2C61" w:rsidRPr="003E4351">
        <w:t>expect</w:t>
      </w:r>
      <w:r w:rsidR="00667799" w:rsidRPr="003E4351">
        <w:t xml:space="preserve"> the </w:t>
      </w:r>
      <w:r w:rsidR="006C1BCE" w:rsidRPr="003E4351">
        <w:t xml:space="preserve">neutral </w:t>
      </w:r>
      <w:r w:rsidR="00667799" w:rsidRPr="003E4351">
        <w:t xml:space="preserve">real rate to remain </w:t>
      </w:r>
      <w:r w:rsidR="00D24628" w:rsidRPr="003E4351">
        <w:t xml:space="preserve">close to zero </w:t>
      </w:r>
      <w:r w:rsidR="004E34A6" w:rsidRPr="003E4351">
        <w:t>for the foreseeable future</w:t>
      </w:r>
      <w:r w:rsidR="00156000" w:rsidRPr="003E4351">
        <w:t xml:space="preserve"> (</w:t>
      </w:r>
      <w:r w:rsidR="00F26CC7" w:rsidRPr="00F06300">
        <w:rPr>
          <w:b/>
          <w:color w:val="003469"/>
        </w:rPr>
        <w:fldChar w:fldCharType="begin"/>
      </w:r>
      <w:r w:rsidR="00F06300" w:rsidRPr="00F06300">
        <w:rPr>
          <w:b/>
          <w:color w:val="003469"/>
        </w:rPr>
        <w:instrText xml:space="preserve">REF _Ref146279104 \h \* Charformat </w:instrText>
      </w:r>
      <w:r w:rsidR="00F06300" w:rsidRPr="00F06300">
        <w:rPr>
          <w:b/>
          <w:color w:val="003469"/>
        </w:rPr>
      </w:r>
      <w:r w:rsidR="00F26CC7" w:rsidRPr="00F06300">
        <w:rPr>
          <w:b/>
          <w:color w:val="003469"/>
        </w:rPr>
        <w:fldChar w:fldCharType="separate"/>
      </w:r>
      <w:r w:rsidR="00F06300" w:rsidRPr="00F06300">
        <w:rPr>
          <w:b/>
          <w:color w:val="003469"/>
        </w:rPr>
        <w:t>Chart 2</w:t>
      </w:r>
      <w:r w:rsidR="00F26CC7" w:rsidRPr="00F06300">
        <w:rPr>
          <w:b/>
          <w:color w:val="003469"/>
        </w:rPr>
        <w:fldChar w:fldCharType="end"/>
      </w:r>
      <w:r w:rsidR="00156000" w:rsidRPr="003E4351">
        <w:t>)</w:t>
      </w:r>
      <w:r w:rsidR="002E2C61" w:rsidRPr="003E4351">
        <w:t>.</w:t>
      </w:r>
    </w:p>
    <w:p w14:paraId="4B837B64" w14:textId="3C6DE28D" w:rsidR="00CE28BE" w:rsidRPr="003E4351" w:rsidRDefault="00CE28BE" w:rsidP="00177B55">
      <w:pPr>
        <w:pStyle w:val="ExhibitTitle"/>
      </w:pPr>
      <w:bookmarkStart w:id="1" w:name="_Ref146279104"/>
      <w:r w:rsidRPr="003E4351">
        <w:lastRenderedPageBreak/>
        <w:t xml:space="preserve">Chart </w:t>
      </w:r>
      <w:r w:rsidRPr="003E4351">
        <w:fldChar w:fldCharType="begin"/>
      </w:r>
      <w:r w:rsidR="00F73404" w:rsidRPr="003E4351">
        <w:instrText>SEQ CHART</w:instrText>
      </w:r>
      <w:r w:rsidRPr="003E4351">
        <w:fldChar w:fldCharType="separate"/>
      </w:r>
      <w:r w:rsidR="006F1CA8" w:rsidRPr="003E4351">
        <w:t>2</w:t>
      </w:r>
      <w:r w:rsidRPr="003E4351">
        <w:fldChar w:fldCharType="end"/>
      </w:r>
      <w:bookmarkEnd w:id="1"/>
      <w:r w:rsidRPr="003E4351">
        <w:t xml:space="preserve">: </w:t>
      </w:r>
      <w:r w:rsidR="00162675" w:rsidRPr="003E4351">
        <w:t xml:space="preserve">Our modelling </w:t>
      </w:r>
      <w:r w:rsidR="007A3C2B" w:rsidRPr="003E4351">
        <w:t xml:space="preserve">suggests the </w:t>
      </w:r>
      <w:r w:rsidR="00936EF4" w:rsidRPr="003E4351">
        <w:t xml:space="preserve">long-run </w:t>
      </w:r>
      <w:r w:rsidR="007A3C2B" w:rsidRPr="003E4351">
        <w:t>real rate will remain low</w:t>
      </w:r>
    </w:p>
    <w:p w14:paraId="07814D31" w14:textId="39349FE5" w:rsidR="00F73404" w:rsidRPr="003E4351" w:rsidRDefault="00F73404" w:rsidP="00177B55">
      <w:pPr>
        <w:spacing w:after="0"/>
      </w:pPr>
      <w:r w:rsidRPr="003E4351">
        <w:rPr>
          <w:noProof/>
        </w:rPr>
        <w:drawing>
          <wp:inline distT="0" distB="0" distL="0" distR="0" wp14:anchorId="32E6EF88" wp14:editId="63F0BD0E">
            <wp:extent cx="3250933" cy="2541433"/>
            <wp:effectExtent l="0" t="0" r="6985" b="0"/>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rcRect b="2283"/>
                    <a:stretch>
                      <a:fillRect/>
                    </a:stretch>
                  </pic:blipFill>
                  <pic:spPr>
                    <a:xfrm>
                      <a:off x="0" y="0"/>
                      <a:ext cx="3250933" cy="2541433"/>
                    </a:xfrm>
                    <a:prstGeom prst="rect">
                      <a:avLst/>
                    </a:prstGeom>
                  </pic:spPr>
                </pic:pic>
              </a:graphicData>
            </a:graphic>
          </wp:inline>
        </w:drawing>
      </w:r>
    </w:p>
    <w:p w14:paraId="5350325C" w14:textId="7394F16F" w:rsidR="00F3016B" w:rsidRPr="003E4351" w:rsidRDefault="00F73404" w:rsidP="00177B55">
      <w:pPr>
        <w:pStyle w:val="ExhibitSource"/>
      </w:pPr>
      <w:r w:rsidRPr="003E4351">
        <w:t>Source: Oxford Economics</w:t>
      </w:r>
    </w:p>
    <w:p w14:paraId="7BA64200" w14:textId="4B7B30E6" w:rsidR="00CE28BE" w:rsidRPr="003E4351" w:rsidRDefault="001173B1" w:rsidP="00177B55">
      <w:pPr>
        <w:pStyle w:val="Heading3"/>
      </w:pPr>
      <w:r w:rsidRPr="003E4351">
        <w:t>The c</w:t>
      </w:r>
      <w:r w:rsidR="00C227C9" w:rsidRPr="003E4351">
        <w:t>ontributions</w:t>
      </w:r>
      <w:r w:rsidR="0033151A" w:rsidRPr="003E4351">
        <w:t xml:space="preserve"> of secular forces</w:t>
      </w:r>
    </w:p>
    <w:p w14:paraId="27B24FCB" w14:textId="6FD38B5F" w:rsidR="009B2C0A" w:rsidRPr="003E4351" w:rsidRDefault="00D343D1" w:rsidP="00AC76D5">
      <w:r w:rsidRPr="003E4351">
        <w:t xml:space="preserve">In contrast to most other models, ours can quantify the </w:t>
      </w:r>
      <w:r w:rsidR="009B2C0A" w:rsidRPr="003E4351">
        <w:t xml:space="preserve">separate </w:t>
      </w:r>
      <w:r w:rsidRPr="003E4351">
        <w:t xml:space="preserve">contributions of major </w:t>
      </w:r>
      <w:r w:rsidR="007470D7" w:rsidRPr="003E4351">
        <w:t>secular</w:t>
      </w:r>
      <w:r w:rsidRPr="003E4351">
        <w:t xml:space="preserve"> forces to the change in the real neutral rate</w:t>
      </w:r>
      <w:r w:rsidR="006D6F6C" w:rsidRPr="003E4351">
        <w:t>.</w:t>
      </w:r>
      <w:r w:rsidR="00E56BAA" w:rsidRPr="003E4351">
        <w:t xml:space="preserve"> </w:t>
      </w:r>
      <w:r w:rsidR="006F4937" w:rsidRPr="003E4351">
        <w:t xml:space="preserve">We recognise that for the UK – a small open economy compared to the US or </w:t>
      </w:r>
      <w:r w:rsidR="00EE0965">
        <w:t>eurozone</w:t>
      </w:r>
      <w:r w:rsidR="00EE0965" w:rsidRPr="003E4351">
        <w:t xml:space="preserve"> </w:t>
      </w:r>
      <w:r w:rsidR="006F4937" w:rsidRPr="003E4351">
        <w:t>–</w:t>
      </w:r>
      <w:r w:rsidR="00EE0965">
        <w:t xml:space="preserve"> a number</w:t>
      </w:r>
      <w:r w:rsidR="006F4937" w:rsidRPr="003E4351">
        <w:t xml:space="preserve"> </w:t>
      </w:r>
      <w:r w:rsidR="00EE0965">
        <w:t xml:space="preserve">of </w:t>
      </w:r>
      <w:r w:rsidR="006F4937" w:rsidRPr="003E4351">
        <w:t>factors may be missing.</w:t>
      </w:r>
      <w:r w:rsidR="004A02ED" w:rsidRPr="003E4351">
        <w:t xml:space="preserve"> </w:t>
      </w:r>
      <w:r w:rsidR="00EE0965">
        <w:t>Still</w:t>
      </w:r>
      <w:r w:rsidR="003363DD" w:rsidRPr="003E4351">
        <w:t>, we account for nine forces</w:t>
      </w:r>
      <w:r w:rsidR="003C57BC" w:rsidRPr="003E4351">
        <w:t xml:space="preserve"> </w:t>
      </w:r>
      <w:r w:rsidR="00E57033" w:rsidRPr="003E4351">
        <w:t>to guide our estimates</w:t>
      </w:r>
      <w:r w:rsidR="00EE0965">
        <w:t xml:space="preserve">. This is </w:t>
      </w:r>
      <w:r w:rsidR="00806972" w:rsidRPr="003E4351">
        <w:t>more than</w:t>
      </w:r>
      <w:r w:rsidR="003F4F56" w:rsidRPr="003E4351">
        <w:t xml:space="preserve"> in</w:t>
      </w:r>
      <w:r w:rsidR="00806972" w:rsidRPr="003E4351">
        <w:t xml:space="preserve"> any</w:t>
      </w:r>
      <w:r w:rsidR="00055F4B" w:rsidRPr="003E4351">
        <w:t xml:space="preserve"> other study that we are aware of (</w:t>
      </w:r>
      <w:r w:rsidR="00F26CC7" w:rsidRPr="00F06300">
        <w:rPr>
          <w:b/>
          <w:color w:val="003469"/>
        </w:rPr>
        <w:fldChar w:fldCharType="begin"/>
      </w:r>
      <w:r w:rsidR="00F06300" w:rsidRPr="00F06300">
        <w:rPr>
          <w:b/>
          <w:color w:val="003469"/>
        </w:rPr>
        <w:instrText xml:space="preserve">REF _Ref148692927 \h \* Charformat </w:instrText>
      </w:r>
      <w:r w:rsidR="00F06300" w:rsidRPr="00F06300">
        <w:rPr>
          <w:b/>
          <w:color w:val="003469"/>
        </w:rPr>
      </w:r>
      <w:r w:rsidR="00F26CC7" w:rsidRPr="00F06300">
        <w:rPr>
          <w:b/>
          <w:color w:val="003469"/>
        </w:rPr>
        <w:fldChar w:fldCharType="separate"/>
      </w:r>
      <w:r w:rsidR="00F06300" w:rsidRPr="00F06300">
        <w:rPr>
          <w:b/>
          <w:color w:val="003469"/>
        </w:rPr>
        <w:t>Table 1</w:t>
      </w:r>
      <w:r w:rsidR="00F26CC7" w:rsidRPr="00F06300">
        <w:rPr>
          <w:b/>
          <w:color w:val="003469"/>
        </w:rPr>
        <w:fldChar w:fldCharType="end"/>
      </w:r>
      <w:r w:rsidR="00055F4B" w:rsidRPr="003E4351">
        <w:t>)</w:t>
      </w:r>
      <w:r w:rsidR="001A1589" w:rsidRPr="003E4351">
        <w:t>.</w:t>
      </w:r>
    </w:p>
    <w:p w14:paraId="4DA00B25" w14:textId="358EFD0A" w:rsidR="000A6E34" w:rsidRPr="003E4351" w:rsidRDefault="000A6E34" w:rsidP="00AC76D5">
      <w:r w:rsidRPr="003E4351">
        <w:t>Intuitively, each of these forces shifts the aggregate supply of</w:t>
      </w:r>
      <w:r w:rsidR="00EE0965">
        <w:t>,</w:t>
      </w:r>
      <w:r w:rsidRPr="003E4351">
        <w:t xml:space="preserve"> or aggregate demand for</w:t>
      </w:r>
      <w:r w:rsidR="00EE0965">
        <w:t>,</w:t>
      </w:r>
      <w:r w:rsidRPr="003E4351">
        <w:t xml:space="preserve"> capital, though often in non</w:t>
      </w:r>
      <w:r w:rsidR="00D5666E" w:rsidRPr="003E4351">
        <w:t xml:space="preserve">-linear and time-varying ways. When </w:t>
      </w:r>
      <w:r w:rsidR="001B05E1" w:rsidRPr="003E4351">
        <w:t xml:space="preserve">the </w:t>
      </w:r>
      <w:r w:rsidR="00D5666E" w:rsidRPr="003E4351">
        <w:t>supply of capital rises relative to demand, the neutra</w:t>
      </w:r>
      <w:r w:rsidR="00B52019" w:rsidRPr="003E4351">
        <w:t>l</w:t>
      </w:r>
      <w:r w:rsidR="00D5666E" w:rsidRPr="003E4351">
        <w:t xml:space="preserve"> rate falls, and vice vers</w:t>
      </w:r>
      <w:r w:rsidR="00816C46" w:rsidRPr="003E4351">
        <w:t>a. We explain</w:t>
      </w:r>
      <w:r w:rsidR="00CD6904">
        <w:t>ed</w:t>
      </w:r>
      <w:r w:rsidR="00816C46" w:rsidRPr="003E4351">
        <w:t xml:space="preserve"> the various economic channels in our </w:t>
      </w:r>
      <w:hyperlink r:id="rId25" w:history="1">
        <w:r w:rsidR="00816C46" w:rsidRPr="003E4351">
          <w:rPr>
            <w:rStyle w:val="Hyperlink"/>
          </w:rPr>
          <w:t>most recent US briefing</w:t>
        </w:r>
      </w:hyperlink>
      <w:r w:rsidR="00871E21" w:rsidRPr="003E4351">
        <w:t xml:space="preserve"> </w:t>
      </w:r>
      <w:r w:rsidR="00B52019" w:rsidRPr="003E4351">
        <w:t>on</w:t>
      </w:r>
      <w:r w:rsidR="00871E21" w:rsidRPr="003E4351">
        <w:t xml:space="preserve"> </w:t>
      </w:r>
      <w:r w:rsidR="00B52019" w:rsidRPr="003E4351">
        <w:t xml:space="preserve">this topic </w:t>
      </w:r>
      <w:r w:rsidR="00CD6904">
        <w:t>and in</w:t>
      </w:r>
      <w:r w:rsidR="00CD6904" w:rsidRPr="003E4351">
        <w:t xml:space="preserve"> </w:t>
      </w:r>
      <w:r w:rsidR="00CD6904">
        <w:t>the</w:t>
      </w:r>
      <w:r w:rsidR="00B52019" w:rsidRPr="003E4351">
        <w:t xml:space="preserve"> </w:t>
      </w:r>
      <w:r w:rsidR="00B52019" w:rsidRPr="003E4351">
        <w:rPr>
          <w:b/>
          <w:color w:val="003469"/>
        </w:rPr>
        <w:t>online appendix</w:t>
      </w:r>
      <w:r w:rsidR="00B52019" w:rsidRPr="003E4351">
        <w:t xml:space="preserve"> </w:t>
      </w:r>
      <w:r w:rsidR="00CD6904">
        <w:t>to this report</w:t>
      </w:r>
      <w:r w:rsidR="007B46B8" w:rsidRPr="003E4351">
        <w:t>.</w:t>
      </w:r>
      <w:r w:rsidR="005E7817" w:rsidRPr="003E4351">
        <w:t xml:space="preserve"> </w:t>
      </w:r>
      <w:r w:rsidR="00CD6904">
        <w:t>Here</w:t>
      </w:r>
      <w:r w:rsidR="005E7817" w:rsidRPr="003E4351">
        <w:t xml:space="preserve">, we summarise the main </w:t>
      </w:r>
      <w:r w:rsidR="00DA59D9" w:rsidRPr="003E4351">
        <w:t>findings</w:t>
      </w:r>
      <w:r w:rsidR="005E7817" w:rsidRPr="003E4351">
        <w:t>.</w:t>
      </w:r>
    </w:p>
    <w:p w14:paraId="4D4B535A" w14:textId="68C86083" w:rsidR="003C37F1" w:rsidRPr="003E4351" w:rsidRDefault="00CE2327" w:rsidP="00AC76D5">
      <w:r w:rsidRPr="003E4351">
        <w:t xml:space="preserve">Rising </w:t>
      </w:r>
      <w:r w:rsidRPr="003E4351">
        <w:rPr>
          <w:b/>
          <w:color w:val="003469"/>
        </w:rPr>
        <w:t>government debt</w:t>
      </w:r>
      <w:r w:rsidRPr="003E4351">
        <w:t xml:space="preserve"> has been the </w:t>
      </w:r>
      <w:r w:rsidR="00B055E3" w:rsidRPr="003E4351">
        <w:t xml:space="preserve">main structural </w:t>
      </w:r>
      <w:r w:rsidR="00D6633D" w:rsidRPr="003E4351">
        <w:t xml:space="preserve">force </w:t>
      </w:r>
      <w:r w:rsidR="00B055E3" w:rsidRPr="003E4351">
        <w:t xml:space="preserve">pulling up the neutral rate. </w:t>
      </w:r>
      <w:r w:rsidR="000225C2" w:rsidRPr="003E4351">
        <w:t xml:space="preserve">Following large upward shifts </w:t>
      </w:r>
      <w:r w:rsidR="003B71D1" w:rsidRPr="003E4351">
        <w:t xml:space="preserve">in the wake </w:t>
      </w:r>
      <w:r w:rsidR="000225C2" w:rsidRPr="003E4351">
        <w:t xml:space="preserve">of the global financial crisis and </w:t>
      </w:r>
      <w:r w:rsidR="00637464" w:rsidRPr="003E4351">
        <w:t xml:space="preserve">the </w:t>
      </w:r>
      <w:r w:rsidR="00AC1D94" w:rsidRPr="003E4351">
        <w:t>pandemic</w:t>
      </w:r>
      <w:r w:rsidR="00637464" w:rsidRPr="003E4351">
        <w:t xml:space="preserve">, </w:t>
      </w:r>
      <w:r w:rsidR="0030488D" w:rsidRPr="003E4351">
        <w:t xml:space="preserve">public sector net debt (excluding financial interventions) </w:t>
      </w:r>
      <w:r w:rsidR="005A2517" w:rsidRPr="003E4351">
        <w:t>has</w:t>
      </w:r>
      <w:r w:rsidR="00D61075" w:rsidRPr="003E4351">
        <w:t xml:space="preserve"> increased to roughly </w:t>
      </w:r>
      <w:r w:rsidR="004A0455" w:rsidRPr="003E4351">
        <w:t>100</w:t>
      </w:r>
      <w:r w:rsidR="00D61075" w:rsidRPr="003E4351">
        <w:t xml:space="preserve">% of GDP. </w:t>
      </w:r>
      <w:r w:rsidR="00F42AB7" w:rsidRPr="003E4351">
        <w:t xml:space="preserve">The rising supply of gilts corresponds to an increase in the demand for capital by the government, hence putting upward pressure on the neutral rate. Simultaneously, higher government spending supports aggregate demand and economic growth, further bolstering the neutral rate. </w:t>
      </w:r>
      <w:r w:rsidR="002C3850">
        <w:t>Looking ahead, w</w:t>
      </w:r>
      <w:r w:rsidR="00F42AB7" w:rsidRPr="003E4351">
        <w:t xml:space="preserve">e don’t expect government debt to fall materially (as a % of GDP), so this factor is unlikely to drag on the real neutral rate </w:t>
      </w:r>
      <w:r w:rsidR="00CD6904">
        <w:t>in the future</w:t>
      </w:r>
      <w:r w:rsidR="00D8008F" w:rsidRPr="003E4351">
        <w:t xml:space="preserve"> (</w:t>
      </w:r>
      <w:r w:rsidR="00F26CC7" w:rsidRPr="00F06300">
        <w:rPr>
          <w:b/>
          <w:color w:val="003469"/>
        </w:rPr>
        <w:fldChar w:fldCharType="begin"/>
      </w:r>
      <w:r w:rsidR="00F06300" w:rsidRPr="00F06300">
        <w:rPr>
          <w:b/>
          <w:color w:val="003469"/>
        </w:rPr>
        <w:instrText xml:space="preserve">REF _Ref148692927 \h \* Charformat </w:instrText>
      </w:r>
      <w:r w:rsidR="00F06300" w:rsidRPr="00F06300">
        <w:rPr>
          <w:b/>
          <w:color w:val="003469"/>
        </w:rPr>
      </w:r>
      <w:r w:rsidR="00F26CC7" w:rsidRPr="00F06300">
        <w:rPr>
          <w:b/>
          <w:color w:val="003469"/>
        </w:rPr>
        <w:fldChar w:fldCharType="separate"/>
      </w:r>
      <w:r w:rsidR="00F06300" w:rsidRPr="00F06300">
        <w:rPr>
          <w:b/>
          <w:color w:val="003469"/>
        </w:rPr>
        <w:t>Table 1</w:t>
      </w:r>
      <w:r w:rsidR="00F26CC7" w:rsidRPr="00F06300">
        <w:rPr>
          <w:b/>
          <w:color w:val="003469"/>
        </w:rPr>
        <w:fldChar w:fldCharType="end"/>
      </w:r>
      <w:r w:rsidR="00D8008F" w:rsidRPr="003E4351">
        <w:t>)</w:t>
      </w:r>
      <w:r w:rsidR="003E0C4E" w:rsidRPr="003E4351">
        <w:t>.</w:t>
      </w:r>
    </w:p>
    <w:p w14:paraId="0391411A" w14:textId="0AA915EC" w:rsidR="003445AF" w:rsidRPr="003E4351" w:rsidRDefault="00CB52EC" w:rsidP="00CB52EC">
      <w:r w:rsidRPr="003E4351">
        <w:t xml:space="preserve">According to our estimates, </w:t>
      </w:r>
      <w:r w:rsidR="00810427" w:rsidRPr="003E4351">
        <w:rPr>
          <w:b/>
          <w:color w:val="003469"/>
        </w:rPr>
        <w:t>demographic change</w:t>
      </w:r>
      <w:r w:rsidR="00632236" w:rsidRPr="003E4351">
        <w:t xml:space="preserve"> is</w:t>
      </w:r>
      <w:r w:rsidR="00810427" w:rsidRPr="003E4351">
        <w:t xml:space="preserve"> the </w:t>
      </w:r>
      <w:r w:rsidR="00A279C8" w:rsidRPr="003E4351">
        <w:t xml:space="preserve">main reason </w:t>
      </w:r>
      <w:r w:rsidR="00121287" w:rsidRPr="003E4351">
        <w:t>for the low neutral rate, both in the past and in the future</w:t>
      </w:r>
      <w:r w:rsidR="00017E8D" w:rsidRPr="003E4351">
        <w:t xml:space="preserve"> (</w:t>
      </w:r>
      <w:r w:rsidR="00F26CC7" w:rsidRPr="00F06300">
        <w:rPr>
          <w:b/>
          <w:color w:val="003469"/>
        </w:rPr>
        <w:fldChar w:fldCharType="begin"/>
      </w:r>
      <w:r w:rsidR="00F06300" w:rsidRPr="00F06300">
        <w:rPr>
          <w:b/>
          <w:color w:val="003469"/>
        </w:rPr>
        <w:instrText xml:space="preserve">REF _Ref146279105 \h \* Charformat </w:instrText>
      </w:r>
      <w:r w:rsidR="00F06300" w:rsidRPr="00F06300">
        <w:rPr>
          <w:b/>
          <w:color w:val="003469"/>
        </w:rPr>
      </w:r>
      <w:r w:rsidR="00F26CC7" w:rsidRPr="00F06300">
        <w:rPr>
          <w:b/>
          <w:color w:val="003469"/>
        </w:rPr>
        <w:fldChar w:fldCharType="separate"/>
      </w:r>
      <w:r w:rsidR="00F06300" w:rsidRPr="00F06300">
        <w:rPr>
          <w:b/>
          <w:color w:val="003469"/>
        </w:rPr>
        <w:t>Chart 3</w:t>
      </w:r>
      <w:r w:rsidR="00F26CC7" w:rsidRPr="00F06300">
        <w:rPr>
          <w:b/>
          <w:color w:val="003469"/>
        </w:rPr>
        <w:fldChar w:fldCharType="end"/>
      </w:r>
      <w:r w:rsidR="00017E8D" w:rsidRPr="003E4351">
        <w:t>)</w:t>
      </w:r>
      <w:r w:rsidR="00121287" w:rsidRPr="003E4351">
        <w:t>.</w:t>
      </w:r>
      <w:r w:rsidR="00F6737E" w:rsidRPr="003E4351">
        <w:t xml:space="preserve"> </w:t>
      </w:r>
      <w:r w:rsidR="005035E1" w:rsidRPr="003E4351">
        <w:t>Improvement</w:t>
      </w:r>
      <w:r w:rsidR="005A074B" w:rsidRPr="003E4351">
        <w:t>s</w:t>
      </w:r>
      <w:r w:rsidR="005035E1" w:rsidRPr="003E4351">
        <w:t xml:space="preserve"> in longevity </w:t>
      </w:r>
      <w:r w:rsidR="00560336" w:rsidRPr="003E4351">
        <w:t>have outpaced increases in retirement age</w:t>
      </w:r>
      <w:r w:rsidR="00854016" w:rsidRPr="003E4351">
        <w:t xml:space="preserve"> in recent decades</w:t>
      </w:r>
      <w:r w:rsidR="004622A6" w:rsidRPr="003E4351">
        <w:t>, and based on current policy this is set to continue</w:t>
      </w:r>
      <w:r w:rsidR="006B4061" w:rsidRPr="003E4351">
        <w:t xml:space="preserve">. </w:t>
      </w:r>
      <w:r w:rsidR="00ED0F9C" w:rsidRPr="003E4351">
        <w:t>As a result, households need to accumulate more retirement savings during working life, raising the supply of capital. Meanwhile, a falling birth rate means that, with a delay of about 20 to 30 years, there are fewer young households taking up loans</w:t>
      </w:r>
      <w:r w:rsidR="00360E78" w:rsidRPr="003E4351">
        <w:t>, so the demand for capital falls</w:t>
      </w:r>
      <w:r w:rsidR="00ED0F9C" w:rsidRPr="003E4351">
        <w:t>.</w:t>
      </w:r>
      <w:r w:rsidR="00360E78" w:rsidRPr="003E4351">
        <w:t xml:space="preserve"> In addition, fewer young </w:t>
      </w:r>
      <w:r w:rsidR="006C1BCE" w:rsidRPr="003E4351">
        <w:t xml:space="preserve">people entering the labour force means lower workforce growth, which implies </w:t>
      </w:r>
      <w:r w:rsidR="00360E78" w:rsidRPr="003E4351">
        <w:t>slower potential growth.</w:t>
      </w:r>
      <w:r w:rsidR="005E1C12" w:rsidRPr="003E4351">
        <w:t xml:space="preserve"> Therefore, both lower fertility and rising longevity each drag on the neutral </w:t>
      </w:r>
      <w:r w:rsidR="006C1BCE" w:rsidRPr="003E4351">
        <w:t xml:space="preserve">real </w:t>
      </w:r>
      <w:r w:rsidR="005E1C12" w:rsidRPr="003E4351">
        <w:t xml:space="preserve">rate. Net inward migration, consisting of relatively young people, </w:t>
      </w:r>
      <w:r w:rsidR="00360E78" w:rsidRPr="003E4351">
        <w:t>offsets some of the impact of falling fertility rates</w:t>
      </w:r>
      <w:r w:rsidR="005E1C12" w:rsidRPr="003E4351">
        <w:t>, but has a much smaller impact on the neutral rate.</w:t>
      </w:r>
    </w:p>
    <w:p w14:paraId="0936E263" w14:textId="2C766533" w:rsidR="006C101C" w:rsidRPr="003E4351" w:rsidRDefault="00361D36" w:rsidP="00C21736">
      <w:r w:rsidRPr="003E4351">
        <w:t xml:space="preserve">With </w:t>
      </w:r>
      <w:r w:rsidR="00E36FE9" w:rsidRPr="003E4351">
        <w:t>legislated</w:t>
      </w:r>
      <w:r w:rsidR="002B1E26" w:rsidRPr="003E4351">
        <w:t xml:space="preserve"> </w:t>
      </w:r>
      <w:r w:rsidRPr="003E4351">
        <w:t>increases to the statutory state pension age</w:t>
      </w:r>
      <w:r w:rsidR="004926E1" w:rsidRPr="003E4351">
        <w:t xml:space="preserve"> limited</w:t>
      </w:r>
      <w:r w:rsidR="00425045" w:rsidRPr="003E4351">
        <w:t>,</w:t>
      </w:r>
      <w:r w:rsidRPr="003E4351">
        <w:t xml:space="preserve"> </w:t>
      </w:r>
      <w:r w:rsidR="007238DD" w:rsidRPr="003E4351">
        <w:t xml:space="preserve">and the lagged </w:t>
      </w:r>
      <w:r w:rsidR="002C3E33" w:rsidRPr="003E4351">
        <w:t>impact</w:t>
      </w:r>
      <w:r w:rsidR="007238DD" w:rsidRPr="003E4351">
        <w:t xml:space="preserve"> of lower birthrates on </w:t>
      </w:r>
      <w:r w:rsidR="00425045" w:rsidRPr="003E4351">
        <w:t xml:space="preserve">the labour force </w:t>
      </w:r>
      <w:r w:rsidR="002C3E33" w:rsidRPr="003E4351">
        <w:t>still to</w:t>
      </w:r>
      <w:r w:rsidR="005C3A36" w:rsidRPr="003E4351">
        <w:t xml:space="preserve"> be</w:t>
      </w:r>
      <w:r w:rsidR="00963A17" w:rsidRPr="003E4351">
        <w:t xml:space="preserve"> fully realised, the contribution from demogra</w:t>
      </w:r>
      <w:r w:rsidR="00801191" w:rsidRPr="003E4351">
        <w:t>phic</w:t>
      </w:r>
      <w:r w:rsidR="00F71452" w:rsidRPr="003E4351">
        <w:t xml:space="preserve"> change is likely to weigh on the neutral rate significantly in the coming years</w:t>
      </w:r>
      <w:r w:rsidR="00ED7397" w:rsidRPr="003E4351">
        <w:t>.</w:t>
      </w:r>
    </w:p>
    <w:p w14:paraId="3D9B4B72" w14:textId="7E416326" w:rsidR="0001550F" w:rsidRPr="003E4351" w:rsidRDefault="0001550F" w:rsidP="00177B55">
      <w:pPr>
        <w:pStyle w:val="ExhibitTitle"/>
      </w:pPr>
      <w:bookmarkStart w:id="2" w:name="_Ref146279105"/>
      <w:r w:rsidRPr="003E4351">
        <w:lastRenderedPageBreak/>
        <w:t xml:space="preserve">Chart </w:t>
      </w:r>
      <w:r w:rsidR="00D40A6D" w:rsidRPr="003E4351">
        <w:fldChar w:fldCharType="begin"/>
      </w:r>
      <w:r w:rsidR="006A4E64" w:rsidRPr="003E4351">
        <w:instrText>SEQ CHART</w:instrText>
      </w:r>
      <w:r w:rsidR="00D40A6D" w:rsidRPr="003E4351">
        <w:fldChar w:fldCharType="separate"/>
      </w:r>
      <w:r w:rsidR="006F1CA8" w:rsidRPr="003E4351">
        <w:t>3</w:t>
      </w:r>
      <w:r w:rsidR="00D40A6D" w:rsidRPr="003E4351">
        <w:fldChar w:fldCharType="end"/>
      </w:r>
      <w:bookmarkEnd w:id="2"/>
      <w:r w:rsidRPr="003E4351">
        <w:t xml:space="preserve">: </w:t>
      </w:r>
      <w:r w:rsidR="003D4E89" w:rsidRPr="003E4351">
        <w:t xml:space="preserve">Demographic change is the primary reason </w:t>
      </w:r>
      <w:r w:rsidR="00CD6904">
        <w:t>for</w:t>
      </w:r>
      <w:r w:rsidR="00CD6904" w:rsidRPr="003E4351">
        <w:t xml:space="preserve"> </w:t>
      </w:r>
      <w:r w:rsidR="00707A33" w:rsidRPr="003E4351">
        <w:t xml:space="preserve">our low neutral rate estimate </w:t>
      </w:r>
    </w:p>
    <w:p w14:paraId="4B924231" w14:textId="7E2051F4" w:rsidR="006A4E64" w:rsidRPr="003E4351" w:rsidRDefault="006A4E64" w:rsidP="00177B55">
      <w:pPr>
        <w:spacing w:after="0"/>
      </w:pPr>
      <w:r w:rsidRPr="003E4351">
        <w:rPr>
          <w:noProof/>
        </w:rPr>
        <w:drawing>
          <wp:inline distT="0" distB="0" distL="0" distR="0" wp14:anchorId="38F50C3B" wp14:editId="63A3A4E1">
            <wp:extent cx="3250933" cy="2552005"/>
            <wp:effectExtent l="0" t="0" r="6985" b="1270"/>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rcRect b="1799"/>
                    <a:stretch>
                      <a:fillRect/>
                    </a:stretch>
                  </pic:blipFill>
                  <pic:spPr>
                    <a:xfrm>
                      <a:off x="0" y="0"/>
                      <a:ext cx="3250933" cy="2552005"/>
                    </a:xfrm>
                    <a:prstGeom prst="rect">
                      <a:avLst/>
                    </a:prstGeom>
                  </pic:spPr>
                </pic:pic>
              </a:graphicData>
            </a:graphic>
          </wp:inline>
        </w:drawing>
      </w:r>
    </w:p>
    <w:p w14:paraId="539637E5" w14:textId="0DDD09AA" w:rsidR="0001550F" w:rsidRPr="003E4351" w:rsidRDefault="006A4E64" w:rsidP="00177B55">
      <w:pPr>
        <w:pStyle w:val="ExhibitSource"/>
      </w:pPr>
      <w:r w:rsidRPr="003E4351">
        <w:t>Source: Oxford Economics</w:t>
      </w:r>
    </w:p>
    <w:p w14:paraId="7951CFE9" w14:textId="53AF41B3" w:rsidR="001B632B" w:rsidRPr="003E4351" w:rsidRDefault="00395746" w:rsidP="00B10F7E">
      <w:r w:rsidRPr="003E4351">
        <w:t xml:space="preserve">The </w:t>
      </w:r>
      <w:r w:rsidR="00D479A3" w:rsidRPr="003E4351">
        <w:t xml:space="preserve">UK's </w:t>
      </w:r>
      <w:r w:rsidR="00D479A3" w:rsidRPr="003E4351">
        <w:rPr>
          <w:b/>
          <w:color w:val="003469"/>
        </w:rPr>
        <w:t>productivity</w:t>
      </w:r>
      <w:r w:rsidR="00D479A3" w:rsidRPr="003E4351">
        <w:t xml:space="preserve"> </w:t>
      </w:r>
      <w:r w:rsidR="005B366D" w:rsidRPr="003E4351">
        <w:t>growth has dropped in the last two decades and barely recovered since the global financial crisis.</w:t>
      </w:r>
      <w:r w:rsidR="00F23D7F" w:rsidRPr="003E4351">
        <w:t xml:space="preserve"> Weaker trend total factor productivity growth depresses the neutral rate because it lowers potential output growth and investment returns, while also lowering wage growth and the borrowing capacity of young households. </w:t>
      </w:r>
      <w:r w:rsidR="00A24603" w:rsidRPr="003E4351">
        <w:t>L</w:t>
      </w:r>
      <w:r w:rsidR="0044354A" w:rsidRPr="003E4351">
        <w:t>ooking ahead</w:t>
      </w:r>
      <w:r w:rsidR="00E909D3" w:rsidRPr="003E4351">
        <w:t xml:space="preserve">, </w:t>
      </w:r>
      <w:hyperlink r:id="rId28" w:history="1">
        <w:r w:rsidR="00E909D3" w:rsidRPr="003E4351">
          <w:rPr>
            <w:rStyle w:val="Hyperlink"/>
          </w:rPr>
          <w:t xml:space="preserve">we see scope </w:t>
        </w:r>
        <w:r w:rsidR="00DB6AB0" w:rsidRPr="003E4351">
          <w:rPr>
            <w:rStyle w:val="Hyperlink"/>
          </w:rPr>
          <w:t xml:space="preserve">for a partial recovery in productivity </w:t>
        </w:r>
        <w:r w:rsidR="000F4E46" w:rsidRPr="003E4351">
          <w:rPr>
            <w:rStyle w:val="Hyperlink"/>
          </w:rPr>
          <w:t>growth</w:t>
        </w:r>
      </w:hyperlink>
      <w:r w:rsidR="00436962" w:rsidRPr="003E4351">
        <w:t xml:space="preserve">, partly because </w:t>
      </w:r>
      <w:r w:rsidR="00154B0C" w:rsidRPr="003E4351">
        <w:t>it's</w:t>
      </w:r>
      <w:r w:rsidR="00436962" w:rsidRPr="003E4351">
        <w:t xml:space="preserve"> unlikely we'll see a repeat of the succession of negative shocks (global financial crisis, </w:t>
      </w:r>
      <w:r w:rsidR="00154B0C" w:rsidRPr="003E4351">
        <w:t>Brexit, and the pandemic) that have weighed on UK productivity growth so heavily over the last 15 years</w:t>
      </w:r>
      <w:r w:rsidR="000F4E46" w:rsidRPr="003E4351">
        <w:t xml:space="preserve">. </w:t>
      </w:r>
      <w:r w:rsidR="0019469C" w:rsidRPr="003E4351">
        <w:t xml:space="preserve">Productivity </w:t>
      </w:r>
      <w:r w:rsidR="00562770" w:rsidRPr="003E4351">
        <w:t xml:space="preserve">growth </w:t>
      </w:r>
      <w:r w:rsidR="0019469C" w:rsidRPr="003E4351">
        <w:t>could</w:t>
      </w:r>
      <w:r w:rsidR="00CD6904">
        <w:t xml:space="preserve"> also</w:t>
      </w:r>
      <w:r w:rsidR="0019469C" w:rsidRPr="003E4351">
        <w:t xml:space="preserve"> be further boosted </w:t>
      </w:r>
      <w:r w:rsidR="00562770" w:rsidRPr="003E4351">
        <w:t xml:space="preserve">by </w:t>
      </w:r>
      <w:r w:rsidR="00C03C42" w:rsidRPr="003E4351">
        <w:t xml:space="preserve">developments in </w:t>
      </w:r>
      <w:hyperlink r:id="rId29" w:history="1">
        <w:r w:rsidR="00C03C42" w:rsidRPr="003E4351">
          <w:rPr>
            <w:rStyle w:val="Hyperlink"/>
          </w:rPr>
          <w:t>artificial int</w:t>
        </w:r>
        <w:r w:rsidR="00B15F99" w:rsidRPr="003E4351">
          <w:rPr>
            <w:rStyle w:val="Hyperlink"/>
          </w:rPr>
          <w:t>elligence</w:t>
        </w:r>
      </w:hyperlink>
      <w:r w:rsidR="00B15F99" w:rsidRPr="003E4351">
        <w:t xml:space="preserve"> and investment in technologies to tackle climate change, </w:t>
      </w:r>
      <w:r w:rsidR="00A34C44" w:rsidRPr="003E4351">
        <w:t xml:space="preserve">but </w:t>
      </w:r>
      <w:r w:rsidR="00582C35" w:rsidRPr="003E4351">
        <w:t>we</w:t>
      </w:r>
      <w:r w:rsidR="004205C0">
        <w:t>'re</w:t>
      </w:r>
      <w:r w:rsidR="00582C35" w:rsidRPr="003E4351">
        <w:t xml:space="preserve"> cautious about the size and timing of </w:t>
      </w:r>
      <w:r w:rsidR="0019469C" w:rsidRPr="003E4351">
        <w:t>the productivity gains from these sources.</w:t>
      </w:r>
      <w:r w:rsidR="00A34C44" w:rsidRPr="003E4351">
        <w:t xml:space="preserve"> So we think </w:t>
      </w:r>
      <w:r w:rsidR="007B5EB6" w:rsidRPr="003E4351">
        <w:t xml:space="preserve">improvements in </w:t>
      </w:r>
      <w:r w:rsidR="00A62D07" w:rsidRPr="003E4351">
        <w:t>productivity</w:t>
      </w:r>
      <w:r w:rsidR="0007368D" w:rsidRPr="003E4351">
        <w:t xml:space="preserve"> </w:t>
      </w:r>
      <w:r w:rsidR="0042758F" w:rsidRPr="003E4351">
        <w:t xml:space="preserve">growth </w:t>
      </w:r>
      <w:r w:rsidR="00187350" w:rsidRPr="003E4351">
        <w:t xml:space="preserve">may </w:t>
      </w:r>
      <w:r w:rsidR="007B5EB6" w:rsidRPr="003E4351">
        <w:t xml:space="preserve">only </w:t>
      </w:r>
      <w:r w:rsidR="00187350" w:rsidRPr="003E4351">
        <w:t xml:space="preserve">offer limited </w:t>
      </w:r>
      <w:r w:rsidR="00AC224C" w:rsidRPr="003E4351">
        <w:t xml:space="preserve">support to the neutral rate in the </w:t>
      </w:r>
      <w:r w:rsidR="007B5EB6" w:rsidRPr="003E4351">
        <w:t>future</w:t>
      </w:r>
      <w:r w:rsidR="00AC224C" w:rsidRPr="003E4351">
        <w:t>.</w:t>
      </w:r>
    </w:p>
    <w:p w14:paraId="40D5174C" w14:textId="054CAA4A" w:rsidR="00E836C1" w:rsidRPr="003E4351" w:rsidRDefault="00E836C1" w:rsidP="00177B55">
      <w:pPr>
        <w:pStyle w:val="ExhibitTitle"/>
      </w:pPr>
      <w:bookmarkStart w:id="3" w:name="_Ref148692927"/>
      <w:r w:rsidRPr="003E4351">
        <w:t xml:space="preserve">Table </w:t>
      </w:r>
      <w:r w:rsidR="0077419E" w:rsidRPr="003E4351">
        <w:fldChar w:fldCharType="begin"/>
      </w:r>
      <w:r w:rsidR="006F1CA8" w:rsidRPr="003E4351">
        <w:instrText>SEQ TABLE</w:instrText>
      </w:r>
      <w:r w:rsidR="0077419E" w:rsidRPr="003E4351">
        <w:fldChar w:fldCharType="separate"/>
      </w:r>
      <w:r w:rsidR="006F1CA8" w:rsidRPr="003E4351">
        <w:t>1</w:t>
      </w:r>
      <w:r w:rsidR="0077419E" w:rsidRPr="003E4351">
        <w:fldChar w:fldCharType="end"/>
      </w:r>
      <w:bookmarkEnd w:id="3"/>
      <w:r w:rsidRPr="003E4351">
        <w:t xml:space="preserve">: </w:t>
      </w:r>
      <w:r w:rsidR="004475FC" w:rsidRPr="003E4351">
        <w:t>We see</w:t>
      </w:r>
      <w:r w:rsidR="001E422B" w:rsidRPr="003E4351">
        <w:t xml:space="preserve"> some scope for a trend reversal until 2030, but secular stagnation thereafter</w:t>
      </w:r>
    </w:p>
    <w:tbl>
      <w:tblPr>
        <w:tblStyle w:val="TableGridHeader"/>
        <w:tblW w:w="5000" w:type="pct"/>
        <w:tblLook w:val="04A0" w:firstRow="1" w:lastRow="0" w:firstColumn="1" w:lastColumn="0" w:noHBand="0" w:noVBand="1"/>
      </w:tblPr>
      <w:tblGrid>
        <w:gridCol w:w="4076"/>
        <w:gridCol w:w="1351"/>
        <w:gridCol w:w="1351"/>
        <w:gridCol w:w="1351"/>
        <w:gridCol w:w="1351"/>
      </w:tblGrid>
      <w:tr w:rsidR="006F1CA8" w:rsidRPr="003E4351" w14:paraId="699520ED" w14:textId="77777777" w:rsidTr="006F1CA8">
        <w:trPr>
          <w:cnfStyle w:val="100000000000" w:firstRow="1" w:lastRow="0" w:firstColumn="0" w:lastColumn="0" w:oddVBand="0" w:evenVBand="0" w:oddHBand="0" w:evenHBand="0" w:firstRowFirstColumn="0" w:firstRowLastColumn="0" w:lastRowFirstColumn="0" w:lastRowLastColumn="0"/>
          <w:tblHeader/>
        </w:trPr>
        <w:tc>
          <w:tcPr>
            <w:tcW w:w="8477" w:type="dxa"/>
            <w:gridSpan w:val="5"/>
            <w:noWrap/>
            <w:hideMark/>
          </w:tcPr>
          <w:p w14:paraId="2FE7C59F" w14:textId="77777777" w:rsidR="006F1CA8" w:rsidRPr="003E4351" w:rsidRDefault="006F1CA8" w:rsidP="006F1CA8">
            <w:pPr>
              <w:pStyle w:val="TableHeader"/>
              <w:jc w:val="center"/>
            </w:pPr>
            <w:bookmarkStart w:id="4" w:name="RANGE!B40:F55"/>
            <w:r w:rsidRPr="003E4351">
              <w:t>Decomposition of secular forces</w:t>
            </w:r>
            <w:bookmarkEnd w:id="4"/>
          </w:p>
        </w:tc>
      </w:tr>
      <w:tr w:rsidR="006F1CA8" w:rsidRPr="003E4351" w14:paraId="182C081F" w14:textId="77777777" w:rsidTr="006F1CA8">
        <w:trPr>
          <w:cnfStyle w:val="100000000000" w:firstRow="1" w:lastRow="0" w:firstColumn="0" w:lastColumn="0" w:oddVBand="0" w:evenVBand="0" w:oddHBand="0" w:evenHBand="0" w:firstRowFirstColumn="0" w:firstRowLastColumn="0" w:lastRowFirstColumn="0" w:lastRowLastColumn="0"/>
          <w:tblHeader/>
        </w:trPr>
        <w:tc>
          <w:tcPr>
            <w:tcW w:w="3645" w:type="dxa"/>
            <w:noWrap/>
            <w:hideMark/>
          </w:tcPr>
          <w:p w14:paraId="191D1ED5" w14:textId="77777777" w:rsidR="006F1CA8" w:rsidRPr="003E4351" w:rsidRDefault="006F1CA8" w:rsidP="006F1CA8">
            <w:pPr>
              <w:pStyle w:val="TableHeader"/>
            </w:pPr>
            <w:r w:rsidRPr="003E4351">
              <w:t> </w:t>
            </w:r>
          </w:p>
        </w:tc>
        <w:tc>
          <w:tcPr>
            <w:tcW w:w="1208" w:type="dxa"/>
            <w:noWrap/>
            <w:hideMark/>
          </w:tcPr>
          <w:p w14:paraId="0D349917" w14:textId="77777777" w:rsidR="006F1CA8" w:rsidRPr="003E4351" w:rsidRDefault="006F1CA8" w:rsidP="006F1CA8">
            <w:pPr>
              <w:pStyle w:val="TableHeader"/>
              <w:jc w:val="center"/>
            </w:pPr>
            <w:r w:rsidRPr="003E4351">
              <w:t>1980–2000</w:t>
            </w:r>
          </w:p>
        </w:tc>
        <w:tc>
          <w:tcPr>
            <w:tcW w:w="1208" w:type="dxa"/>
            <w:noWrap/>
            <w:hideMark/>
          </w:tcPr>
          <w:p w14:paraId="35E1B450" w14:textId="77777777" w:rsidR="006F1CA8" w:rsidRPr="003E4351" w:rsidRDefault="006F1CA8" w:rsidP="006F1CA8">
            <w:pPr>
              <w:pStyle w:val="TableHeader"/>
              <w:jc w:val="center"/>
            </w:pPr>
            <w:r w:rsidRPr="003E4351">
              <w:t>2000–2023</w:t>
            </w:r>
          </w:p>
        </w:tc>
        <w:tc>
          <w:tcPr>
            <w:tcW w:w="1208" w:type="dxa"/>
            <w:noWrap/>
            <w:hideMark/>
          </w:tcPr>
          <w:p w14:paraId="2ECF3A4E" w14:textId="77777777" w:rsidR="006F1CA8" w:rsidRPr="003E4351" w:rsidRDefault="006F1CA8" w:rsidP="006F1CA8">
            <w:pPr>
              <w:pStyle w:val="TableHeader"/>
              <w:jc w:val="center"/>
            </w:pPr>
            <w:r w:rsidRPr="003E4351">
              <w:t>2023–2030</w:t>
            </w:r>
          </w:p>
        </w:tc>
        <w:tc>
          <w:tcPr>
            <w:tcW w:w="1208" w:type="dxa"/>
            <w:noWrap/>
            <w:hideMark/>
          </w:tcPr>
          <w:p w14:paraId="5EFC829F" w14:textId="77777777" w:rsidR="006F1CA8" w:rsidRPr="003E4351" w:rsidRDefault="006F1CA8" w:rsidP="006F1CA8">
            <w:pPr>
              <w:pStyle w:val="TableHeader"/>
              <w:jc w:val="center"/>
            </w:pPr>
            <w:r w:rsidRPr="003E4351">
              <w:t>2030–2050</w:t>
            </w:r>
          </w:p>
        </w:tc>
      </w:tr>
      <w:tr w:rsidR="006F1CA8" w:rsidRPr="003E4351" w14:paraId="5A0C4390" w14:textId="77777777" w:rsidTr="006F1CA8">
        <w:tc>
          <w:tcPr>
            <w:tcW w:w="3645" w:type="dxa"/>
            <w:noWrap/>
            <w:hideMark/>
          </w:tcPr>
          <w:p w14:paraId="6C40587D" w14:textId="77777777" w:rsidR="006F1CA8" w:rsidRPr="003E4351" w:rsidRDefault="006F1CA8" w:rsidP="006F1CA8">
            <w:pPr>
              <w:pStyle w:val="TableData"/>
            </w:pPr>
            <w:r w:rsidRPr="003E4351">
              <w:t>Change in real neutral rate (ppts)</w:t>
            </w:r>
          </w:p>
        </w:tc>
        <w:tc>
          <w:tcPr>
            <w:tcW w:w="1208" w:type="dxa"/>
            <w:noWrap/>
            <w:hideMark/>
          </w:tcPr>
          <w:p w14:paraId="7B8F9B55" w14:textId="77777777" w:rsidR="006F1CA8" w:rsidRPr="003E4351" w:rsidRDefault="006F1CA8" w:rsidP="006F1CA8">
            <w:pPr>
              <w:pStyle w:val="TableData"/>
              <w:jc w:val="center"/>
            </w:pPr>
            <w:r w:rsidRPr="003E4351">
              <w:t>-1.5</w:t>
            </w:r>
          </w:p>
        </w:tc>
        <w:tc>
          <w:tcPr>
            <w:tcW w:w="1208" w:type="dxa"/>
            <w:noWrap/>
            <w:hideMark/>
          </w:tcPr>
          <w:p w14:paraId="4F4709AF" w14:textId="77777777" w:rsidR="006F1CA8" w:rsidRPr="003E4351" w:rsidRDefault="006F1CA8" w:rsidP="006F1CA8">
            <w:pPr>
              <w:pStyle w:val="TableData"/>
              <w:jc w:val="center"/>
            </w:pPr>
            <w:r w:rsidRPr="003E4351">
              <w:t>-3.3</w:t>
            </w:r>
          </w:p>
        </w:tc>
        <w:tc>
          <w:tcPr>
            <w:tcW w:w="1208" w:type="dxa"/>
            <w:noWrap/>
            <w:hideMark/>
          </w:tcPr>
          <w:p w14:paraId="734B5783" w14:textId="77777777" w:rsidR="006F1CA8" w:rsidRPr="003E4351" w:rsidRDefault="006F1CA8" w:rsidP="006F1CA8">
            <w:pPr>
              <w:pStyle w:val="TableData"/>
              <w:jc w:val="center"/>
            </w:pPr>
            <w:r w:rsidRPr="003E4351">
              <w:t>0.7</w:t>
            </w:r>
          </w:p>
        </w:tc>
        <w:tc>
          <w:tcPr>
            <w:tcW w:w="1208" w:type="dxa"/>
            <w:noWrap/>
            <w:hideMark/>
          </w:tcPr>
          <w:p w14:paraId="2C692DBC" w14:textId="77777777" w:rsidR="006F1CA8" w:rsidRPr="003E4351" w:rsidRDefault="006F1CA8" w:rsidP="006F1CA8">
            <w:pPr>
              <w:pStyle w:val="TableData"/>
              <w:jc w:val="center"/>
            </w:pPr>
            <w:r w:rsidRPr="003E4351">
              <w:t>-0.9</w:t>
            </w:r>
          </w:p>
        </w:tc>
      </w:tr>
      <w:tr w:rsidR="006F1CA8" w:rsidRPr="003E4351" w14:paraId="50ACDE97" w14:textId="77777777" w:rsidTr="006F1CA8">
        <w:tc>
          <w:tcPr>
            <w:tcW w:w="8477" w:type="dxa"/>
            <w:gridSpan w:val="5"/>
            <w:noWrap/>
            <w:hideMark/>
          </w:tcPr>
          <w:p w14:paraId="2388C2FB" w14:textId="77777777" w:rsidR="006F1CA8" w:rsidRPr="003E4351" w:rsidRDefault="006F1CA8" w:rsidP="006F1CA8">
            <w:pPr>
              <w:pStyle w:val="TableData"/>
              <w:jc w:val="center"/>
            </w:pPr>
            <w:r w:rsidRPr="003E4351">
              <w:t>Contribution (ppts)</w:t>
            </w:r>
          </w:p>
        </w:tc>
      </w:tr>
      <w:tr w:rsidR="006F1CA8" w:rsidRPr="003E4351" w14:paraId="4AB8CBD6" w14:textId="77777777" w:rsidTr="006F1CA8">
        <w:tc>
          <w:tcPr>
            <w:tcW w:w="3645" w:type="dxa"/>
            <w:noWrap/>
            <w:hideMark/>
          </w:tcPr>
          <w:p w14:paraId="12E424AB" w14:textId="77777777" w:rsidR="006F1CA8" w:rsidRPr="003E4351" w:rsidRDefault="006F1CA8" w:rsidP="006F1CA8">
            <w:pPr>
              <w:pStyle w:val="TableData"/>
            </w:pPr>
            <w:r w:rsidRPr="003E4351">
              <w:t>Government debt</w:t>
            </w:r>
          </w:p>
        </w:tc>
        <w:tc>
          <w:tcPr>
            <w:tcW w:w="1208" w:type="dxa"/>
            <w:noWrap/>
            <w:hideMark/>
          </w:tcPr>
          <w:p w14:paraId="555F777B" w14:textId="77777777" w:rsidR="006F1CA8" w:rsidRPr="003E4351" w:rsidRDefault="006F1CA8" w:rsidP="006F1CA8">
            <w:pPr>
              <w:pStyle w:val="TableData"/>
              <w:jc w:val="center"/>
            </w:pPr>
            <w:r w:rsidRPr="003E4351">
              <w:t>0.9</w:t>
            </w:r>
          </w:p>
        </w:tc>
        <w:tc>
          <w:tcPr>
            <w:tcW w:w="1208" w:type="dxa"/>
            <w:noWrap/>
            <w:hideMark/>
          </w:tcPr>
          <w:p w14:paraId="4A778ED6" w14:textId="77777777" w:rsidR="006F1CA8" w:rsidRPr="003E4351" w:rsidRDefault="006F1CA8" w:rsidP="006F1CA8">
            <w:pPr>
              <w:pStyle w:val="TableData"/>
              <w:jc w:val="center"/>
            </w:pPr>
            <w:r w:rsidRPr="003E4351">
              <w:t>1.8</w:t>
            </w:r>
          </w:p>
        </w:tc>
        <w:tc>
          <w:tcPr>
            <w:tcW w:w="1208" w:type="dxa"/>
            <w:noWrap/>
            <w:hideMark/>
          </w:tcPr>
          <w:p w14:paraId="67AF89D2" w14:textId="77777777" w:rsidR="006F1CA8" w:rsidRPr="003E4351" w:rsidRDefault="006F1CA8" w:rsidP="006F1CA8">
            <w:pPr>
              <w:pStyle w:val="TableData"/>
              <w:jc w:val="center"/>
            </w:pPr>
            <w:r w:rsidRPr="003E4351">
              <w:t>0.2</w:t>
            </w:r>
          </w:p>
        </w:tc>
        <w:tc>
          <w:tcPr>
            <w:tcW w:w="1208" w:type="dxa"/>
            <w:noWrap/>
            <w:hideMark/>
          </w:tcPr>
          <w:p w14:paraId="54473493" w14:textId="77777777" w:rsidR="006F1CA8" w:rsidRPr="003E4351" w:rsidRDefault="006F1CA8" w:rsidP="006F1CA8">
            <w:pPr>
              <w:pStyle w:val="TableData"/>
              <w:jc w:val="center"/>
            </w:pPr>
            <w:r w:rsidRPr="003E4351">
              <w:t>-0.2</w:t>
            </w:r>
          </w:p>
        </w:tc>
      </w:tr>
      <w:tr w:rsidR="006F1CA8" w:rsidRPr="003E4351" w14:paraId="4878B8E4" w14:textId="77777777" w:rsidTr="006F1CA8">
        <w:tc>
          <w:tcPr>
            <w:tcW w:w="3645" w:type="dxa"/>
            <w:noWrap/>
            <w:hideMark/>
          </w:tcPr>
          <w:p w14:paraId="2E70A1D1" w14:textId="77777777" w:rsidR="006F1CA8" w:rsidRPr="003E4351" w:rsidRDefault="006F1CA8" w:rsidP="006F1CA8">
            <w:pPr>
              <w:pStyle w:val="TableData"/>
            </w:pPr>
            <w:r w:rsidRPr="003E4351">
              <w:t>Demographic change</w:t>
            </w:r>
          </w:p>
        </w:tc>
        <w:tc>
          <w:tcPr>
            <w:tcW w:w="1208" w:type="dxa"/>
            <w:noWrap/>
            <w:hideMark/>
          </w:tcPr>
          <w:p w14:paraId="31FC96EF" w14:textId="77777777" w:rsidR="006F1CA8" w:rsidRPr="003E4351" w:rsidRDefault="006F1CA8" w:rsidP="006F1CA8">
            <w:pPr>
              <w:pStyle w:val="TableData"/>
              <w:jc w:val="center"/>
            </w:pPr>
            <w:r w:rsidRPr="003E4351">
              <w:t>-0.8</w:t>
            </w:r>
          </w:p>
        </w:tc>
        <w:tc>
          <w:tcPr>
            <w:tcW w:w="1208" w:type="dxa"/>
            <w:noWrap/>
            <w:hideMark/>
          </w:tcPr>
          <w:p w14:paraId="423717A8" w14:textId="77777777" w:rsidR="006F1CA8" w:rsidRPr="003E4351" w:rsidRDefault="006F1CA8" w:rsidP="006F1CA8">
            <w:pPr>
              <w:pStyle w:val="TableData"/>
              <w:jc w:val="center"/>
            </w:pPr>
            <w:r w:rsidRPr="003E4351">
              <w:t>-1.1</w:t>
            </w:r>
          </w:p>
        </w:tc>
        <w:tc>
          <w:tcPr>
            <w:tcW w:w="1208" w:type="dxa"/>
            <w:noWrap/>
            <w:hideMark/>
          </w:tcPr>
          <w:p w14:paraId="569350C9" w14:textId="77777777" w:rsidR="006F1CA8" w:rsidRPr="003E4351" w:rsidRDefault="006F1CA8" w:rsidP="006F1CA8">
            <w:pPr>
              <w:pStyle w:val="TableData"/>
              <w:jc w:val="center"/>
            </w:pPr>
            <w:r w:rsidRPr="003E4351">
              <w:t>-1.3</w:t>
            </w:r>
          </w:p>
        </w:tc>
        <w:tc>
          <w:tcPr>
            <w:tcW w:w="1208" w:type="dxa"/>
            <w:noWrap/>
            <w:hideMark/>
          </w:tcPr>
          <w:p w14:paraId="6C8F172B" w14:textId="77777777" w:rsidR="006F1CA8" w:rsidRPr="003E4351" w:rsidRDefault="006F1CA8" w:rsidP="006F1CA8">
            <w:pPr>
              <w:pStyle w:val="TableData"/>
              <w:jc w:val="center"/>
            </w:pPr>
            <w:r w:rsidRPr="003E4351">
              <w:t>-1.0</w:t>
            </w:r>
          </w:p>
        </w:tc>
      </w:tr>
      <w:tr w:rsidR="006F1CA8" w:rsidRPr="003E4351" w14:paraId="588012AC" w14:textId="77777777" w:rsidTr="006F1CA8">
        <w:tc>
          <w:tcPr>
            <w:tcW w:w="3645" w:type="dxa"/>
            <w:noWrap/>
            <w:hideMark/>
          </w:tcPr>
          <w:p w14:paraId="5A59EECC" w14:textId="3FCFD8BC" w:rsidR="006F1CA8" w:rsidRPr="0007382B" w:rsidRDefault="00012615" w:rsidP="006F1CA8">
            <w:pPr>
              <w:pStyle w:val="TableData"/>
              <w:rPr>
                <w:i/>
              </w:rPr>
            </w:pPr>
            <w:r w:rsidRPr="00012615">
              <w:rPr>
                <w:rFonts w:ascii="Malgun Gothic" w:eastAsia="Malgun Gothic" w:hAnsi="Malgun Gothic" w:cs="Malgun Gothic" w:hint="eastAsia"/>
                <w:sz w:val="12"/>
              </w:rPr>
              <w:t>ㅤㅤㅤ</w:t>
            </w:r>
            <w:r w:rsidR="006F1CA8" w:rsidRPr="0007382B">
              <w:rPr>
                <w:i/>
              </w:rPr>
              <w:t>Fertility rate &amp; net migration</w:t>
            </w:r>
          </w:p>
        </w:tc>
        <w:tc>
          <w:tcPr>
            <w:tcW w:w="1208" w:type="dxa"/>
            <w:noWrap/>
            <w:hideMark/>
          </w:tcPr>
          <w:p w14:paraId="472AFE7F" w14:textId="4381159C"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0.4</w:t>
            </w:r>
          </w:p>
        </w:tc>
        <w:tc>
          <w:tcPr>
            <w:tcW w:w="1208" w:type="dxa"/>
            <w:noWrap/>
            <w:hideMark/>
          </w:tcPr>
          <w:p w14:paraId="577227AD" w14:textId="4EC6D209"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-1.3</w:t>
            </w:r>
          </w:p>
        </w:tc>
        <w:tc>
          <w:tcPr>
            <w:tcW w:w="1208" w:type="dxa"/>
            <w:noWrap/>
            <w:hideMark/>
          </w:tcPr>
          <w:p w14:paraId="5168F402" w14:textId="7872CC4B"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-0.7</w:t>
            </w:r>
          </w:p>
        </w:tc>
        <w:tc>
          <w:tcPr>
            <w:tcW w:w="1208" w:type="dxa"/>
            <w:noWrap/>
            <w:hideMark/>
          </w:tcPr>
          <w:p w14:paraId="4265DA9A" w14:textId="64834C4D"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-0.7</w:t>
            </w:r>
          </w:p>
        </w:tc>
      </w:tr>
      <w:tr w:rsidR="006F1CA8" w:rsidRPr="003E4351" w14:paraId="766717D7" w14:textId="77777777" w:rsidTr="006F1CA8">
        <w:tc>
          <w:tcPr>
            <w:tcW w:w="3645" w:type="dxa"/>
            <w:noWrap/>
            <w:hideMark/>
          </w:tcPr>
          <w:p w14:paraId="44592A53" w14:textId="4DA5E43B" w:rsidR="006F1CA8" w:rsidRPr="0007382B" w:rsidRDefault="00012615" w:rsidP="006F1CA8">
            <w:pPr>
              <w:pStyle w:val="TableData"/>
              <w:rPr>
                <w:i/>
              </w:rPr>
            </w:pPr>
            <w:r w:rsidRPr="00012615">
              <w:rPr>
                <w:rFonts w:ascii="Malgun Gothic" w:eastAsia="Malgun Gothic" w:hAnsi="Malgun Gothic" w:cs="Malgun Gothic" w:hint="eastAsia"/>
                <w:sz w:val="12"/>
              </w:rPr>
              <w:t>ㅤㅤㅤ</w:t>
            </w:r>
            <w:r w:rsidR="006F1CA8" w:rsidRPr="0007382B">
              <w:rPr>
                <w:i/>
              </w:rPr>
              <w:t>Longevity</w:t>
            </w:r>
          </w:p>
        </w:tc>
        <w:tc>
          <w:tcPr>
            <w:tcW w:w="1208" w:type="dxa"/>
            <w:noWrap/>
            <w:hideMark/>
          </w:tcPr>
          <w:p w14:paraId="2BB983D3" w14:textId="3E257BD8"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-1.2</w:t>
            </w:r>
          </w:p>
        </w:tc>
        <w:tc>
          <w:tcPr>
            <w:tcW w:w="1208" w:type="dxa"/>
            <w:noWrap/>
            <w:hideMark/>
          </w:tcPr>
          <w:p w14:paraId="07030F0C" w14:textId="4BC9F721"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0.2</w:t>
            </w:r>
          </w:p>
        </w:tc>
        <w:tc>
          <w:tcPr>
            <w:tcW w:w="1208" w:type="dxa"/>
            <w:noWrap/>
            <w:hideMark/>
          </w:tcPr>
          <w:p w14:paraId="1B64E739" w14:textId="2AF7C374"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-0.6</w:t>
            </w:r>
          </w:p>
        </w:tc>
        <w:tc>
          <w:tcPr>
            <w:tcW w:w="1208" w:type="dxa"/>
            <w:noWrap/>
            <w:hideMark/>
          </w:tcPr>
          <w:p w14:paraId="09074177" w14:textId="46EE3E66"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-0.3</w:t>
            </w:r>
          </w:p>
        </w:tc>
      </w:tr>
      <w:tr w:rsidR="006F1CA8" w:rsidRPr="003E4351" w14:paraId="63C67BCF" w14:textId="77777777" w:rsidTr="006F1CA8">
        <w:tc>
          <w:tcPr>
            <w:tcW w:w="3645" w:type="dxa"/>
            <w:noWrap/>
            <w:hideMark/>
          </w:tcPr>
          <w:p w14:paraId="6C0A9A59" w14:textId="77777777" w:rsidR="006F1CA8" w:rsidRPr="003E4351" w:rsidRDefault="006F1CA8" w:rsidP="006F1CA8">
            <w:pPr>
              <w:pStyle w:val="TableData"/>
            </w:pPr>
            <w:r w:rsidRPr="003E4351">
              <w:t>Productivity</w:t>
            </w:r>
          </w:p>
        </w:tc>
        <w:tc>
          <w:tcPr>
            <w:tcW w:w="1208" w:type="dxa"/>
            <w:noWrap/>
            <w:hideMark/>
          </w:tcPr>
          <w:p w14:paraId="6DD04349" w14:textId="77777777" w:rsidR="006F1CA8" w:rsidRPr="003E4351" w:rsidRDefault="006F1CA8" w:rsidP="006F1CA8">
            <w:pPr>
              <w:pStyle w:val="TableData"/>
              <w:jc w:val="center"/>
            </w:pPr>
            <w:r w:rsidRPr="003E4351">
              <w:t>-0.2</w:t>
            </w:r>
          </w:p>
        </w:tc>
        <w:tc>
          <w:tcPr>
            <w:tcW w:w="1208" w:type="dxa"/>
            <w:noWrap/>
            <w:hideMark/>
          </w:tcPr>
          <w:p w14:paraId="69B24A91" w14:textId="77777777" w:rsidR="006F1CA8" w:rsidRPr="003E4351" w:rsidRDefault="006F1CA8" w:rsidP="006F1CA8">
            <w:pPr>
              <w:pStyle w:val="TableData"/>
              <w:jc w:val="center"/>
            </w:pPr>
            <w:r w:rsidRPr="003E4351">
              <w:t>-1.1</w:t>
            </w:r>
          </w:p>
        </w:tc>
        <w:tc>
          <w:tcPr>
            <w:tcW w:w="1208" w:type="dxa"/>
            <w:noWrap/>
            <w:hideMark/>
          </w:tcPr>
          <w:p w14:paraId="77E39109" w14:textId="77777777" w:rsidR="006F1CA8" w:rsidRPr="003E4351" w:rsidRDefault="006F1CA8" w:rsidP="006F1CA8">
            <w:pPr>
              <w:pStyle w:val="TableData"/>
              <w:jc w:val="center"/>
            </w:pPr>
            <w:r w:rsidRPr="003E4351">
              <w:t>0.1</w:t>
            </w:r>
          </w:p>
        </w:tc>
        <w:tc>
          <w:tcPr>
            <w:tcW w:w="1208" w:type="dxa"/>
            <w:noWrap/>
            <w:hideMark/>
          </w:tcPr>
          <w:p w14:paraId="704009D7" w14:textId="77777777" w:rsidR="006F1CA8" w:rsidRPr="003E4351" w:rsidRDefault="006F1CA8" w:rsidP="006F1CA8">
            <w:pPr>
              <w:pStyle w:val="TableData"/>
              <w:jc w:val="center"/>
            </w:pPr>
            <w:r w:rsidRPr="003E4351">
              <w:t>0.4</w:t>
            </w:r>
          </w:p>
        </w:tc>
      </w:tr>
      <w:tr w:rsidR="006F1CA8" w:rsidRPr="003E4351" w14:paraId="68D7B4C7" w14:textId="77777777" w:rsidTr="006F1CA8">
        <w:tc>
          <w:tcPr>
            <w:tcW w:w="3645" w:type="dxa"/>
            <w:noWrap/>
            <w:hideMark/>
          </w:tcPr>
          <w:p w14:paraId="50889408" w14:textId="77777777" w:rsidR="006F1CA8" w:rsidRPr="003E4351" w:rsidRDefault="006F1CA8" w:rsidP="006F1CA8">
            <w:pPr>
              <w:pStyle w:val="TableData"/>
            </w:pPr>
            <w:r w:rsidRPr="003E4351">
              <w:t>Net foreign assets</w:t>
            </w:r>
          </w:p>
        </w:tc>
        <w:tc>
          <w:tcPr>
            <w:tcW w:w="1208" w:type="dxa"/>
            <w:noWrap/>
            <w:hideMark/>
          </w:tcPr>
          <w:p w14:paraId="22A3DCF6" w14:textId="77777777" w:rsidR="006F1CA8" w:rsidRPr="003E4351" w:rsidRDefault="006F1CA8" w:rsidP="006F1CA8">
            <w:pPr>
              <w:pStyle w:val="TableData"/>
              <w:jc w:val="center"/>
            </w:pPr>
            <w:r w:rsidRPr="003E4351">
              <w:t>-1.2</w:t>
            </w:r>
          </w:p>
        </w:tc>
        <w:tc>
          <w:tcPr>
            <w:tcW w:w="1208" w:type="dxa"/>
            <w:noWrap/>
            <w:hideMark/>
          </w:tcPr>
          <w:p w14:paraId="03608BFC" w14:textId="77777777" w:rsidR="006F1CA8" w:rsidRPr="003E4351" w:rsidRDefault="006F1CA8" w:rsidP="006F1CA8">
            <w:pPr>
              <w:pStyle w:val="TableData"/>
              <w:jc w:val="center"/>
            </w:pPr>
            <w:r w:rsidRPr="003E4351">
              <w:t>0.2</w:t>
            </w:r>
          </w:p>
        </w:tc>
        <w:tc>
          <w:tcPr>
            <w:tcW w:w="1208" w:type="dxa"/>
            <w:noWrap/>
            <w:hideMark/>
          </w:tcPr>
          <w:p w14:paraId="29E6E205" w14:textId="77777777" w:rsidR="006F1CA8" w:rsidRPr="003E4351" w:rsidRDefault="006F1CA8" w:rsidP="006F1CA8">
            <w:pPr>
              <w:pStyle w:val="TableData"/>
              <w:jc w:val="center"/>
            </w:pPr>
            <w:r w:rsidRPr="003E4351">
              <w:t>-0.1</w:t>
            </w:r>
          </w:p>
        </w:tc>
        <w:tc>
          <w:tcPr>
            <w:tcW w:w="1208" w:type="dxa"/>
            <w:noWrap/>
            <w:hideMark/>
          </w:tcPr>
          <w:p w14:paraId="19799862" w14:textId="77777777" w:rsidR="006F1CA8" w:rsidRPr="003E4351" w:rsidRDefault="006F1CA8" w:rsidP="006F1CA8">
            <w:pPr>
              <w:pStyle w:val="TableData"/>
              <w:jc w:val="center"/>
            </w:pPr>
            <w:r w:rsidRPr="003E4351">
              <w:t>0.1</w:t>
            </w:r>
          </w:p>
        </w:tc>
      </w:tr>
      <w:tr w:rsidR="006F1CA8" w:rsidRPr="003E4351" w14:paraId="0112F091" w14:textId="77777777" w:rsidTr="006F1CA8">
        <w:tc>
          <w:tcPr>
            <w:tcW w:w="3645" w:type="dxa"/>
            <w:noWrap/>
            <w:hideMark/>
          </w:tcPr>
          <w:p w14:paraId="363F1394" w14:textId="77777777" w:rsidR="006F1CA8" w:rsidRPr="003E4351" w:rsidRDefault="006F1CA8" w:rsidP="006F1CA8">
            <w:pPr>
              <w:pStyle w:val="TableData"/>
            </w:pPr>
            <w:r w:rsidRPr="003E4351">
              <w:t>QE securities (stock)</w:t>
            </w:r>
          </w:p>
        </w:tc>
        <w:tc>
          <w:tcPr>
            <w:tcW w:w="1208" w:type="dxa"/>
            <w:noWrap/>
            <w:hideMark/>
          </w:tcPr>
          <w:p w14:paraId="2CDEF413" w14:textId="77777777" w:rsidR="006F1CA8" w:rsidRPr="003E4351" w:rsidRDefault="006F1CA8" w:rsidP="006F1CA8">
            <w:pPr>
              <w:pStyle w:val="TableData"/>
              <w:jc w:val="center"/>
            </w:pPr>
            <w:r w:rsidRPr="003E4351">
              <w:t>-0.1</w:t>
            </w:r>
          </w:p>
        </w:tc>
        <w:tc>
          <w:tcPr>
            <w:tcW w:w="1208" w:type="dxa"/>
            <w:noWrap/>
            <w:hideMark/>
          </w:tcPr>
          <w:p w14:paraId="0046588B" w14:textId="77777777" w:rsidR="006F1CA8" w:rsidRPr="003E4351" w:rsidRDefault="006F1CA8" w:rsidP="006F1CA8">
            <w:pPr>
              <w:pStyle w:val="TableData"/>
              <w:jc w:val="center"/>
            </w:pPr>
            <w:r w:rsidRPr="003E4351">
              <w:t>-1.0</w:t>
            </w:r>
          </w:p>
        </w:tc>
        <w:tc>
          <w:tcPr>
            <w:tcW w:w="1208" w:type="dxa"/>
            <w:noWrap/>
            <w:hideMark/>
          </w:tcPr>
          <w:p w14:paraId="25BF8598" w14:textId="77777777" w:rsidR="006F1CA8" w:rsidRPr="003E4351" w:rsidRDefault="006F1CA8" w:rsidP="006F1CA8">
            <w:pPr>
              <w:pStyle w:val="TableData"/>
              <w:jc w:val="center"/>
            </w:pPr>
            <w:r w:rsidRPr="003E4351">
              <w:t>1.5</w:t>
            </w:r>
          </w:p>
        </w:tc>
        <w:tc>
          <w:tcPr>
            <w:tcW w:w="1208" w:type="dxa"/>
            <w:noWrap/>
            <w:hideMark/>
          </w:tcPr>
          <w:p w14:paraId="3F74DB6E" w14:textId="77777777" w:rsidR="006F1CA8" w:rsidRPr="003E4351" w:rsidRDefault="006F1CA8" w:rsidP="006F1CA8">
            <w:pPr>
              <w:pStyle w:val="TableData"/>
              <w:jc w:val="center"/>
            </w:pPr>
            <w:r w:rsidRPr="003E4351">
              <w:t>-0.4</w:t>
            </w:r>
          </w:p>
        </w:tc>
      </w:tr>
      <w:tr w:rsidR="006F1CA8" w:rsidRPr="003E4351" w14:paraId="2BF58B52" w14:textId="77777777" w:rsidTr="006F1CA8">
        <w:tc>
          <w:tcPr>
            <w:tcW w:w="3645" w:type="dxa"/>
            <w:noWrap/>
            <w:hideMark/>
          </w:tcPr>
          <w:p w14:paraId="4EA3A9D7" w14:textId="77777777" w:rsidR="006F1CA8" w:rsidRPr="003E4351" w:rsidRDefault="006F1CA8" w:rsidP="006F1CA8">
            <w:pPr>
              <w:pStyle w:val="TableData"/>
            </w:pPr>
            <w:r w:rsidRPr="003E4351">
              <w:t>Relative price of investment</w:t>
            </w:r>
          </w:p>
        </w:tc>
        <w:tc>
          <w:tcPr>
            <w:tcW w:w="1208" w:type="dxa"/>
            <w:noWrap/>
            <w:hideMark/>
          </w:tcPr>
          <w:p w14:paraId="77B77BAA" w14:textId="77777777" w:rsidR="006F1CA8" w:rsidRPr="003E4351" w:rsidRDefault="006F1CA8" w:rsidP="006F1CA8">
            <w:pPr>
              <w:pStyle w:val="TableData"/>
              <w:jc w:val="center"/>
            </w:pPr>
            <w:r w:rsidRPr="003E4351">
              <w:t>-0.6</w:t>
            </w:r>
          </w:p>
        </w:tc>
        <w:tc>
          <w:tcPr>
            <w:tcW w:w="1208" w:type="dxa"/>
            <w:noWrap/>
            <w:hideMark/>
          </w:tcPr>
          <w:p w14:paraId="551016E7" w14:textId="77777777" w:rsidR="006F1CA8" w:rsidRPr="003E4351" w:rsidRDefault="006F1CA8" w:rsidP="006F1CA8">
            <w:pPr>
              <w:pStyle w:val="TableData"/>
              <w:jc w:val="center"/>
            </w:pPr>
            <w:r w:rsidRPr="003E4351">
              <w:t>0.0</w:t>
            </w:r>
          </w:p>
        </w:tc>
        <w:tc>
          <w:tcPr>
            <w:tcW w:w="1208" w:type="dxa"/>
            <w:noWrap/>
            <w:hideMark/>
          </w:tcPr>
          <w:p w14:paraId="654B765B" w14:textId="77777777" w:rsidR="006F1CA8" w:rsidRPr="003E4351" w:rsidRDefault="006F1CA8" w:rsidP="006F1CA8">
            <w:pPr>
              <w:pStyle w:val="TableData"/>
              <w:jc w:val="center"/>
            </w:pPr>
            <w:r w:rsidRPr="003E4351">
              <w:t>-0.1</w:t>
            </w:r>
          </w:p>
        </w:tc>
        <w:tc>
          <w:tcPr>
            <w:tcW w:w="1208" w:type="dxa"/>
            <w:noWrap/>
            <w:hideMark/>
          </w:tcPr>
          <w:p w14:paraId="1B08641E" w14:textId="77777777" w:rsidR="006F1CA8" w:rsidRPr="003E4351" w:rsidRDefault="006F1CA8" w:rsidP="006F1CA8">
            <w:pPr>
              <w:pStyle w:val="TableData"/>
              <w:jc w:val="center"/>
            </w:pPr>
            <w:r w:rsidRPr="003E4351">
              <w:t>-0.2</w:t>
            </w:r>
          </w:p>
        </w:tc>
      </w:tr>
      <w:tr w:rsidR="006F1CA8" w:rsidRPr="003E4351" w14:paraId="7F34B1D0" w14:textId="77777777" w:rsidTr="006F1CA8">
        <w:tc>
          <w:tcPr>
            <w:tcW w:w="3645" w:type="dxa"/>
            <w:noWrap/>
            <w:hideMark/>
          </w:tcPr>
          <w:p w14:paraId="05EE9A04" w14:textId="77777777" w:rsidR="006F1CA8" w:rsidRPr="003E4351" w:rsidRDefault="006F1CA8" w:rsidP="006F1CA8">
            <w:pPr>
              <w:pStyle w:val="TableData"/>
            </w:pPr>
            <w:r w:rsidRPr="003E4351">
              <w:t>Consumer credit</w:t>
            </w:r>
          </w:p>
        </w:tc>
        <w:tc>
          <w:tcPr>
            <w:tcW w:w="1208" w:type="dxa"/>
            <w:noWrap/>
            <w:hideMark/>
          </w:tcPr>
          <w:p w14:paraId="2D973B09" w14:textId="77777777" w:rsidR="006F1CA8" w:rsidRPr="003E4351" w:rsidRDefault="006F1CA8" w:rsidP="006F1CA8">
            <w:pPr>
              <w:pStyle w:val="TableData"/>
              <w:jc w:val="center"/>
            </w:pPr>
            <w:r w:rsidRPr="003E4351">
              <w:t>0.8</w:t>
            </w:r>
          </w:p>
        </w:tc>
        <w:tc>
          <w:tcPr>
            <w:tcW w:w="1208" w:type="dxa"/>
            <w:noWrap/>
            <w:hideMark/>
          </w:tcPr>
          <w:p w14:paraId="1DC088DC" w14:textId="77777777" w:rsidR="006F1CA8" w:rsidRPr="003E4351" w:rsidRDefault="006F1CA8" w:rsidP="006F1CA8">
            <w:pPr>
              <w:pStyle w:val="TableData"/>
              <w:jc w:val="center"/>
            </w:pPr>
            <w:r w:rsidRPr="003E4351">
              <w:t>-0.8</w:t>
            </w:r>
          </w:p>
        </w:tc>
        <w:tc>
          <w:tcPr>
            <w:tcW w:w="1208" w:type="dxa"/>
            <w:noWrap/>
            <w:hideMark/>
          </w:tcPr>
          <w:p w14:paraId="7E4F296C" w14:textId="77777777" w:rsidR="006F1CA8" w:rsidRPr="003E4351" w:rsidRDefault="006F1CA8" w:rsidP="006F1CA8">
            <w:pPr>
              <w:pStyle w:val="TableData"/>
              <w:jc w:val="center"/>
            </w:pPr>
            <w:r w:rsidRPr="003E4351">
              <w:t>0.1</w:t>
            </w:r>
          </w:p>
        </w:tc>
        <w:tc>
          <w:tcPr>
            <w:tcW w:w="1208" w:type="dxa"/>
            <w:noWrap/>
            <w:hideMark/>
          </w:tcPr>
          <w:p w14:paraId="3DF51BB5" w14:textId="77777777" w:rsidR="006F1CA8" w:rsidRPr="003E4351" w:rsidRDefault="006F1CA8" w:rsidP="006F1CA8">
            <w:pPr>
              <w:pStyle w:val="TableData"/>
              <w:jc w:val="center"/>
            </w:pPr>
            <w:r w:rsidRPr="003E4351">
              <w:t>-0.1</w:t>
            </w:r>
          </w:p>
        </w:tc>
      </w:tr>
      <w:tr w:rsidR="006F1CA8" w:rsidRPr="003E4351" w14:paraId="368B9EE0" w14:textId="77777777" w:rsidTr="006F1CA8">
        <w:tc>
          <w:tcPr>
            <w:tcW w:w="3645" w:type="dxa"/>
            <w:noWrap/>
            <w:hideMark/>
          </w:tcPr>
          <w:p w14:paraId="23966835" w14:textId="77777777" w:rsidR="006F1CA8" w:rsidRPr="003E4351" w:rsidRDefault="006F1CA8" w:rsidP="006F1CA8">
            <w:pPr>
              <w:pStyle w:val="TableData"/>
            </w:pPr>
            <w:r w:rsidRPr="003E4351">
              <w:t>Other</w:t>
            </w:r>
          </w:p>
        </w:tc>
        <w:tc>
          <w:tcPr>
            <w:tcW w:w="1208" w:type="dxa"/>
            <w:noWrap/>
            <w:hideMark/>
          </w:tcPr>
          <w:p w14:paraId="5C28859B" w14:textId="77777777" w:rsidR="006F1CA8" w:rsidRPr="003E4351" w:rsidRDefault="006F1CA8" w:rsidP="006F1CA8">
            <w:pPr>
              <w:pStyle w:val="TableData"/>
              <w:jc w:val="center"/>
            </w:pPr>
            <w:r w:rsidRPr="003E4351">
              <w:t>-0.2</w:t>
            </w:r>
          </w:p>
        </w:tc>
        <w:tc>
          <w:tcPr>
            <w:tcW w:w="1208" w:type="dxa"/>
            <w:noWrap/>
            <w:hideMark/>
          </w:tcPr>
          <w:p w14:paraId="199A68AC" w14:textId="77777777" w:rsidR="006F1CA8" w:rsidRPr="003E4351" w:rsidRDefault="006F1CA8" w:rsidP="006F1CA8">
            <w:pPr>
              <w:pStyle w:val="TableData"/>
              <w:jc w:val="center"/>
            </w:pPr>
            <w:r w:rsidRPr="003E4351">
              <w:t>-1.4</w:t>
            </w:r>
          </w:p>
        </w:tc>
        <w:tc>
          <w:tcPr>
            <w:tcW w:w="1208" w:type="dxa"/>
            <w:noWrap/>
            <w:hideMark/>
          </w:tcPr>
          <w:p w14:paraId="53AE4E66" w14:textId="77777777" w:rsidR="006F1CA8" w:rsidRPr="003E4351" w:rsidRDefault="006F1CA8" w:rsidP="006F1CA8">
            <w:pPr>
              <w:pStyle w:val="TableData"/>
              <w:jc w:val="center"/>
            </w:pPr>
            <w:r w:rsidRPr="003E4351">
              <w:t>0.2</w:t>
            </w:r>
          </w:p>
        </w:tc>
        <w:tc>
          <w:tcPr>
            <w:tcW w:w="1208" w:type="dxa"/>
            <w:noWrap/>
            <w:hideMark/>
          </w:tcPr>
          <w:p w14:paraId="61027692" w14:textId="77777777" w:rsidR="006F1CA8" w:rsidRPr="003E4351" w:rsidRDefault="006F1CA8" w:rsidP="006F1CA8">
            <w:pPr>
              <w:pStyle w:val="TableData"/>
              <w:jc w:val="center"/>
            </w:pPr>
            <w:r w:rsidRPr="003E4351">
              <w:t>0.5</w:t>
            </w:r>
          </w:p>
        </w:tc>
      </w:tr>
      <w:tr w:rsidR="006F1CA8" w:rsidRPr="003E4351" w14:paraId="1B0CD294" w14:textId="77777777" w:rsidTr="006F1CA8">
        <w:tc>
          <w:tcPr>
            <w:tcW w:w="3645" w:type="dxa"/>
            <w:noWrap/>
            <w:hideMark/>
          </w:tcPr>
          <w:p w14:paraId="255AB711" w14:textId="1D9EFAE9" w:rsidR="006F1CA8" w:rsidRPr="0007382B" w:rsidRDefault="00012615" w:rsidP="006F1CA8">
            <w:pPr>
              <w:pStyle w:val="TableData"/>
              <w:rPr>
                <w:i/>
              </w:rPr>
            </w:pPr>
            <w:r w:rsidRPr="00012615">
              <w:rPr>
                <w:rFonts w:ascii="Malgun Gothic" w:eastAsia="Malgun Gothic" w:hAnsi="Malgun Gothic" w:cs="Malgun Gothic" w:hint="eastAsia"/>
                <w:sz w:val="12"/>
              </w:rPr>
              <w:t>ㅤㅤㅤ</w:t>
            </w:r>
            <w:r w:rsidR="006F1CA8" w:rsidRPr="0007382B">
              <w:rPr>
                <w:i/>
              </w:rPr>
              <w:t>Labour share</w:t>
            </w:r>
          </w:p>
        </w:tc>
        <w:tc>
          <w:tcPr>
            <w:tcW w:w="1208" w:type="dxa"/>
            <w:noWrap/>
            <w:hideMark/>
          </w:tcPr>
          <w:p w14:paraId="242DC9CA" w14:textId="3F80785D"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-0.1</w:t>
            </w:r>
          </w:p>
        </w:tc>
        <w:tc>
          <w:tcPr>
            <w:tcW w:w="1208" w:type="dxa"/>
            <w:noWrap/>
            <w:hideMark/>
          </w:tcPr>
          <w:p w14:paraId="0BA31038" w14:textId="50E1261C"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-0.2</w:t>
            </w:r>
          </w:p>
        </w:tc>
        <w:tc>
          <w:tcPr>
            <w:tcW w:w="1208" w:type="dxa"/>
            <w:noWrap/>
            <w:hideMark/>
          </w:tcPr>
          <w:p w14:paraId="09B1F2EA" w14:textId="7D67F03A"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0.0</w:t>
            </w:r>
          </w:p>
        </w:tc>
        <w:tc>
          <w:tcPr>
            <w:tcW w:w="1208" w:type="dxa"/>
            <w:noWrap/>
            <w:hideMark/>
          </w:tcPr>
          <w:p w14:paraId="0AC0A1D3" w14:textId="70DCFDC8"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0.0</w:t>
            </w:r>
          </w:p>
        </w:tc>
      </w:tr>
      <w:tr w:rsidR="006F1CA8" w:rsidRPr="003E4351" w14:paraId="3E3D9993" w14:textId="77777777" w:rsidTr="006F1CA8">
        <w:tc>
          <w:tcPr>
            <w:tcW w:w="3645" w:type="dxa"/>
            <w:noWrap/>
            <w:hideMark/>
          </w:tcPr>
          <w:p w14:paraId="55F730B6" w14:textId="1265D963" w:rsidR="006F1CA8" w:rsidRPr="0007382B" w:rsidRDefault="00012615" w:rsidP="006F1CA8">
            <w:pPr>
              <w:pStyle w:val="TableData"/>
              <w:rPr>
                <w:i/>
              </w:rPr>
            </w:pPr>
            <w:r w:rsidRPr="00012615">
              <w:rPr>
                <w:rFonts w:ascii="Malgun Gothic" w:eastAsia="Malgun Gothic" w:hAnsi="Malgun Gothic" w:cs="Malgun Gothic" w:hint="eastAsia"/>
                <w:sz w:val="12"/>
              </w:rPr>
              <w:t>ㅤㅤㅤ</w:t>
            </w:r>
            <w:r w:rsidR="006F1CA8" w:rsidRPr="0007382B">
              <w:rPr>
                <w:i/>
              </w:rPr>
              <w:t>Interactions</w:t>
            </w:r>
          </w:p>
        </w:tc>
        <w:tc>
          <w:tcPr>
            <w:tcW w:w="1208" w:type="dxa"/>
            <w:noWrap/>
            <w:hideMark/>
          </w:tcPr>
          <w:p w14:paraId="071491C2" w14:textId="3ED8B0E8"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-0.2</w:t>
            </w:r>
          </w:p>
        </w:tc>
        <w:tc>
          <w:tcPr>
            <w:tcW w:w="1208" w:type="dxa"/>
            <w:noWrap/>
            <w:hideMark/>
          </w:tcPr>
          <w:p w14:paraId="3B287893" w14:textId="157D82BB"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-1.2</w:t>
            </w:r>
          </w:p>
        </w:tc>
        <w:tc>
          <w:tcPr>
            <w:tcW w:w="1208" w:type="dxa"/>
            <w:noWrap/>
            <w:hideMark/>
          </w:tcPr>
          <w:p w14:paraId="1AA6629E" w14:textId="799B48DA"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0.3</w:t>
            </w:r>
          </w:p>
        </w:tc>
        <w:tc>
          <w:tcPr>
            <w:tcW w:w="1208" w:type="dxa"/>
            <w:noWrap/>
            <w:hideMark/>
          </w:tcPr>
          <w:p w14:paraId="7C21F840" w14:textId="26296850" w:rsidR="006F1CA8" w:rsidRPr="003E4351" w:rsidRDefault="00012615" w:rsidP="00012615">
            <w:pPr>
              <w:pStyle w:val="TableData"/>
              <w:jc w:val="center"/>
              <w:rPr>
                <w:i/>
              </w:rPr>
            </w:pPr>
            <w:r w:rsidRPr="00012615">
              <w:rPr>
                <w:rFonts w:ascii="Malgun Gothic" w:eastAsia="Malgun Gothic" w:hAnsi="Malgun Gothic" w:cs="Malgun Gothic" w:hint="eastAsia"/>
                <w:sz w:val="12"/>
              </w:rPr>
              <w:t>ㅤㅤㅤ</w:t>
            </w:r>
            <w:r w:rsidR="006F1CA8" w:rsidRPr="003E4351">
              <w:rPr>
                <w:i/>
              </w:rPr>
              <w:t>0.5</w:t>
            </w:r>
          </w:p>
        </w:tc>
      </w:tr>
    </w:tbl>
    <w:p w14:paraId="6776E8D6" w14:textId="3B6AD45A" w:rsidR="00DF7AEE" w:rsidRPr="003E4351" w:rsidRDefault="006F1CA8" w:rsidP="00177B55">
      <w:pPr>
        <w:pStyle w:val="ExhibitSource"/>
      </w:pPr>
      <w:r w:rsidRPr="003E4351">
        <w:t>Source: Oxford Economics</w:t>
      </w:r>
    </w:p>
    <w:p w14:paraId="56FE1F76" w14:textId="3D314DC9" w:rsidR="00DA1BFD" w:rsidRPr="003E4351" w:rsidRDefault="009D483C" w:rsidP="00DA1BFD">
      <w:r w:rsidRPr="003E4351">
        <w:t xml:space="preserve">In the 1980s, </w:t>
      </w:r>
      <w:r w:rsidR="00DA1BFD" w:rsidRPr="003E4351">
        <w:t xml:space="preserve">the UK </w:t>
      </w:r>
      <w:r w:rsidR="00AB4174">
        <w:t>undertook</w:t>
      </w:r>
      <w:r w:rsidR="00AB4174" w:rsidRPr="003E4351">
        <w:t xml:space="preserve"> </w:t>
      </w:r>
      <w:r w:rsidR="00DA1BFD" w:rsidRPr="003E4351">
        <w:t xml:space="preserve">significant liberalisation </w:t>
      </w:r>
      <w:r w:rsidR="00AB4174">
        <w:t>of</w:t>
      </w:r>
      <w:r w:rsidR="00DA1BFD" w:rsidRPr="003E4351">
        <w:t xml:space="preserve"> </w:t>
      </w:r>
      <w:r w:rsidR="00AB4174">
        <w:t>its</w:t>
      </w:r>
      <w:r w:rsidR="00DA1BFD" w:rsidRPr="003E4351">
        <w:t xml:space="preserve"> financial system, which eased credit constraints and lowered credit spreads. This shift in the demand for loans had an upward effect on the neutral rate. Given our model uses a measure of unsecured</w:t>
      </w:r>
      <w:r w:rsidR="00764CC2" w:rsidRPr="003E4351">
        <w:t xml:space="preserve"> </w:t>
      </w:r>
      <w:r w:rsidR="00800372" w:rsidRPr="003E4351">
        <w:rPr>
          <w:b/>
          <w:color w:val="003469"/>
        </w:rPr>
        <w:t xml:space="preserve">consumer </w:t>
      </w:r>
      <w:r w:rsidR="005F67FB" w:rsidRPr="003E4351">
        <w:rPr>
          <w:b/>
          <w:color w:val="003469"/>
        </w:rPr>
        <w:t>credit</w:t>
      </w:r>
      <w:r w:rsidR="005F67FB" w:rsidRPr="003E4351">
        <w:t xml:space="preserve">, </w:t>
      </w:r>
      <w:r w:rsidR="004446B9" w:rsidRPr="003E4351">
        <w:t xml:space="preserve">it misses the upward impact of the large increase in mortgage credit. The upward trend in consumer credit peaked in the mid-2000s, </w:t>
      </w:r>
      <w:r w:rsidR="004446B9" w:rsidRPr="003E4351">
        <w:lastRenderedPageBreak/>
        <w:t>and the global financial crisis caused a sharp widening in credit spreads, which weighed on the demand for loans and dragged on the neutral rate by the end of the decade.</w:t>
      </w:r>
    </w:p>
    <w:p w14:paraId="003A4986" w14:textId="2882903F" w:rsidR="004446B9" w:rsidRPr="003E4351" w:rsidRDefault="00246DC8" w:rsidP="00DA1BFD">
      <w:r w:rsidRPr="003E4351">
        <w:t>Due to its magnitude and extended duration, t</w:t>
      </w:r>
      <w:r w:rsidR="00717567" w:rsidRPr="003E4351">
        <w:t xml:space="preserve">he BoE's stock of government bonds under its </w:t>
      </w:r>
      <w:r w:rsidR="00717567" w:rsidRPr="003E4351">
        <w:rPr>
          <w:b/>
          <w:color w:val="003469"/>
        </w:rPr>
        <w:t>quantitative easing</w:t>
      </w:r>
      <w:r w:rsidR="00717567" w:rsidRPr="003E4351">
        <w:t xml:space="preserve"> (QE) programs </w:t>
      </w:r>
      <w:r w:rsidRPr="003E4351">
        <w:t>may be considered a new structural force</w:t>
      </w:r>
      <w:r w:rsidR="00EE3207" w:rsidRPr="003E4351">
        <w:t>, which</w:t>
      </w:r>
      <w:r w:rsidR="00717567" w:rsidRPr="003E4351">
        <w:t xml:space="preserve"> </w:t>
      </w:r>
      <w:r w:rsidR="00EE3207" w:rsidRPr="003E4351">
        <w:t>i</w:t>
      </w:r>
      <w:r w:rsidR="0022754A" w:rsidRPr="003E4351">
        <w:t>n our framework</w:t>
      </w:r>
      <w:r w:rsidRPr="003E4351">
        <w:t xml:space="preserve"> directly offsets some of the impact of rising government debt</w:t>
      </w:r>
      <w:r w:rsidR="00EE3207" w:rsidRPr="003E4351">
        <w:t xml:space="preserve">. In line with </w:t>
      </w:r>
      <w:hyperlink r:id="rId30" w:history="1">
        <w:r w:rsidR="00EE3207" w:rsidRPr="003E4351">
          <w:rPr>
            <w:rStyle w:val="Hyperlink"/>
          </w:rPr>
          <w:t>recent studies</w:t>
        </w:r>
      </w:hyperlink>
      <w:r w:rsidR="00EE3207" w:rsidRPr="003E4351">
        <w:t>, our results suggest that</w:t>
      </w:r>
      <w:r w:rsidRPr="003E4351">
        <w:t xml:space="preserve"> </w:t>
      </w:r>
      <w:r w:rsidR="00EE3207" w:rsidRPr="003E4351">
        <w:t xml:space="preserve">the purchase of government bonds </w:t>
      </w:r>
      <w:r w:rsidRPr="003E4351">
        <w:t>depress</w:t>
      </w:r>
      <w:r w:rsidR="00EE3207" w:rsidRPr="003E4351">
        <w:t>ed</w:t>
      </w:r>
      <w:r w:rsidR="00717567" w:rsidRPr="003E4351">
        <w:t xml:space="preserve"> the long-run neutral rate slightly between 2009 and 2022</w:t>
      </w:r>
      <w:r w:rsidR="00EE3207" w:rsidRPr="003E4351">
        <w:t xml:space="preserve">, and that this </w:t>
      </w:r>
      <w:r w:rsidR="003F3C12" w:rsidRPr="003E4351">
        <w:t>is now starting to reverse</w:t>
      </w:r>
      <w:r w:rsidR="00EE3207" w:rsidRPr="003E4351">
        <w:t xml:space="preserve"> </w:t>
      </w:r>
      <w:r w:rsidR="003F3C12" w:rsidRPr="003E4351">
        <w:t xml:space="preserve">following </w:t>
      </w:r>
      <w:r w:rsidR="00EE3207" w:rsidRPr="003E4351">
        <w:t>the start of the BoE's quantitative tightening.</w:t>
      </w:r>
      <w:r w:rsidRPr="003E4351">
        <w:t xml:space="preserve"> However</w:t>
      </w:r>
      <w:r w:rsidR="004F1F8E" w:rsidRPr="003E4351">
        <w:t>,</w:t>
      </w:r>
      <w:r w:rsidRPr="003E4351">
        <w:t xml:space="preserve"> the question of whether </w:t>
      </w:r>
      <w:r w:rsidR="00717567" w:rsidRPr="003E4351">
        <w:t xml:space="preserve">central bank holdings of government debt should be considered in this framework </w:t>
      </w:r>
      <w:r w:rsidR="00A07DA7">
        <w:t>is</w:t>
      </w:r>
      <w:r w:rsidR="00717567" w:rsidRPr="003E4351">
        <w:t xml:space="preserve"> </w:t>
      </w:r>
      <w:hyperlink r:id="rId31" w:history="1">
        <w:r w:rsidRPr="003E4351">
          <w:rPr>
            <w:rStyle w:val="Hyperlink"/>
          </w:rPr>
          <w:t>debated</w:t>
        </w:r>
      </w:hyperlink>
      <w:r w:rsidR="00EE3207" w:rsidRPr="003E4351">
        <w:t>.</w:t>
      </w:r>
    </w:p>
    <w:p w14:paraId="37B8BD26" w14:textId="77777777" w:rsidR="00C5784B" w:rsidRPr="003E4351" w:rsidRDefault="00C5784B" w:rsidP="00177B55">
      <w:pPr>
        <w:pStyle w:val="Heading3"/>
      </w:pPr>
      <w:r w:rsidRPr="003E4351">
        <w:t>What it would take to escape low interest rates</w:t>
      </w:r>
    </w:p>
    <w:p w14:paraId="0FA7A411" w14:textId="57E89EE0" w:rsidR="00A66D89" w:rsidRPr="003E4351" w:rsidRDefault="0083118D" w:rsidP="00CA2EC3">
      <w:r w:rsidRPr="003E4351">
        <w:t>W</w:t>
      </w:r>
      <w:r w:rsidR="00CA34BF" w:rsidRPr="003E4351">
        <w:t xml:space="preserve">hat </w:t>
      </w:r>
      <w:r w:rsidR="00364EB0" w:rsidRPr="003E4351">
        <w:t xml:space="preserve">would it take for the neutral </w:t>
      </w:r>
      <w:r w:rsidR="006C1BCE" w:rsidRPr="003E4351">
        <w:t xml:space="preserve">real </w:t>
      </w:r>
      <w:r w:rsidR="00364EB0" w:rsidRPr="003E4351">
        <w:t xml:space="preserve">rate to permanently return </w:t>
      </w:r>
      <w:r w:rsidR="009845A5" w:rsidRPr="003E4351">
        <w:t xml:space="preserve">to </w:t>
      </w:r>
      <w:r w:rsidR="00AD79E9" w:rsidRPr="003E4351">
        <w:t>the higher</w:t>
      </w:r>
      <w:r w:rsidR="000133B0" w:rsidRPr="003E4351">
        <w:t xml:space="preserve"> real</w:t>
      </w:r>
      <w:r w:rsidR="00AD79E9" w:rsidRPr="003E4351">
        <w:t xml:space="preserve"> rates </w:t>
      </w:r>
      <w:r w:rsidR="00AB4174">
        <w:t>of</w:t>
      </w:r>
      <w:r w:rsidR="00AD79E9" w:rsidRPr="003E4351">
        <w:t xml:space="preserve"> the past, say 1%? </w:t>
      </w:r>
      <w:r w:rsidR="00AF21C6" w:rsidRPr="003E4351">
        <w:t xml:space="preserve">To answer this, </w:t>
      </w:r>
      <w:r w:rsidR="00896AED" w:rsidRPr="003E4351">
        <w:t>we computed counterfactuals in which we varied one secular force at a time, keeping all others fixed at their 2023 values (</w:t>
      </w:r>
      <w:r w:rsidR="00AB4174" w:rsidRPr="00AB4174">
        <w:t>all else being equal</w:t>
      </w:r>
      <w:r w:rsidR="00896AED" w:rsidRPr="003E4351">
        <w:t>)</w:t>
      </w:r>
      <w:r w:rsidR="001B778F" w:rsidRPr="003E4351">
        <w:t>.</w:t>
      </w:r>
      <w:r w:rsidR="009845A5" w:rsidRPr="003E4351">
        <w:t xml:space="preserve"> </w:t>
      </w:r>
      <w:r w:rsidR="00E11428" w:rsidRPr="003E4351">
        <w:t>The</w:t>
      </w:r>
      <w:r w:rsidR="0069657E" w:rsidRPr="003E4351">
        <w:t xml:space="preserve"> key take</w:t>
      </w:r>
      <w:r w:rsidR="00914BE8" w:rsidRPr="003E4351">
        <w:t>away from t</w:t>
      </w:r>
      <w:r w:rsidR="001B778F" w:rsidRPr="003E4351">
        <w:t xml:space="preserve">he results – shown in </w:t>
      </w:r>
      <w:r w:rsidR="00F26CC7" w:rsidRPr="00F06300">
        <w:rPr>
          <w:b/>
          <w:color w:val="003469"/>
        </w:rPr>
        <w:fldChar w:fldCharType="begin"/>
      </w:r>
      <w:r w:rsidR="00F06300" w:rsidRPr="00F06300">
        <w:rPr>
          <w:b/>
          <w:color w:val="003469"/>
        </w:rPr>
        <w:instrText xml:space="preserve">REF _Ref148964109 \h \* Charformat </w:instrText>
      </w:r>
      <w:r w:rsidR="00F06300" w:rsidRPr="00F06300">
        <w:rPr>
          <w:b/>
          <w:color w:val="003469"/>
        </w:rPr>
      </w:r>
      <w:r w:rsidR="00F26CC7" w:rsidRPr="00F06300">
        <w:rPr>
          <w:b/>
          <w:color w:val="003469"/>
        </w:rPr>
        <w:fldChar w:fldCharType="separate"/>
      </w:r>
      <w:r w:rsidR="00F06300" w:rsidRPr="00F06300">
        <w:rPr>
          <w:b/>
          <w:color w:val="003469"/>
        </w:rPr>
        <w:t>Table 2</w:t>
      </w:r>
      <w:r w:rsidR="00F26CC7" w:rsidRPr="00F06300">
        <w:rPr>
          <w:b/>
          <w:color w:val="003469"/>
        </w:rPr>
        <w:fldChar w:fldCharType="end"/>
      </w:r>
      <w:r w:rsidR="00AB4174">
        <w:t xml:space="preserve"> </w:t>
      </w:r>
      <w:r w:rsidR="001B778F" w:rsidRPr="003E4351">
        <w:t xml:space="preserve">– </w:t>
      </w:r>
      <w:r w:rsidR="00914BE8" w:rsidRPr="003E4351">
        <w:t xml:space="preserve">is </w:t>
      </w:r>
      <w:r w:rsidR="00B240AF" w:rsidRPr="003E4351">
        <w:t xml:space="preserve">how </w:t>
      </w:r>
      <w:r w:rsidR="00405200" w:rsidRPr="003E4351">
        <w:t>unlikely</w:t>
      </w:r>
      <w:r w:rsidR="00403057" w:rsidRPr="003E4351">
        <w:t xml:space="preserve"> it is that</w:t>
      </w:r>
      <w:r w:rsidR="00405200" w:rsidRPr="003E4351">
        <w:t xml:space="preserve"> we'll see much higher interest rates</w:t>
      </w:r>
      <w:r w:rsidR="00594557" w:rsidRPr="003E4351">
        <w:t>.</w:t>
      </w:r>
    </w:p>
    <w:p w14:paraId="23BA1DDD" w14:textId="4193CD45" w:rsidR="0040701C" w:rsidRPr="003E4351" w:rsidRDefault="00130802" w:rsidP="0072081E">
      <w:r w:rsidRPr="003E4351">
        <w:t xml:space="preserve">For example, for a 1% </w:t>
      </w:r>
      <w:r w:rsidR="00495B2B" w:rsidRPr="003E4351">
        <w:t xml:space="preserve">real neutral rate, trend TFP growth would </w:t>
      </w:r>
      <w:r w:rsidR="006E2AB6" w:rsidRPr="003E4351">
        <w:t>need to rise from the current 0.1% y/y to 1.4%</w:t>
      </w:r>
      <w:r w:rsidR="00596E5A" w:rsidRPr="003E4351">
        <w:t>, a value last reached in the 1980s.</w:t>
      </w:r>
      <w:r w:rsidR="00324F45" w:rsidRPr="003E4351">
        <w:t xml:space="preserve"> The changes required </w:t>
      </w:r>
      <w:r w:rsidR="004D1D33" w:rsidRPr="003E4351">
        <w:t>in net foreign assets or the fertility rate look</w:t>
      </w:r>
      <w:r w:rsidR="001B50DE" w:rsidRPr="003E4351">
        <w:t xml:space="preserve"> even less</w:t>
      </w:r>
      <w:r w:rsidR="004D1D33" w:rsidRPr="003E4351">
        <w:t xml:space="preserve"> likely. </w:t>
      </w:r>
      <w:r w:rsidR="00F379D9" w:rsidRPr="003E4351">
        <w:t>Given its trajectory in recent decades, probably the</w:t>
      </w:r>
      <w:r w:rsidR="00F0779D" w:rsidRPr="003E4351">
        <w:t xml:space="preserve"> most plausible lever would be outstanding government debt</w:t>
      </w:r>
      <w:r w:rsidR="00166272" w:rsidRPr="003E4351">
        <w:t>, which would need to rise from 100% of GDP to 1</w:t>
      </w:r>
      <w:r w:rsidR="00B567AE" w:rsidRPr="003E4351">
        <w:t>46</w:t>
      </w:r>
      <w:r w:rsidR="00166272" w:rsidRPr="003E4351">
        <w:t xml:space="preserve">% to </w:t>
      </w:r>
      <w:r w:rsidR="00B567AE" w:rsidRPr="003E4351">
        <w:t xml:space="preserve">achieve a neutral </w:t>
      </w:r>
      <w:r w:rsidR="00524588" w:rsidRPr="003E4351">
        <w:t xml:space="preserve">real </w:t>
      </w:r>
      <w:r w:rsidR="00B567AE" w:rsidRPr="003E4351">
        <w:t xml:space="preserve">rate of 1%. </w:t>
      </w:r>
      <w:r w:rsidR="000A7713" w:rsidRPr="003E4351">
        <w:t>But that's still a long way from our prediction of 83% in 2050.</w:t>
      </w:r>
    </w:p>
    <w:p w14:paraId="07F6ECE4" w14:textId="53B09008" w:rsidR="00701244" w:rsidRPr="003E4351" w:rsidRDefault="00701244" w:rsidP="00177B55">
      <w:pPr>
        <w:pStyle w:val="ExhibitTitle"/>
      </w:pPr>
      <w:bookmarkStart w:id="5" w:name="_Ref148964109"/>
      <w:r w:rsidRPr="003E4351">
        <w:t xml:space="preserve">Table </w:t>
      </w:r>
      <w:r w:rsidR="00885D31" w:rsidRPr="003E4351">
        <w:fldChar w:fldCharType="begin"/>
      </w:r>
      <w:r w:rsidR="009A558F" w:rsidRPr="003E4351">
        <w:instrText>SEQ TABLE</w:instrText>
      </w:r>
      <w:r w:rsidR="00885D31" w:rsidRPr="003E4351">
        <w:fldChar w:fldCharType="separate"/>
      </w:r>
      <w:r w:rsidR="006F1CA8" w:rsidRPr="003E4351">
        <w:t>2</w:t>
      </w:r>
      <w:r w:rsidR="00885D31" w:rsidRPr="003E4351">
        <w:fldChar w:fldCharType="end"/>
      </w:r>
      <w:bookmarkEnd w:id="5"/>
      <w:r w:rsidRPr="003E4351">
        <w:t xml:space="preserve">: </w:t>
      </w:r>
      <w:r w:rsidR="00CF2B47" w:rsidRPr="003E4351">
        <w:t xml:space="preserve">Level </w:t>
      </w:r>
      <w:r w:rsidR="00177E6C" w:rsidRPr="003E4351">
        <w:t xml:space="preserve">needed </w:t>
      </w:r>
      <w:r w:rsidR="003F0348" w:rsidRPr="003E4351">
        <w:t>for</w:t>
      </w:r>
      <w:r w:rsidR="00177E6C" w:rsidRPr="003E4351">
        <w:t xml:space="preserve"> each variable (all others equal) to raise the real neutral rate</w:t>
      </w:r>
      <w:r w:rsidR="00AC64E4" w:rsidRPr="003E4351">
        <w:t xml:space="preserve"> in 2023</w:t>
      </w:r>
    </w:p>
    <w:tbl>
      <w:tblPr>
        <w:tblStyle w:val="TableGridHeader"/>
        <w:tblW w:w="5000" w:type="pct"/>
        <w:tblLook w:val="04A0" w:firstRow="1" w:lastRow="0" w:firstColumn="1" w:lastColumn="0" w:noHBand="0" w:noVBand="1"/>
      </w:tblPr>
      <w:tblGrid>
        <w:gridCol w:w="3744"/>
        <w:gridCol w:w="1070"/>
        <w:gridCol w:w="2333"/>
        <w:gridCol w:w="2333"/>
      </w:tblGrid>
      <w:tr w:rsidR="009A558F" w:rsidRPr="003E4351" w14:paraId="06763CA6" w14:textId="77777777" w:rsidTr="009A558F">
        <w:trPr>
          <w:cnfStyle w:val="100000000000" w:firstRow="1" w:lastRow="0" w:firstColumn="0" w:lastColumn="0" w:oddVBand="0" w:evenVBand="0" w:oddHBand="0" w:evenHBand="0" w:firstRowFirstColumn="0" w:firstRowLastColumn="0" w:lastRowFirstColumn="0" w:lastRowLastColumn="0"/>
          <w:tblHeader/>
        </w:trPr>
        <w:tc>
          <w:tcPr>
            <w:tcW w:w="3416" w:type="dxa"/>
            <w:noWrap/>
            <w:hideMark/>
          </w:tcPr>
          <w:p w14:paraId="2A67175C" w14:textId="77777777" w:rsidR="009A558F" w:rsidRPr="003E4351" w:rsidRDefault="009A558F" w:rsidP="009A558F">
            <w:pPr>
              <w:pStyle w:val="TableHeader"/>
              <w:jc w:val="center"/>
            </w:pPr>
            <w:bookmarkStart w:id="6" w:name="RANGE!M4:P9"/>
            <w:r w:rsidRPr="003E4351">
              <w:t> </w:t>
            </w:r>
            <w:bookmarkEnd w:id="6"/>
          </w:p>
        </w:tc>
        <w:tc>
          <w:tcPr>
            <w:tcW w:w="976" w:type="dxa"/>
            <w:noWrap/>
            <w:hideMark/>
          </w:tcPr>
          <w:p w14:paraId="4FF7EDB3" w14:textId="77777777" w:rsidR="009A558F" w:rsidRPr="003E4351" w:rsidRDefault="009A558F" w:rsidP="009A558F">
            <w:pPr>
              <w:pStyle w:val="TableHeader"/>
              <w:jc w:val="center"/>
            </w:pPr>
            <w:r w:rsidRPr="003E4351">
              <w:t>2023</w:t>
            </w:r>
          </w:p>
        </w:tc>
        <w:tc>
          <w:tcPr>
            <w:tcW w:w="4256" w:type="dxa"/>
            <w:gridSpan w:val="2"/>
            <w:noWrap/>
            <w:hideMark/>
          </w:tcPr>
          <w:p w14:paraId="7566DE97" w14:textId="77777777" w:rsidR="009A558F" w:rsidRPr="003E4351" w:rsidRDefault="009A558F" w:rsidP="009A558F">
            <w:pPr>
              <w:pStyle w:val="TableHeader"/>
              <w:jc w:val="center"/>
            </w:pPr>
            <w:r w:rsidRPr="003E4351">
              <w:t>Level needed (c.p.) for r* of 0% and 1%</w:t>
            </w:r>
          </w:p>
        </w:tc>
      </w:tr>
      <w:tr w:rsidR="009A558F" w:rsidRPr="003E4351" w14:paraId="026FAA03" w14:textId="77777777" w:rsidTr="009A558F">
        <w:tc>
          <w:tcPr>
            <w:tcW w:w="3416" w:type="dxa"/>
            <w:noWrap/>
            <w:hideMark/>
          </w:tcPr>
          <w:p w14:paraId="01014E1A" w14:textId="77777777" w:rsidR="009A558F" w:rsidRPr="003E4351" w:rsidRDefault="009A558F" w:rsidP="009A558F">
            <w:pPr>
              <w:pStyle w:val="TableData"/>
            </w:pPr>
            <w:r w:rsidRPr="003E4351">
              <w:t>Real neutral interest rate</w:t>
            </w:r>
          </w:p>
        </w:tc>
        <w:tc>
          <w:tcPr>
            <w:tcW w:w="976" w:type="dxa"/>
            <w:noWrap/>
            <w:hideMark/>
          </w:tcPr>
          <w:p w14:paraId="2A1DEBDA" w14:textId="6048E810" w:rsidR="009A558F" w:rsidRPr="003E4351" w:rsidRDefault="00866AC6" w:rsidP="009A558F">
            <w:pPr>
              <w:pStyle w:val="TableData"/>
              <w:jc w:val="center"/>
            </w:pPr>
            <w:r w:rsidRPr="003E4351">
              <w:t>-0.8%</w:t>
            </w:r>
          </w:p>
        </w:tc>
        <w:tc>
          <w:tcPr>
            <w:tcW w:w="2128" w:type="dxa"/>
            <w:noWrap/>
            <w:hideMark/>
          </w:tcPr>
          <w:p w14:paraId="58EDCAB5" w14:textId="77777777" w:rsidR="009A558F" w:rsidRPr="003E4351" w:rsidRDefault="009A558F" w:rsidP="009A558F">
            <w:pPr>
              <w:pStyle w:val="TableData"/>
              <w:jc w:val="center"/>
            </w:pPr>
            <w:r w:rsidRPr="003E4351">
              <w:t>0.0%</w:t>
            </w:r>
          </w:p>
        </w:tc>
        <w:tc>
          <w:tcPr>
            <w:tcW w:w="2128" w:type="dxa"/>
            <w:noWrap/>
            <w:hideMark/>
          </w:tcPr>
          <w:p w14:paraId="35867628" w14:textId="77777777" w:rsidR="009A558F" w:rsidRPr="003E4351" w:rsidRDefault="009A558F" w:rsidP="009A558F">
            <w:pPr>
              <w:pStyle w:val="TableData"/>
              <w:jc w:val="center"/>
            </w:pPr>
            <w:r w:rsidRPr="003E4351">
              <w:t>1.0%</w:t>
            </w:r>
          </w:p>
        </w:tc>
      </w:tr>
      <w:tr w:rsidR="009A558F" w:rsidRPr="003E4351" w14:paraId="50CF6BD3" w14:textId="77777777" w:rsidTr="009A558F">
        <w:tc>
          <w:tcPr>
            <w:tcW w:w="3416" w:type="dxa"/>
            <w:noWrap/>
            <w:hideMark/>
          </w:tcPr>
          <w:p w14:paraId="10D9E187" w14:textId="77777777" w:rsidR="009A558F" w:rsidRPr="003E4351" w:rsidRDefault="009A558F" w:rsidP="009A558F">
            <w:pPr>
              <w:pStyle w:val="TableData"/>
            </w:pPr>
            <w:r w:rsidRPr="003E4351">
              <w:t>Government debt (% GDP)*</w:t>
            </w:r>
          </w:p>
        </w:tc>
        <w:tc>
          <w:tcPr>
            <w:tcW w:w="976" w:type="dxa"/>
            <w:noWrap/>
            <w:hideMark/>
          </w:tcPr>
          <w:p w14:paraId="11ADA082" w14:textId="77777777" w:rsidR="009A558F" w:rsidRPr="003E4351" w:rsidRDefault="009A558F" w:rsidP="009A558F">
            <w:pPr>
              <w:pStyle w:val="TableData"/>
              <w:jc w:val="center"/>
            </w:pPr>
            <w:r w:rsidRPr="003E4351">
              <w:t>100%</w:t>
            </w:r>
          </w:p>
        </w:tc>
        <w:tc>
          <w:tcPr>
            <w:tcW w:w="2128" w:type="dxa"/>
            <w:noWrap/>
            <w:hideMark/>
          </w:tcPr>
          <w:p w14:paraId="4CF36900" w14:textId="77777777" w:rsidR="009A558F" w:rsidRPr="003E4351" w:rsidRDefault="009A558F" w:rsidP="009A558F">
            <w:pPr>
              <w:pStyle w:val="TableData"/>
              <w:jc w:val="center"/>
            </w:pPr>
            <w:r w:rsidRPr="003E4351">
              <w:t>120%</w:t>
            </w:r>
          </w:p>
        </w:tc>
        <w:tc>
          <w:tcPr>
            <w:tcW w:w="2128" w:type="dxa"/>
            <w:noWrap/>
            <w:hideMark/>
          </w:tcPr>
          <w:p w14:paraId="311013AC" w14:textId="77777777" w:rsidR="009A558F" w:rsidRPr="003E4351" w:rsidRDefault="009A558F" w:rsidP="009A558F">
            <w:pPr>
              <w:pStyle w:val="TableData"/>
              <w:jc w:val="center"/>
            </w:pPr>
            <w:r w:rsidRPr="003E4351">
              <w:t>146%</w:t>
            </w:r>
          </w:p>
        </w:tc>
      </w:tr>
      <w:tr w:rsidR="009A558F" w:rsidRPr="003E4351" w14:paraId="57B0260D" w14:textId="77777777" w:rsidTr="009A558F">
        <w:tc>
          <w:tcPr>
            <w:tcW w:w="3416" w:type="dxa"/>
            <w:noWrap/>
            <w:hideMark/>
          </w:tcPr>
          <w:p w14:paraId="40685C49" w14:textId="77777777" w:rsidR="009A558F" w:rsidRPr="003E4351" w:rsidRDefault="009A558F" w:rsidP="009A558F">
            <w:pPr>
              <w:pStyle w:val="TableData"/>
            </w:pPr>
            <w:r w:rsidRPr="003E4351">
              <w:t>Productivity growth (y/y)**</w:t>
            </w:r>
          </w:p>
        </w:tc>
        <w:tc>
          <w:tcPr>
            <w:tcW w:w="976" w:type="dxa"/>
            <w:noWrap/>
            <w:hideMark/>
          </w:tcPr>
          <w:p w14:paraId="7EA9462A" w14:textId="77777777" w:rsidR="009A558F" w:rsidRPr="003E4351" w:rsidRDefault="009A558F" w:rsidP="009A558F">
            <w:pPr>
              <w:pStyle w:val="TableData"/>
              <w:jc w:val="center"/>
            </w:pPr>
            <w:r w:rsidRPr="003E4351">
              <w:t>0.1%</w:t>
            </w:r>
          </w:p>
        </w:tc>
        <w:tc>
          <w:tcPr>
            <w:tcW w:w="2128" w:type="dxa"/>
            <w:noWrap/>
            <w:hideMark/>
          </w:tcPr>
          <w:p w14:paraId="3EF5BDCE" w14:textId="77777777" w:rsidR="009A558F" w:rsidRPr="003E4351" w:rsidRDefault="009A558F" w:rsidP="009A558F">
            <w:pPr>
              <w:pStyle w:val="TableData"/>
              <w:jc w:val="center"/>
            </w:pPr>
            <w:r w:rsidRPr="003E4351">
              <w:t>0.7%</w:t>
            </w:r>
          </w:p>
        </w:tc>
        <w:tc>
          <w:tcPr>
            <w:tcW w:w="2128" w:type="dxa"/>
            <w:noWrap/>
            <w:hideMark/>
          </w:tcPr>
          <w:p w14:paraId="747F6E1C" w14:textId="77777777" w:rsidR="009A558F" w:rsidRPr="003E4351" w:rsidRDefault="009A558F" w:rsidP="009A558F">
            <w:pPr>
              <w:pStyle w:val="TableData"/>
              <w:jc w:val="center"/>
            </w:pPr>
            <w:r w:rsidRPr="003E4351">
              <w:t>1.4%</w:t>
            </w:r>
          </w:p>
        </w:tc>
      </w:tr>
      <w:tr w:rsidR="009A558F" w:rsidRPr="003E4351" w14:paraId="75F5BBC7" w14:textId="77777777" w:rsidTr="009A558F">
        <w:tc>
          <w:tcPr>
            <w:tcW w:w="3416" w:type="dxa"/>
            <w:noWrap/>
            <w:hideMark/>
          </w:tcPr>
          <w:p w14:paraId="1BB0A08F" w14:textId="77777777" w:rsidR="009A558F" w:rsidRPr="003E4351" w:rsidRDefault="009A558F" w:rsidP="009A558F">
            <w:pPr>
              <w:pStyle w:val="TableData"/>
            </w:pPr>
            <w:r w:rsidRPr="003E4351">
              <w:t>Net foreign assets (% GDP)**</w:t>
            </w:r>
          </w:p>
        </w:tc>
        <w:tc>
          <w:tcPr>
            <w:tcW w:w="976" w:type="dxa"/>
            <w:noWrap/>
            <w:hideMark/>
          </w:tcPr>
          <w:p w14:paraId="620C4DA3" w14:textId="77777777" w:rsidR="009A558F" w:rsidRPr="003E4351" w:rsidRDefault="009A558F" w:rsidP="009A558F">
            <w:pPr>
              <w:pStyle w:val="TableData"/>
              <w:jc w:val="center"/>
            </w:pPr>
            <w:r w:rsidRPr="003E4351">
              <w:t>-13%</w:t>
            </w:r>
          </w:p>
        </w:tc>
        <w:tc>
          <w:tcPr>
            <w:tcW w:w="2128" w:type="dxa"/>
            <w:noWrap/>
            <w:hideMark/>
          </w:tcPr>
          <w:p w14:paraId="0D0B4F31" w14:textId="77777777" w:rsidR="009A558F" w:rsidRPr="003E4351" w:rsidRDefault="009A558F" w:rsidP="009A558F">
            <w:pPr>
              <w:pStyle w:val="TableData"/>
              <w:jc w:val="center"/>
            </w:pPr>
            <w:r w:rsidRPr="003E4351">
              <w:t>12%</w:t>
            </w:r>
          </w:p>
        </w:tc>
        <w:tc>
          <w:tcPr>
            <w:tcW w:w="2128" w:type="dxa"/>
            <w:noWrap/>
            <w:hideMark/>
          </w:tcPr>
          <w:p w14:paraId="05E9D0A3" w14:textId="77777777" w:rsidR="009A558F" w:rsidRPr="003E4351" w:rsidRDefault="009A558F" w:rsidP="009A558F">
            <w:pPr>
              <w:pStyle w:val="TableData"/>
              <w:jc w:val="center"/>
            </w:pPr>
            <w:r w:rsidRPr="003E4351">
              <w:t>40%</w:t>
            </w:r>
          </w:p>
        </w:tc>
      </w:tr>
      <w:tr w:rsidR="009A558F" w:rsidRPr="003E4351" w14:paraId="58DE3D77" w14:textId="77777777" w:rsidTr="009A558F">
        <w:tc>
          <w:tcPr>
            <w:tcW w:w="3416" w:type="dxa"/>
            <w:noWrap/>
            <w:hideMark/>
          </w:tcPr>
          <w:p w14:paraId="6F31B4D4" w14:textId="77777777" w:rsidR="009A558F" w:rsidRPr="003E4351" w:rsidRDefault="009A558F" w:rsidP="009A558F">
            <w:pPr>
              <w:pStyle w:val="TableData"/>
            </w:pPr>
            <w:r w:rsidRPr="003E4351">
              <w:t>Fertility rate (children / woman)</w:t>
            </w:r>
          </w:p>
        </w:tc>
        <w:tc>
          <w:tcPr>
            <w:tcW w:w="976" w:type="dxa"/>
            <w:noWrap/>
            <w:hideMark/>
          </w:tcPr>
          <w:p w14:paraId="60F32CD0" w14:textId="77777777" w:rsidR="009A558F" w:rsidRPr="003E4351" w:rsidRDefault="009A558F" w:rsidP="009A558F">
            <w:pPr>
              <w:pStyle w:val="TableData"/>
              <w:jc w:val="center"/>
            </w:pPr>
            <w:r w:rsidRPr="003E4351">
              <w:t>1.6</w:t>
            </w:r>
          </w:p>
        </w:tc>
        <w:tc>
          <w:tcPr>
            <w:tcW w:w="2128" w:type="dxa"/>
            <w:noWrap/>
            <w:hideMark/>
          </w:tcPr>
          <w:p w14:paraId="6C0B14E1" w14:textId="77777777" w:rsidR="009A558F" w:rsidRPr="003E4351" w:rsidRDefault="009A558F" w:rsidP="009A558F">
            <w:pPr>
              <w:pStyle w:val="TableData"/>
              <w:jc w:val="center"/>
            </w:pPr>
            <w:r w:rsidRPr="003E4351">
              <w:t>2.1</w:t>
            </w:r>
          </w:p>
        </w:tc>
        <w:tc>
          <w:tcPr>
            <w:tcW w:w="2128" w:type="dxa"/>
            <w:noWrap/>
            <w:hideMark/>
          </w:tcPr>
          <w:p w14:paraId="002CFC78" w14:textId="77777777" w:rsidR="009A558F" w:rsidRPr="003E4351" w:rsidRDefault="009A558F" w:rsidP="009A558F">
            <w:pPr>
              <w:pStyle w:val="TableData"/>
              <w:jc w:val="center"/>
            </w:pPr>
            <w:r w:rsidRPr="003E4351">
              <w:t>2.5</w:t>
            </w:r>
          </w:p>
        </w:tc>
      </w:tr>
    </w:tbl>
    <w:p w14:paraId="79EE1BA9" w14:textId="6038BCEB" w:rsidR="00E33F9D" w:rsidRPr="003E4351" w:rsidRDefault="009A558F" w:rsidP="00177B55">
      <w:pPr>
        <w:pStyle w:val="ExhibitSource"/>
      </w:pPr>
      <w:r w:rsidRPr="003E4351">
        <w:t>Source: Oxford Economics. c.p. = ceteris paribus. *Excl. pension claims. **Smoothed with HP-filter or moving average.</w:t>
      </w:r>
    </w:p>
    <w:p w14:paraId="6267C556" w14:textId="59C0A26F" w:rsidR="006F3BAA" w:rsidRPr="003E4351" w:rsidRDefault="006F3BAA" w:rsidP="00177B55">
      <w:pPr>
        <w:pStyle w:val="Heading3"/>
      </w:pPr>
      <w:r w:rsidRPr="003E4351">
        <w:t xml:space="preserve">Our scenario analysis </w:t>
      </w:r>
      <w:r w:rsidR="00B02AA3" w:rsidRPr="003E4351">
        <w:t>suggests the real neutral rate is likely to remain low</w:t>
      </w:r>
    </w:p>
    <w:p w14:paraId="19B37589" w14:textId="36AFA5C7" w:rsidR="00BA5672" w:rsidRPr="003E4351" w:rsidRDefault="00BA5672" w:rsidP="00224BB2">
      <w:r w:rsidRPr="003E4351">
        <w:t xml:space="preserve">Our estimate of the </w:t>
      </w:r>
      <w:r w:rsidR="00EA5051" w:rsidRPr="003E4351">
        <w:t xml:space="preserve">UK </w:t>
      </w:r>
      <w:r w:rsidRPr="003E4351">
        <w:t xml:space="preserve">neutral rate is below </w:t>
      </w:r>
      <w:r w:rsidR="00596C25" w:rsidRPr="003E4351">
        <w:t xml:space="preserve">those </w:t>
      </w:r>
      <w:r w:rsidR="007915EE" w:rsidRPr="003E4351">
        <w:t>from other organ</w:t>
      </w:r>
      <w:r w:rsidR="00A64B99" w:rsidRPr="003E4351">
        <w:t>isations</w:t>
      </w:r>
      <w:r w:rsidR="00CE32A2" w:rsidRPr="003E4351">
        <w:t xml:space="preserve">, such as </w:t>
      </w:r>
      <w:r w:rsidR="004A522B" w:rsidRPr="003E4351">
        <w:t xml:space="preserve">the </w:t>
      </w:r>
      <w:hyperlink r:id="rId32" w:history="1">
        <w:r w:rsidR="004A522B" w:rsidRPr="003E4351">
          <w:rPr>
            <w:rStyle w:val="Hyperlink"/>
          </w:rPr>
          <w:t>BoE's Market Participants' Survey</w:t>
        </w:r>
      </w:hyperlink>
      <w:r w:rsidR="004A522B" w:rsidRPr="003E4351">
        <w:t xml:space="preserve"> and the </w:t>
      </w:r>
      <w:hyperlink r:id="rId33" w:history="1">
        <w:r w:rsidR="004A522B" w:rsidRPr="003E4351">
          <w:rPr>
            <w:rStyle w:val="Hyperlink"/>
          </w:rPr>
          <w:t>IMF</w:t>
        </w:r>
      </w:hyperlink>
      <w:r w:rsidR="00596C25" w:rsidRPr="003E4351">
        <w:t xml:space="preserve">. </w:t>
      </w:r>
      <w:r w:rsidR="008B5126" w:rsidRPr="003E4351">
        <w:t xml:space="preserve">Therefore, we have designed a series of upside scenarios </w:t>
      </w:r>
      <w:r w:rsidR="00A64B99" w:rsidRPr="003E4351">
        <w:t xml:space="preserve">to see </w:t>
      </w:r>
      <w:r w:rsidR="00011D78" w:rsidRPr="003E4351">
        <w:t xml:space="preserve">how </w:t>
      </w:r>
      <w:r w:rsidR="004947A2" w:rsidRPr="003E4351">
        <w:t xml:space="preserve">our estimate of the neutral rate would evolve under </w:t>
      </w:r>
      <w:r w:rsidR="006C1BCE" w:rsidRPr="003E4351">
        <w:t xml:space="preserve">different </w:t>
      </w:r>
      <w:r w:rsidR="00011D78" w:rsidRPr="003E4351">
        <w:t xml:space="preserve">assumptions. Here, </w:t>
      </w:r>
      <w:r w:rsidR="00202B3C" w:rsidRPr="003E4351">
        <w:t xml:space="preserve">we change the future path of one secular force, while the paths for the remaining forces remain as in the baseline. </w:t>
      </w:r>
      <w:r w:rsidR="00B33751" w:rsidRPr="003E4351">
        <w:t>This section summarises our findings</w:t>
      </w:r>
      <w:r w:rsidR="00AB4174">
        <w:t xml:space="preserve"> –</w:t>
      </w:r>
      <w:r w:rsidR="00AB4174" w:rsidRPr="003E4351">
        <w:t xml:space="preserve"> </w:t>
      </w:r>
      <w:r w:rsidR="00DA0B57" w:rsidRPr="003E4351">
        <w:t>further</w:t>
      </w:r>
      <w:r w:rsidR="00202B3C" w:rsidRPr="003E4351">
        <w:t xml:space="preserve"> details </w:t>
      </w:r>
      <w:r w:rsidR="00DA2452" w:rsidRPr="003E4351">
        <w:t xml:space="preserve">can be found </w:t>
      </w:r>
      <w:r w:rsidR="00202B3C" w:rsidRPr="003E4351">
        <w:t xml:space="preserve">in our </w:t>
      </w:r>
      <w:r w:rsidR="00202B3C" w:rsidRPr="003E4351">
        <w:rPr>
          <w:b/>
          <w:color w:val="003469"/>
        </w:rPr>
        <w:t>online appendix</w:t>
      </w:r>
      <w:r w:rsidR="00202B3C" w:rsidRPr="003E4351">
        <w:t>.</w:t>
      </w:r>
    </w:p>
    <w:p w14:paraId="49574A6B" w14:textId="0500D349" w:rsidR="00424979" w:rsidRPr="003E4351" w:rsidRDefault="00D72E9F" w:rsidP="00224BB2">
      <w:r w:rsidRPr="003E4351">
        <w:t xml:space="preserve">In our </w:t>
      </w:r>
      <w:r w:rsidR="00AB4174">
        <w:t>highest</w:t>
      </w:r>
      <w:r w:rsidR="00AB4174" w:rsidRPr="003E4351">
        <w:t xml:space="preserve"> </w:t>
      </w:r>
      <w:r w:rsidR="00B14CA7" w:rsidRPr="003E4351">
        <w:t>upside scenario</w:t>
      </w:r>
      <w:r w:rsidRPr="003E4351">
        <w:t xml:space="preserve">, </w:t>
      </w:r>
      <w:r w:rsidR="00272DEC" w:rsidRPr="003E4351">
        <w:t xml:space="preserve">we </w:t>
      </w:r>
      <w:r w:rsidR="008D38A8" w:rsidRPr="003E4351">
        <w:t xml:space="preserve">replaced our baseline government debt </w:t>
      </w:r>
      <w:r w:rsidR="007263D3" w:rsidRPr="003E4351">
        <w:t>assumption with</w:t>
      </w:r>
      <w:r w:rsidR="00D949E5" w:rsidRPr="003E4351">
        <w:t xml:space="preserve"> the OBR's </w:t>
      </w:r>
      <w:r w:rsidR="00BE12BE" w:rsidRPr="003E4351">
        <w:t>scenario under additional departmental spending pressures</w:t>
      </w:r>
      <w:r w:rsidR="00095DA3" w:rsidRPr="003E4351">
        <w:t>, as laid out in its</w:t>
      </w:r>
      <w:r w:rsidR="00EC1666" w:rsidRPr="003E4351">
        <w:t xml:space="preserve"> </w:t>
      </w:r>
      <w:hyperlink r:id="rId34" w:history="1">
        <w:r w:rsidR="00EC1666" w:rsidRPr="003E4351">
          <w:rPr>
            <w:rStyle w:val="Hyperlink"/>
          </w:rPr>
          <w:t>2023 Fiscal Risks and Sustainability publication</w:t>
        </w:r>
      </w:hyperlink>
      <w:r w:rsidR="00EC1666" w:rsidRPr="003E4351">
        <w:t xml:space="preserve">. Here, </w:t>
      </w:r>
      <w:r w:rsidR="007E0F68" w:rsidRPr="003E4351">
        <w:t>the OBR assumes the departmental expenditure limit rises by around 1.5% of GDP from 2029</w:t>
      </w:r>
      <w:r w:rsidR="00EF48D6" w:rsidRPr="003E4351">
        <w:t xml:space="preserve"> with no corresponding tax increases, meaning </w:t>
      </w:r>
      <w:r w:rsidR="001A5E7C" w:rsidRPr="003E4351">
        <w:t>there is a permanently lower primary balance</w:t>
      </w:r>
      <w:r w:rsidR="0077552A" w:rsidRPr="003E4351">
        <w:t xml:space="preserve">. </w:t>
      </w:r>
      <w:r w:rsidR="00B95292" w:rsidRPr="003E4351">
        <w:t xml:space="preserve">This </w:t>
      </w:r>
      <w:r w:rsidR="00AB4174">
        <w:t xml:space="preserve">increases </w:t>
      </w:r>
      <w:r w:rsidR="00670DF6" w:rsidRPr="003E4351">
        <w:t>outstanding government</w:t>
      </w:r>
      <w:r w:rsidR="00C900C4" w:rsidRPr="003E4351">
        <w:t xml:space="preserve"> debt</w:t>
      </w:r>
      <w:r w:rsidR="00670DF6" w:rsidRPr="003E4351">
        <w:t xml:space="preserve"> to around 160% of GDP by 2050, </w:t>
      </w:r>
      <w:r w:rsidR="00424979" w:rsidRPr="003E4351">
        <w:t>nearly double what we currently forecast in our baseline.</w:t>
      </w:r>
      <w:r w:rsidR="008E77C8" w:rsidRPr="003E4351">
        <w:t xml:space="preserve"> In this scenario, the real neutral rate would rise to 1.6% by 2050 (</w:t>
      </w:r>
      <w:r w:rsidR="00F26CC7" w:rsidRPr="00F06300">
        <w:rPr>
          <w:b/>
          <w:color w:val="003469"/>
        </w:rPr>
        <w:fldChar w:fldCharType="begin"/>
      </w:r>
      <w:r w:rsidR="00F06300" w:rsidRPr="00F06300">
        <w:rPr>
          <w:b/>
          <w:color w:val="003469"/>
        </w:rPr>
        <w:instrText xml:space="preserve">REF _Ref166771602 \h \* Charformat </w:instrText>
      </w:r>
      <w:r w:rsidR="00F06300" w:rsidRPr="00F06300">
        <w:rPr>
          <w:b/>
          <w:color w:val="003469"/>
        </w:rPr>
      </w:r>
      <w:r w:rsidR="00F26CC7" w:rsidRPr="00F06300">
        <w:rPr>
          <w:b/>
          <w:color w:val="003469"/>
        </w:rPr>
        <w:fldChar w:fldCharType="separate"/>
      </w:r>
      <w:r w:rsidR="00F06300" w:rsidRPr="00F06300">
        <w:rPr>
          <w:b/>
          <w:color w:val="003469"/>
        </w:rPr>
        <w:t>Chart 4</w:t>
      </w:r>
      <w:r w:rsidR="00F26CC7" w:rsidRPr="00F06300">
        <w:rPr>
          <w:b/>
          <w:color w:val="003469"/>
        </w:rPr>
        <w:fldChar w:fldCharType="end"/>
      </w:r>
      <w:r w:rsidR="008E77C8" w:rsidRPr="003E4351">
        <w:t>), substantially higher than the baseline</w:t>
      </w:r>
      <w:r w:rsidR="00AB4174">
        <w:t>,</w:t>
      </w:r>
      <w:r w:rsidR="008E77C8" w:rsidRPr="003E4351">
        <w:t xml:space="preserve"> but still below levels in the early</w:t>
      </w:r>
      <w:r w:rsidR="00AB4174">
        <w:t xml:space="preserve"> </w:t>
      </w:r>
      <w:r w:rsidR="008E77C8" w:rsidRPr="003E4351">
        <w:t>2000s.</w:t>
      </w:r>
    </w:p>
    <w:p w14:paraId="75960892" w14:textId="028A9140" w:rsidR="002C11A2" w:rsidRPr="003E4351" w:rsidRDefault="002C11A2" w:rsidP="00177B55">
      <w:pPr>
        <w:pStyle w:val="ExhibitTitle"/>
      </w:pPr>
      <w:bookmarkStart w:id="7" w:name="_Ref166771602"/>
      <w:r w:rsidRPr="003E4351">
        <w:lastRenderedPageBreak/>
        <w:t xml:space="preserve">Chart </w:t>
      </w:r>
      <w:r w:rsidRPr="003E4351">
        <w:fldChar w:fldCharType="begin"/>
      </w:r>
      <w:r w:rsidR="002B4871" w:rsidRPr="003E4351">
        <w:instrText>SEQ CHART</w:instrText>
      </w:r>
      <w:r w:rsidRPr="003E4351">
        <w:fldChar w:fldCharType="separate"/>
      </w:r>
      <w:r w:rsidR="006F1CA8" w:rsidRPr="003E4351">
        <w:t>4</w:t>
      </w:r>
      <w:r w:rsidRPr="003E4351">
        <w:fldChar w:fldCharType="end"/>
      </w:r>
      <w:bookmarkEnd w:id="7"/>
      <w:r w:rsidRPr="003E4351">
        <w:t xml:space="preserve">: </w:t>
      </w:r>
      <w:r w:rsidR="00033CE2" w:rsidRPr="003E4351">
        <w:t xml:space="preserve">Alternative scenarios point to a relatively high bar </w:t>
      </w:r>
      <w:r w:rsidR="00A52C12" w:rsidRPr="003E4351">
        <w:t>for a stronger real neutral rate</w:t>
      </w:r>
      <w:r w:rsidR="00033CE2" w:rsidRPr="003E4351">
        <w:t xml:space="preserve"> </w:t>
      </w:r>
    </w:p>
    <w:p w14:paraId="4582C388" w14:textId="00AC3FA1" w:rsidR="002B4871" w:rsidRPr="003E4351" w:rsidRDefault="002B4871" w:rsidP="00177B55">
      <w:pPr>
        <w:spacing w:after="0"/>
      </w:pPr>
      <w:r w:rsidRPr="003E4351">
        <w:rPr>
          <w:noProof/>
        </w:rPr>
        <w:drawing>
          <wp:inline distT="0" distB="0" distL="0" distR="0" wp14:anchorId="6B11C067" wp14:editId="51703365">
            <wp:extent cx="3250933" cy="2540323"/>
            <wp:effectExtent l="0" t="0" r="6985"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rcRect b="2287"/>
                    <a:stretch>
                      <a:fillRect/>
                    </a:stretch>
                  </pic:blipFill>
                  <pic:spPr>
                    <a:xfrm>
                      <a:off x="0" y="0"/>
                      <a:ext cx="3250933" cy="2540323"/>
                    </a:xfrm>
                    <a:prstGeom prst="rect">
                      <a:avLst/>
                    </a:prstGeom>
                  </pic:spPr>
                </pic:pic>
              </a:graphicData>
            </a:graphic>
          </wp:inline>
        </w:drawing>
      </w:r>
    </w:p>
    <w:p w14:paraId="5C5FCB52" w14:textId="17E03D0D" w:rsidR="002C11A2" w:rsidRPr="003E4351" w:rsidRDefault="002B4871" w:rsidP="00177B55">
      <w:pPr>
        <w:pStyle w:val="ExhibitSource"/>
      </w:pPr>
      <w:r w:rsidRPr="003E4351">
        <w:t>Source: Oxford Economics</w:t>
      </w:r>
    </w:p>
    <w:p w14:paraId="7075025B" w14:textId="5584302B" w:rsidR="00B431F6" w:rsidRPr="003E4351" w:rsidRDefault="00842479" w:rsidP="00224BB2">
      <w:r w:rsidRPr="003E4351">
        <w:t xml:space="preserve">Our remaining three </w:t>
      </w:r>
      <w:r w:rsidR="00573E8C" w:rsidRPr="003E4351">
        <w:t xml:space="preserve">scenarios </w:t>
      </w:r>
      <w:r w:rsidR="00864BDE" w:rsidRPr="003E4351">
        <w:t xml:space="preserve">involve </w:t>
      </w:r>
      <w:r w:rsidR="002D1AD5" w:rsidRPr="003E4351">
        <w:t xml:space="preserve">less extreme </w:t>
      </w:r>
      <w:r w:rsidR="00864BDE" w:rsidRPr="003E4351">
        <w:t>assumptions</w:t>
      </w:r>
      <w:r w:rsidR="00340C4B" w:rsidRPr="003E4351">
        <w:t xml:space="preserve"> and show </w:t>
      </w:r>
      <w:r w:rsidR="00290F83" w:rsidRPr="003E4351">
        <w:t>limited increases in the real neutral rate.</w:t>
      </w:r>
      <w:r w:rsidR="00E12FB7" w:rsidRPr="003E4351">
        <w:t xml:space="preserve"> </w:t>
      </w:r>
      <w:r w:rsidR="00F67B61" w:rsidRPr="003E4351">
        <w:t xml:space="preserve">Our </w:t>
      </w:r>
      <w:hyperlink r:id="rId37" w:history="1">
        <w:r w:rsidR="00F67B61" w:rsidRPr="003E4351">
          <w:rPr>
            <w:rStyle w:val="Hyperlink"/>
          </w:rPr>
          <w:t>base</w:t>
        </w:r>
        <w:r w:rsidR="00054AF7" w:rsidRPr="003E4351">
          <w:rPr>
            <w:rStyle w:val="Hyperlink"/>
          </w:rPr>
          <w:t xml:space="preserve">line uses the ONS' low </w:t>
        </w:r>
        <w:r w:rsidR="001C5B16" w:rsidRPr="003E4351">
          <w:rPr>
            <w:rStyle w:val="Hyperlink"/>
          </w:rPr>
          <w:t>migration variant</w:t>
        </w:r>
      </w:hyperlink>
      <w:r w:rsidR="00AB4174">
        <w:t xml:space="preserve">, </w:t>
      </w:r>
      <w:r w:rsidR="001C5B16" w:rsidRPr="003E4351">
        <w:t xml:space="preserve">which assumes net inflows of 253,000 people </w:t>
      </w:r>
      <w:r w:rsidR="0070306D" w:rsidRPr="003E4351">
        <w:t xml:space="preserve">a year over the medium-term. </w:t>
      </w:r>
      <w:r w:rsidR="005C1F32" w:rsidRPr="003E4351">
        <w:t xml:space="preserve">Replacing this with </w:t>
      </w:r>
      <w:r w:rsidR="00D922F5" w:rsidRPr="003E4351">
        <w:t>the ONS' high migration variant</w:t>
      </w:r>
      <w:r w:rsidR="00D444E0" w:rsidRPr="003E4351">
        <w:t>,</w:t>
      </w:r>
      <w:r w:rsidR="00D922F5" w:rsidRPr="003E4351">
        <w:t xml:space="preserve"> </w:t>
      </w:r>
      <w:r w:rsidR="0083355D" w:rsidRPr="003E4351">
        <w:t xml:space="preserve">which </w:t>
      </w:r>
      <w:r w:rsidR="00AB4174">
        <w:t>anticipates</w:t>
      </w:r>
      <w:r w:rsidR="00AB4174" w:rsidRPr="003E4351">
        <w:t xml:space="preserve"> </w:t>
      </w:r>
      <w:r w:rsidR="0083355D" w:rsidRPr="003E4351">
        <w:t>inflows settl</w:t>
      </w:r>
      <w:r w:rsidR="00AB4174">
        <w:t>ing</w:t>
      </w:r>
      <w:r w:rsidR="0083355D" w:rsidRPr="003E4351">
        <w:t xml:space="preserve"> at </w:t>
      </w:r>
      <w:r w:rsidR="00D444E0" w:rsidRPr="003E4351">
        <w:t xml:space="preserve">379,000 people a year, </w:t>
      </w:r>
      <w:r w:rsidR="00763371" w:rsidRPr="003E4351">
        <w:t xml:space="preserve">has </w:t>
      </w:r>
      <w:r w:rsidR="009D13C2" w:rsidRPr="003E4351">
        <w:t>a small</w:t>
      </w:r>
      <w:r w:rsidR="00763371" w:rsidRPr="003E4351">
        <w:t xml:space="preserve"> upward effect on the neutral rate</w:t>
      </w:r>
      <w:r w:rsidR="00B431F6" w:rsidRPr="003E4351">
        <w:t>.</w:t>
      </w:r>
      <w:r w:rsidR="00C4082F" w:rsidRPr="003E4351">
        <w:t xml:space="preserve"> Since net migration is a flow variable, the impact gradually builds over time</w:t>
      </w:r>
      <w:r w:rsidR="004B7A81" w:rsidRPr="003E4351">
        <w:t>.</w:t>
      </w:r>
    </w:p>
    <w:p w14:paraId="61E72AF6" w14:textId="519AA654" w:rsidR="00726D7C" w:rsidRPr="003E4351" w:rsidRDefault="00BD270B" w:rsidP="00224BB2">
      <w:r w:rsidRPr="003E4351">
        <w:t xml:space="preserve">Our </w:t>
      </w:r>
      <w:r w:rsidR="00BE6C9F" w:rsidRPr="003E4351">
        <w:t>next</w:t>
      </w:r>
      <w:r w:rsidRPr="003E4351">
        <w:t xml:space="preserve"> scenario</w:t>
      </w:r>
      <w:r w:rsidR="00210EA3" w:rsidRPr="003E4351">
        <w:t xml:space="preserve"> </w:t>
      </w:r>
      <w:r w:rsidR="00D077D6" w:rsidRPr="003E4351">
        <w:t>assumes</w:t>
      </w:r>
      <w:r w:rsidR="00210EA3" w:rsidRPr="003E4351">
        <w:t xml:space="preserve"> trend TFP growth </w:t>
      </w:r>
      <w:r w:rsidR="00E931FC" w:rsidRPr="003E4351">
        <w:t xml:space="preserve">returns to </w:t>
      </w:r>
      <w:r w:rsidR="008A212F" w:rsidRPr="003E4351">
        <w:t>1% y/y</w:t>
      </w:r>
      <w:r w:rsidR="00E91339" w:rsidRPr="003E4351">
        <w:t xml:space="preserve"> in the medium-term</w:t>
      </w:r>
      <w:r w:rsidR="000A2B34" w:rsidRPr="003E4351">
        <w:t>,</w:t>
      </w:r>
      <w:r w:rsidR="009B0A8B" w:rsidRPr="003E4351">
        <w:t xml:space="preserve"> </w:t>
      </w:r>
      <w:r w:rsidR="00AC6B44" w:rsidRPr="003E4351">
        <w:t>its</w:t>
      </w:r>
      <w:r w:rsidR="0025114A" w:rsidRPr="003E4351">
        <w:t xml:space="preserve"> average growth</w:t>
      </w:r>
      <w:r w:rsidR="00E91339" w:rsidRPr="003E4351">
        <w:t xml:space="preserve"> rate</w:t>
      </w:r>
      <w:r w:rsidR="0025114A" w:rsidRPr="003E4351">
        <w:t xml:space="preserve"> </w:t>
      </w:r>
      <w:r w:rsidR="00442124" w:rsidRPr="003E4351">
        <w:t>in the 1980-2000 period</w:t>
      </w:r>
      <w:r w:rsidR="00E35702" w:rsidRPr="003E4351">
        <w:t xml:space="preserve">, instead of our baseline forecast of roughly 0.5% y/y. </w:t>
      </w:r>
      <w:r w:rsidR="008960BA" w:rsidRPr="003E4351">
        <w:t>Our findings suggest t</w:t>
      </w:r>
      <w:r w:rsidR="00332C49" w:rsidRPr="003E4351">
        <w:t xml:space="preserve">his would only </w:t>
      </w:r>
      <w:r w:rsidR="00AC6B44" w:rsidRPr="003E4351">
        <w:t xml:space="preserve">raise the real neutral rate by </w:t>
      </w:r>
      <w:r w:rsidR="00D077D6" w:rsidRPr="003E4351">
        <w:t>0.6ppts by 2050</w:t>
      </w:r>
      <w:r w:rsidR="00332C49" w:rsidRPr="003E4351">
        <w:t>.</w:t>
      </w:r>
    </w:p>
    <w:p w14:paraId="7AEFCF32" w14:textId="70518954" w:rsidR="001B3E3C" w:rsidRPr="003E4351" w:rsidRDefault="001B3E3C" w:rsidP="00224BB2">
      <w:r w:rsidRPr="003E4351">
        <w:t>In our higher retirement age scenario, we assume an additional single-year increase to the state pension age between 2036 and 2038</w:t>
      </w:r>
      <w:r w:rsidR="00AB4174">
        <w:t>.</w:t>
      </w:r>
      <w:r w:rsidRPr="003E4351">
        <w:t xml:space="preserve"> </w:t>
      </w:r>
      <w:r w:rsidR="00AB4174">
        <w:t xml:space="preserve">This is </w:t>
      </w:r>
      <w:r w:rsidRPr="003E4351">
        <w:t xml:space="preserve">on top of the two single-year increases to the statutory state pension age that have been legislated for and that are included in our baseline. Our results suggest this would raise the real neutral rate slightly to -0.6% by 2050 from -1.1% in our baseline. The economic intuition behind this is that a higher retirement age offsets the effect of greater longevity explained earlier. </w:t>
      </w:r>
    </w:p>
    <w:p w14:paraId="65B83E4D" w14:textId="1EBCBDF3" w:rsidR="00910152" w:rsidRPr="003E4351" w:rsidRDefault="008C5BC4" w:rsidP="00177B55">
      <w:pPr>
        <w:pStyle w:val="Heading3"/>
      </w:pPr>
      <w:r w:rsidRPr="003E4351">
        <w:t>Estimates of the</w:t>
      </w:r>
      <w:r w:rsidR="00FB7AA1" w:rsidRPr="003E4351">
        <w:t xml:space="preserve"> </w:t>
      </w:r>
      <w:r w:rsidR="001E5844" w:rsidRPr="003E4351">
        <w:t>neutral rate</w:t>
      </w:r>
      <w:r w:rsidRPr="003E4351">
        <w:t xml:space="preserve"> are highly uncertain</w:t>
      </w:r>
      <w:r w:rsidR="001E5844" w:rsidRPr="003E4351">
        <w:t xml:space="preserve"> </w:t>
      </w:r>
    </w:p>
    <w:p w14:paraId="4F73D176" w14:textId="09830886" w:rsidR="00AE7EF7" w:rsidRPr="003E4351" w:rsidRDefault="007662E6" w:rsidP="0072081E">
      <w:r w:rsidRPr="003E4351">
        <w:t xml:space="preserve">Neutral rate estimates are always highly uncertain. We think this is especially true for countries like the UK </w:t>
      </w:r>
      <w:r w:rsidR="00AB4174">
        <w:t>that</w:t>
      </w:r>
      <w:r w:rsidR="00AB4174" w:rsidRPr="003E4351">
        <w:t xml:space="preserve"> </w:t>
      </w:r>
      <w:r w:rsidRPr="003E4351">
        <w:t xml:space="preserve">are smaller than the US or </w:t>
      </w:r>
      <w:r w:rsidR="00AB4174">
        <w:t>eurozone</w:t>
      </w:r>
      <w:r w:rsidR="00AB4174" w:rsidRPr="003E4351">
        <w:t xml:space="preserve"> </w:t>
      </w:r>
      <w:r w:rsidRPr="003E4351">
        <w:t>and are relatively sensitive to international developments</w:t>
      </w:r>
      <w:r w:rsidR="003107B4" w:rsidRPr="003E4351">
        <w:t>.</w:t>
      </w:r>
      <w:r w:rsidR="002F577F" w:rsidRPr="003E4351">
        <w:t xml:space="preserve"> </w:t>
      </w:r>
      <w:r w:rsidR="00D974A0" w:rsidRPr="003E4351">
        <w:t xml:space="preserve">Moreover, the UK has undergone significant </w:t>
      </w:r>
      <w:r w:rsidR="00D02E22" w:rsidRPr="003E4351">
        <w:t>structural change in the past 50 years</w:t>
      </w:r>
      <w:r w:rsidR="007261BD" w:rsidRPr="003E4351">
        <w:t xml:space="preserve">, </w:t>
      </w:r>
      <w:r w:rsidR="00FB1380" w:rsidRPr="003E4351">
        <w:t>some of which can be difficult to account for.</w:t>
      </w:r>
      <w:r w:rsidR="00272EEF" w:rsidRPr="003E4351">
        <w:t xml:space="preserve"> </w:t>
      </w:r>
      <w:r w:rsidR="00AE7EF7" w:rsidRPr="003E4351">
        <w:t>That said, projections for the most important secular force</w:t>
      </w:r>
      <w:r w:rsidR="00196463">
        <w:t xml:space="preserve"> –</w:t>
      </w:r>
      <w:r w:rsidR="00AE7EF7" w:rsidRPr="003E4351">
        <w:t xml:space="preserve"> demographic change</w:t>
      </w:r>
      <w:r w:rsidR="00196463">
        <w:t xml:space="preserve"> –</w:t>
      </w:r>
      <w:r w:rsidR="00AE7EF7" w:rsidRPr="003E4351">
        <w:t xml:space="preserve"> are relatively reliable even over longer periods</w:t>
      </w:r>
      <w:r w:rsidR="00196463">
        <w:t>,</w:t>
      </w:r>
      <w:r w:rsidR="00AE7EF7" w:rsidRPr="003E4351">
        <w:t xml:space="preserve"> as those born in the recent past determine the labour force and number of retirees far into the future.</w:t>
      </w:r>
    </w:p>
    <w:p w14:paraId="3950655D" w14:textId="277F6D22" w:rsidR="00764D99" w:rsidRPr="003E4351" w:rsidRDefault="00764D99" w:rsidP="00764D99">
      <w:pPr>
        <w:pStyle w:val="Heading4"/>
      </w:pPr>
      <w:r w:rsidRPr="003E4351">
        <w:t>References</w:t>
      </w:r>
    </w:p>
    <w:p w14:paraId="7E6C579F" w14:textId="51801299" w:rsidR="00764D99" w:rsidRPr="003E4351" w:rsidRDefault="00764D99" w:rsidP="00764D99">
      <w:r w:rsidRPr="003E4351">
        <w:t xml:space="preserve">Eggertsson, Gauti B., Neil R. Mehrotra, and Jacob A. Robbins. 2019. ‘A Model of Secular Stagnation: Theory and Quantitative Evaluation’. American Economic Journal: Macroeconomics 11 (1): 1–48. </w:t>
      </w:r>
      <w:hyperlink r:id="rId38" w:history="1">
        <w:r w:rsidRPr="003E4351">
          <w:rPr>
            <w:rStyle w:val="Hyperlink"/>
          </w:rPr>
          <w:t>https://www.aeaweb.org/articles?id=10.1257/mac.20170367</w:t>
        </w:r>
      </w:hyperlink>
      <w:r w:rsidRPr="003E4351">
        <w:t>.</w:t>
      </w:r>
    </w:p>
    <w:sectPr w:rsidR="00764D99" w:rsidRPr="003E4351" w:rsidSect="00292E9A">
      <w:type w:val="continuous"/>
      <w:pgSz w:w="11906" w:h="16838"/>
      <w:pgMar w:top="1417" w:right="1276" w:bottom="1218" w:left="1134" w:header="198"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87163" w14:textId="77777777" w:rsidR="00E51289" w:rsidRDefault="00E51289" w:rsidP="0001550F">
      <w:pPr>
        <w:spacing w:before="0" w:after="0"/>
      </w:pPr>
      <w:r>
        <w:separator/>
      </w:r>
    </w:p>
  </w:endnote>
  <w:endnote w:type="continuationSeparator" w:id="0">
    <w:p w14:paraId="19885FE4" w14:textId="77777777" w:rsidR="00E51289" w:rsidRDefault="00E51289" w:rsidP="0001550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6A005" w14:textId="172FAD96" w:rsidR="0001550F" w:rsidRPr="00EF471F" w:rsidRDefault="00EF471F" w:rsidP="00EF471F">
    <w:pPr>
      <w:pStyle w:val="RepeatingFooter"/>
      <w:tabs>
        <w:tab w:val="clear" w:pos="4320"/>
        <w:tab w:val="center" w:pos="3685"/>
      </w:tabs>
      <w:rPr>
        <w:lang w:val="de-DE"/>
      </w:rPr>
    </w:pPr>
    <w:r w:rsidRPr="00EF471F">
      <w:rPr>
        <w:lang w:val="de-DE"/>
      </w:rPr>
      <w:t xml:space="preserve">Page </w:t>
    </w:r>
    <w:r>
      <w:fldChar w:fldCharType="begin"/>
    </w:r>
    <w:r w:rsidRPr="00EF471F">
      <w:rPr>
        <w:lang w:val="de-DE"/>
      </w:rPr>
      <w:instrText xml:space="preserve"> PAGE </w:instrText>
    </w:r>
    <w:r>
      <w:fldChar w:fldCharType="separate"/>
    </w:r>
    <w:r w:rsidRPr="00EF471F">
      <w:rPr>
        <w:noProof/>
        <w:lang w:val="de-DE"/>
      </w:rPr>
      <w:t>4</w:t>
    </w:r>
    <w:r>
      <w:fldChar w:fldCharType="end"/>
    </w:r>
    <w:r w:rsidRPr="00EF471F">
      <w:rPr>
        <w:lang w:val="de-DE"/>
      </w:rPr>
      <w:tab/>
    </w:r>
    <w:r w:rsidR="000B384C">
      <w:t>Edward Allenby</w:t>
    </w:r>
    <w:r w:rsidRPr="00EF471F">
      <w:rPr>
        <w:lang w:val="de-DE"/>
      </w:rPr>
      <w:t xml:space="preserve"> - </w:t>
    </w:r>
    <w:r w:rsidR="000B384C">
      <w:t>eallenby</w:t>
    </w:r>
    <w:r w:rsidRPr="00EF471F">
      <w:rPr>
        <w:lang w:val="de-DE"/>
      </w:rP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C3BDF" w14:textId="4D8AB0F1" w:rsidR="0001550F" w:rsidRDefault="0001550F" w:rsidP="0076482C">
    <w:pPr>
      <w:pStyle w:val="Author"/>
    </w:pPr>
    <w:r>
      <w:t>Dr. Daniel Harenberg</w:t>
    </w:r>
    <w:r w:rsidR="00177B55">
      <w:t xml:space="preserve"> - </w:t>
    </w:r>
    <w:r>
      <w:t>Lead Global Economist</w:t>
    </w:r>
    <w:r w:rsidR="00177B55">
      <w:t xml:space="preserve"> - </w:t>
    </w:r>
    <w:r>
      <w:t>dharenberg@oxfordeconomics.com</w:t>
    </w:r>
  </w:p>
  <w:p w14:paraId="4401CDE7" w14:textId="30F4B13D" w:rsidR="00296D13" w:rsidRDefault="00296D13" w:rsidP="0076482C">
    <w:pPr>
      <w:pStyle w:val="Author"/>
    </w:pPr>
    <w:r>
      <w:t>Edward Allenby</w:t>
    </w:r>
    <w:r w:rsidR="00177B55">
      <w:t xml:space="preserve"> - </w:t>
    </w:r>
    <w:r>
      <w:t>UK Economist</w:t>
    </w:r>
    <w:r w:rsidR="00177B55">
      <w:t xml:space="preserve"> - </w:t>
    </w:r>
    <w:r>
      <w:t>eallenby@oxford</w:t>
    </w:r>
    <w:r w:rsidR="001D1E2F">
      <w:t>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A2668" w14:textId="77777777" w:rsidR="00E51289" w:rsidRDefault="00E51289" w:rsidP="0001550F">
      <w:pPr>
        <w:spacing w:before="0" w:after="0"/>
      </w:pPr>
      <w:r>
        <w:separator/>
      </w:r>
    </w:p>
  </w:footnote>
  <w:footnote w:type="continuationSeparator" w:id="0">
    <w:p w14:paraId="394986E0" w14:textId="77777777" w:rsidR="00E51289" w:rsidRDefault="00E51289" w:rsidP="0001550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7C55E" w14:textId="77777777" w:rsidR="0001550F" w:rsidRDefault="0001550F">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23966" w14:textId="02515A83" w:rsidR="0001550F" w:rsidRDefault="0076482C" w:rsidP="0001550F">
    <w:pPr>
      <w:pStyle w:val="Headline"/>
      <w:spacing w:before="120"/>
      <w:ind w:right="-1000"/>
    </w:pPr>
    <w:r w:rsidRPr="0076482C">
      <w:rPr>
        <w:noProof/>
      </w:rPr>
      <w:drawing>
        <wp:anchor distT="0" distB="0" distL="114300" distR="114300" simplePos="0" relativeHeight="251635702" behindDoc="1" locked="1" layoutInCell="1" allowOverlap="1" wp14:anchorId="68AD01EB" wp14:editId="2E5E8BBF">
          <wp:simplePos x="0" y="0"/>
          <wp:positionH relativeFrom="page">
            <wp:posOffset>0</wp:posOffset>
          </wp:positionH>
          <wp:positionV relativeFrom="page">
            <wp:posOffset>0</wp:posOffset>
          </wp:positionV>
          <wp:extent cx="7553325" cy="10658475"/>
          <wp:effectExtent l="0" t="0" r="9525" b="9525"/>
          <wp:wrapNone/>
          <wp:docPr id="8" name="Picture 8"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173BF2">
      <w:t xml:space="preserve">Why the neutral interest rate will </w:t>
    </w:r>
    <w:r w:rsidR="00451B44">
      <w:t>stay</w:t>
    </w:r>
    <w:r w:rsidR="00173BF2">
      <w:t xml:space="preserve"> structurally low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C71C0" w14:textId="106D9CEE" w:rsidR="00EF471F" w:rsidRDefault="0076482C" w:rsidP="0076482C">
    <w:r w:rsidRPr="0076482C">
      <w:rPr>
        <w:noProof/>
      </w:rPr>
      <w:drawing>
        <wp:anchor distT="0" distB="0" distL="114300" distR="114300" simplePos="0" relativeHeight="251636727" behindDoc="1" locked="1" layoutInCell="1" allowOverlap="1" wp14:anchorId="74CF839E" wp14:editId="7B314D6E">
          <wp:simplePos x="0" y="0"/>
          <wp:positionH relativeFrom="page">
            <wp:posOffset>0</wp:posOffset>
          </wp:positionH>
          <wp:positionV relativeFrom="page">
            <wp:posOffset>190500</wp:posOffset>
          </wp:positionV>
          <wp:extent cx="7569200" cy="1503667"/>
          <wp:effectExtent l="0" t="0" r="0" b="1905"/>
          <wp:wrapNone/>
          <wp:docPr id="9" name="Picture 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904126364"/>
      <w:lock w:val="sdtLocked"/>
      <w:placeholder>
        <w:docPart w:val="DefaultPlaceholder_-1854013437"/>
      </w:placeholder>
      <w:date w:fullDate="2024-05-29T00:00:00Z">
        <w:dateFormat w:val="d MMMM yyyy"/>
        <w:lid w:val="en-GB"/>
        <w:storeMappedDataAs w:val="dateTime"/>
        <w:calendar w:val="gregorian"/>
      </w:date>
    </w:sdtPr>
    <w:sdtEndPr/>
    <w:sdtContent>
      <w:p w14:paraId="582A13FA" w14:textId="19A12B37" w:rsidR="0076482C" w:rsidRDefault="00D3479D" w:rsidP="0076482C">
        <w:pPr>
          <w:pStyle w:val="PublishDate"/>
          <w:framePr w:w="2835" w:h="340" w:hRule="exact" w:hSpace="180" w:wrap="around" w:vAnchor="page" w:hAnchor="page" w:x="7801" w:y="601" w:anchorLock="1"/>
        </w:pPr>
        <w:r>
          <w:t>2</w:t>
        </w:r>
        <w:r w:rsidR="00153ADE">
          <w:t>9</w:t>
        </w:r>
        <w:r>
          <w:t xml:space="preserve"> May 2024</w:t>
        </w:r>
      </w:p>
    </w:sdtContent>
  </w:sdt>
  <w:p w14:paraId="0BCBB297" w14:textId="66A8B280" w:rsidR="0076482C" w:rsidRDefault="0076482C" w:rsidP="0076482C">
    <w:pPr>
      <w:pStyle w:val="ProductDescription"/>
      <w:framePr w:w="11339" w:h="1474" w:hRule="exact" w:hSpace="180" w:wrap="around" w:vAnchor="page" w:hAnchor="page" w:x="401" w:y="1141" w:anchorLock="1"/>
      <w:spacing w:after="200"/>
    </w:pPr>
    <w:r>
      <w:t xml:space="preserve">Research Briefing | </w:t>
    </w:r>
    <w:r w:rsidR="00330694">
      <w:t>UK</w:t>
    </w:r>
  </w:p>
  <w:p w14:paraId="6B17F7A8" w14:textId="1B5D791E" w:rsidR="0076482C" w:rsidRDefault="008528D0" w:rsidP="0076482C">
    <w:pPr>
      <w:pStyle w:val="Headline"/>
      <w:framePr w:w="11339" w:h="1474" w:hRule="exact" w:hSpace="180" w:wrap="around" w:vAnchor="page" w:hAnchor="page" w:x="401" w:y="1141" w:anchorLock="1"/>
      <w:spacing w:line="200" w:lineRule="auto"/>
    </w:pPr>
    <w:r>
      <w:t xml:space="preserve">Why the neutral interest rate will </w:t>
    </w:r>
    <w:r w:rsidR="00451B44">
      <w:t>stay</w:t>
    </w:r>
    <w:r>
      <w:t xml:space="preserve"> structurally 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759892">
    <w:abstractNumId w:val="34"/>
  </w:num>
  <w:num w:numId="2" w16cid:durableId="488668778">
    <w:abstractNumId w:val="24"/>
  </w:num>
  <w:num w:numId="3" w16cid:durableId="2088571459">
    <w:abstractNumId w:val="26"/>
  </w:num>
  <w:num w:numId="4" w16cid:durableId="992489977">
    <w:abstractNumId w:val="19"/>
  </w:num>
  <w:num w:numId="5" w16cid:durableId="1303732081">
    <w:abstractNumId w:val="21"/>
  </w:num>
  <w:num w:numId="6" w16cid:durableId="813792934">
    <w:abstractNumId w:val="28"/>
  </w:num>
  <w:num w:numId="7" w16cid:durableId="2083944094">
    <w:abstractNumId w:val="42"/>
  </w:num>
  <w:num w:numId="8" w16cid:durableId="1465197112">
    <w:abstractNumId w:val="15"/>
  </w:num>
  <w:num w:numId="9" w16cid:durableId="79572721">
    <w:abstractNumId w:val="43"/>
  </w:num>
  <w:num w:numId="10" w16cid:durableId="2093116481">
    <w:abstractNumId w:val="12"/>
  </w:num>
  <w:num w:numId="11" w16cid:durableId="957104355">
    <w:abstractNumId w:val="29"/>
  </w:num>
  <w:num w:numId="12" w16cid:durableId="292639930">
    <w:abstractNumId w:val="39"/>
  </w:num>
  <w:num w:numId="13" w16cid:durableId="433019225">
    <w:abstractNumId w:val="17"/>
  </w:num>
  <w:num w:numId="14" w16cid:durableId="1944193219">
    <w:abstractNumId w:val="46"/>
  </w:num>
  <w:num w:numId="15" w16cid:durableId="1537353213">
    <w:abstractNumId w:val="35"/>
  </w:num>
  <w:num w:numId="16" w16cid:durableId="659432961">
    <w:abstractNumId w:val="32"/>
  </w:num>
  <w:num w:numId="17" w16cid:durableId="868417557">
    <w:abstractNumId w:val="18"/>
  </w:num>
  <w:num w:numId="18" w16cid:durableId="1441101501">
    <w:abstractNumId w:val="16"/>
  </w:num>
  <w:num w:numId="19" w16cid:durableId="162211516">
    <w:abstractNumId w:val="47"/>
  </w:num>
  <w:num w:numId="20" w16cid:durableId="754861308">
    <w:abstractNumId w:val="48"/>
  </w:num>
  <w:num w:numId="21" w16cid:durableId="764885002">
    <w:abstractNumId w:val="9"/>
  </w:num>
  <w:num w:numId="22" w16cid:durableId="439110346">
    <w:abstractNumId w:val="7"/>
  </w:num>
  <w:num w:numId="23" w16cid:durableId="1888447127">
    <w:abstractNumId w:val="6"/>
  </w:num>
  <w:num w:numId="24" w16cid:durableId="1652522659">
    <w:abstractNumId w:val="5"/>
  </w:num>
  <w:num w:numId="25" w16cid:durableId="1969505660">
    <w:abstractNumId w:val="4"/>
  </w:num>
  <w:num w:numId="26" w16cid:durableId="2066836463">
    <w:abstractNumId w:val="8"/>
  </w:num>
  <w:num w:numId="27" w16cid:durableId="252587430">
    <w:abstractNumId w:val="3"/>
  </w:num>
  <w:num w:numId="28" w16cid:durableId="1928689064">
    <w:abstractNumId w:val="2"/>
  </w:num>
  <w:num w:numId="29" w16cid:durableId="171992014">
    <w:abstractNumId w:val="1"/>
  </w:num>
  <w:num w:numId="30" w16cid:durableId="316423659">
    <w:abstractNumId w:val="0"/>
  </w:num>
  <w:num w:numId="31" w16cid:durableId="582375905">
    <w:abstractNumId w:val="40"/>
  </w:num>
  <w:num w:numId="32" w16cid:durableId="1179274893">
    <w:abstractNumId w:val="45"/>
  </w:num>
  <w:num w:numId="33" w16cid:durableId="1155412661">
    <w:abstractNumId w:val="20"/>
  </w:num>
  <w:num w:numId="34" w16cid:durableId="349067967">
    <w:abstractNumId w:val="23"/>
  </w:num>
  <w:num w:numId="35" w16cid:durableId="417604270">
    <w:abstractNumId w:val="14"/>
  </w:num>
  <w:num w:numId="36" w16cid:durableId="624771520">
    <w:abstractNumId w:val="31"/>
  </w:num>
  <w:num w:numId="37" w16cid:durableId="455686169">
    <w:abstractNumId w:val="13"/>
  </w:num>
  <w:num w:numId="38" w16cid:durableId="1681199161">
    <w:abstractNumId w:val="30"/>
  </w:num>
  <w:num w:numId="39" w16cid:durableId="341706369">
    <w:abstractNumId w:val="27"/>
  </w:num>
  <w:num w:numId="40" w16cid:durableId="862211542">
    <w:abstractNumId w:val="38"/>
  </w:num>
  <w:num w:numId="41" w16cid:durableId="1490242699">
    <w:abstractNumId w:val="22"/>
  </w:num>
  <w:num w:numId="42" w16cid:durableId="919288816">
    <w:abstractNumId w:val="33"/>
  </w:num>
  <w:num w:numId="43" w16cid:durableId="633758967">
    <w:abstractNumId w:val="36"/>
  </w:num>
  <w:num w:numId="44" w16cid:durableId="408700685">
    <w:abstractNumId w:val="11"/>
  </w:num>
  <w:num w:numId="45" w16cid:durableId="2074311132">
    <w:abstractNumId w:val="11"/>
    <w:lvlOverride w:ilvl="0">
      <w:startOverride w:val="1"/>
    </w:lvlOverride>
  </w:num>
  <w:num w:numId="46" w16cid:durableId="1524901681">
    <w:abstractNumId w:val="44"/>
  </w:num>
  <w:num w:numId="47" w16cid:durableId="993610466">
    <w:abstractNumId w:val="41"/>
  </w:num>
  <w:num w:numId="48" w16cid:durableId="2120566603">
    <w:abstractNumId w:val="37"/>
  </w:num>
  <w:num w:numId="49" w16cid:durableId="1167405660">
    <w:abstractNumId w:val="25"/>
  </w:num>
  <w:num w:numId="50" w16cid:durableId="10757394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50F"/>
    <w:rsid w:val="00000315"/>
    <w:rsid w:val="00001CF6"/>
    <w:rsid w:val="000020FD"/>
    <w:rsid w:val="00002909"/>
    <w:rsid w:val="00004053"/>
    <w:rsid w:val="000047AC"/>
    <w:rsid w:val="000056EF"/>
    <w:rsid w:val="000075FA"/>
    <w:rsid w:val="00007648"/>
    <w:rsid w:val="00007C83"/>
    <w:rsid w:val="00007DF3"/>
    <w:rsid w:val="00010268"/>
    <w:rsid w:val="00010298"/>
    <w:rsid w:val="00010E20"/>
    <w:rsid w:val="00011D78"/>
    <w:rsid w:val="00011E9D"/>
    <w:rsid w:val="00012615"/>
    <w:rsid w:val="000133B0"/>
    <w:rsid w:val="000134AC"/>
    <w:rsid w:val="00013B4D"/>
    <w:rsid w:val="00014629"/>
    <w:rsid w:val="0001550F"/>
    <w:rsid w:val="000156D5"/>
    <w:rsid w:val="00015920"/>
    <w:rsid w:val="000159C4"/>
    <w:rsid w:val="00015E7C"/>
    <w:rsid w:val="00016793"/>
    <w:rsid w:val="00016B9B"/>
    <w:rsid w:val="00016ED3"/>
    <w:rsid w:val="00016F51"/>
    <w:rsid w:val="000177C1"/>
    <w:rsid w:val="00017A8D"/>
    <w:rsid w:val="00017B49"/>
    <w:rsid w:val="00017E8D"/>
    <w:rsid w:val="00020DEC"/>
    <w:rsid w:val="000225C2"/>
    <w:rsid w:val="000225FF"/>
    <w:rsid w:val="000234DD"/>
    <w:rsid w:val="000241AF"/>
    <w:rsid w:val="0002420D"/>
    <w:rsid w:val="000244C4"/>
    <w:rsid w:val="00027208"/>
    <w:rsid w:val="0002737F"/>
    <w:rsid w:val="00027AA6"/>
    <w:rsid w:val="0003059E"/>
    <w:rsid w:val="000305FD"/>
    <w:rsid w:val="00030FF7"/>
    <w:rsid w:val="00031163"/>
    <w:rsid w:val="00031E6A"/>
    <w:rsid w:val="00032A49"/>
    <w:rsid w:val="0003345A"/>
    <w:rsid w:val="000339AB"/>
    <w:rsid w:val="00033A87"/>
    <w:rsid w:val="00033AE8"/>
    <w:rsid w:val="00033B08"/>
    <w:rsid w:val="00033C1A"/>
    <w:rsid w:val="00033CE2"/>
    <w:rsid w:val="00033F07"/>
    <w:rsid w:val="00034509"/>
    <w:rsid w:val="000345BF"/>
    <w:rsid w:val="0003629C"/>
    <w:rsid w:val="00036E9D"/>
    <w:rsid w:val="00037520"/>
    <w:rsid w:val="00037FB2"/>
    <w:rsid w:val="0004030E"/>
    <w:rsid w:val="00041694"/>
    <w:rsid w:val="000417E8"/>
    <w:rsid w:val="00043025"/>
    <w:rsid w:val="0004320F"/>
    <w:rsid w:val="00043947"/>
    <w:rsid w:val="00044FFD"/>
    <w:rsid w:val="00045012"/>
    <w:rsid w:val="00045BD6"/>
    <w:rsid w:val="00046213"/>
    <w:rsid w:val="000466C5"/>
    <w:rsid w:val="00046F42"/>
    <w:rsid w:val="0004740B"/>
    <w:rsid w:val="00047DB9"/>
    <w:rsid w:val="0005172A"/>
    <w:rsid w:val="000521EB"/>
    <w:rsid w:val="0005238C"/>
    <w:rsid w:val="00052FDF"/>
    <w:rsid w:val="000530CE"/>
    <w:rsid w:val="00054AF7"/>
    <w:rsid w:val="00054F1F"/>
    <w:rsid w:val="00055F4B"/>
    <w:rsid w:val="0005685C"/>
    <w:rsid w:val="00057219"/>
    <w:rsid w:val="00057255"/>
    <w:rsid w:val="0005757B"/>
    <w:rsid w:val="00060215"/>
    <w:rsid w:val="00060CE5"/>
    <w:rsid w:val="000619D1"/>
    <w:rsid w:val="00062969"/>
    <w:rsid w:val="00063219"/>
    <w:rsid w:val="00064ADE"/>
    <w:rsid w:val="00064D5F"/>
    <w:rsid w:val="00064ECB"/>
    <w:rsid w:val="00065D44"/>
    <w:rsid w:val="00066394"/>
    <w:rsid w:val="00066484"/>
    <w:rsid w:val="0006656D"/>
    <w:rsid w:val="0006669F"/>
    <w:rsid w:val="00071021"/>
    <w:rsid w:val="0007133D"/>
    <w:rsid w:val="000714D4"/>
    <w:rsid w:val="00071752"/>
    <w:rsid w:val="00071D1A"/>
    <w:rsid w:val="00072448"/>
    <w:rsid w:val="0007368D"/>
    <w:rsid w:val="0007382B"/>
    <w:rsid w:val="000738D4"/>
    <w:rsid w:val="00073CEC"/>
    <w:rsid w:val="00075AE1"/>
    <w:rsid w:val="00075DCC"/>
    <w:rsid w:val="000779A3"/>
    <w:rsid w:val="000800F8"/>
    <w:rsid w:val="00080C6A"/>
    <w:rsid w:val="00080E3B"/>
    <w:rsid w:val="000810A8"/>
    <w:rsid w:val="0008132D"/>
    <w:rsid w:val="00082126"/>
    <w:rsid w:val="00082ED8"/>
    <w:rsid w:val="0008341B"/>
    <w:rsid w:val="00085AE9"/>
    <w:rsid w:val="00085F42"/>
    <w:rsid w:val="00086C1D"/>
    <w:rsid w:val="000906DF"/>
    <w:rsid w:val="00090ADB"/>
    <w:rsid w:val="000930F1"/>
    <w:rsid w:val="000935E3"/>
    <w:rsid w:val="00093ED6"/>
    <w:rsid w:val="0009417F"/>
    <w:rsid w:val="000948F2"/>
    <w:rsid w:val="0009565E"/>
    <w:rsid w:val="00095A35"/>
    <w:rsid w:val="00095DA3"/>
    <w:rsid w:val="00097105"/>
    <w:rsid w:val="00097B6A"/>
    <w:rsid w:val="000A020D"/>
    <w:rsid w:val="000A1663"/>
    <w:rsid w:val="000A2AEA"/>
    <w:rsid w:val="000A2B34"/>
    <w:rsid w:val="000A365B"/>
    <w:rsid w:val="000A3CD3"/>
    <w:rsid w:val="000A3CDD"/>
    <w:rsid w:val="000A4CE1"/>
    <w:rsid w:val="000A51AC"/>
    <w:rsid w:val="000A52B4"/>
    <w:rsid w:val="000A5540"/>
    <w:rsid w:val="000A6C3E"/>
    <w:rsid w:val="000A6E34"/>
    <w:rsid w:val="000A7713"/>
    <w:rsid w:val="000A7DCE"/>
    <w:rsid w:val="000B0C32"/>
    <w:rsid w:val="000B1891"/>
    <w:rsid w:val="000B20BD"/>
    <w:rsid w:val="000B2732"/>
    <w:rsid w:val="000B365D"/>
    <w:rsid w:val="000B384C"/>
    <w:rsid w:val="000B3CCE"/>
    <w:rsid w:val="000B5C99"/>
    <w:rsid w:val="000B5E3D"/>
    <w:rsid w:val="000B6C13"/>
    <w:rsid w:val="000C0E9A"/>
    <w:rsid w:val="000C0EE5"/>
    <w:rsid w:val="000C4803"/>
    <w:rsid w:val="000C4DAB"/>
    <w:rsid w:val="000C5312"/>
    <w:rsid w:val="000C5D25"/>
    <w:rsid w:val="000C66AE"/>
    <w:rsid w:val="000C7B68"/>
    <w:rsid w:val="000C7E33"/>
    <w:rsid w:val="000D0654"/>
    <w:rsid w:val="000D1922"/>
    <w:rsid w:val="000D34CC"/>
    <w:rsid w:val="000D3603"/>
    <w:rsid w:val="000D4023"/>
    <w:rsid w:val="000D40AF"/>
    <w:rsid w:val="000D4A9A"/>
    <w:rsid w:val="000D5890"/>
    <w:rsid w:val="000D5B7B"/>
    <w:rsid w:val="000D5C4B"/>
    <w:rsid w:val="000D698E"/>
    <w:rsid w:val="000D69E4"/>
    <w:rsid w:val="000D7A53"/>
    <w:rsid w:val="000E0074"/>
    <w:rsid w:val="000E1A86"/>
    <w:rsid w:val="000E2239"/>
    <w:rsid w:val="000E22DB"/>
    <w:rsid w:val="000E414B"/>
    <w:rsid w:val="000E46C7"/>
    <w:rsid w:val="000E511D"/>
    <w:rsid w:val="000E5634"/>
    <w:rsid w:val="000E5B6B"/>
    <w:rsid w:val="000E6C13"/>
    <w:rsid w:val="000E7915"/>
    <w:rsid w:val="000E7974"/>
    <w:rsid w:val="000F0265"/>
    <w:rsid w:val="000F0785"/>
    <w:rsid w:val="000F0B12"/>
    <w:rsid w:val="000F0D7C"/>
    <w:rsid w:val="000F1792"/>
    <w:rsid w:val="000F28E0"/>
    <w:rsid w:val="000F3427"/>
    <w:rsid w:val="000F42A2"/>
    <w:rsid w:val="000F4E46"/>
    <w:rsid w:val="000F565D"/>
    <w:rsid w:val="000F5DB4"/>
    <w:rsid w:val="000F5FFA"/>
    <w:rsid w:val="000F6187"/>
    <w:rsid w:val="000F6EA8"/>
    <w:rsid w:val="000F75F1"/>
    <w:rsid w:val="000F7B2A"/>
    <w:rsid w:val="00100081"/>
    <w:rsid w:val="00100B41"/>
    <w:rsid w:val="0010109A"/>
    <w:rsid w:val="001010F3"/>
    <w:rsid w:val="001012B0"/>
    <w:rsid w:val="00101D83"/>
    <w:rsid w:val="00101FD4"/>
    <w:rsid w:val="00102E2C"/>
    <w:rsid w:val="00103D80"/>
    <w:rsid w:val="001056A0"/>
    <w:rsid w:val="0010615E"/>
    <w:rsid w:val="00106482"/>
    <w:rsid w:val="00106782"/>
    <w:rsid w:val="001069F8"/>
    <w:rsid w:val="00110204"/>
    <w:rsid w:val="00110386"/>
    <w:rsid w:val="001103BF"/>
    <w:rsid w:val="0011123E"/>
    <w:rsid w:val="0011189F"/>
    <w:rsid w:val="0011315C"/>
    <w:rsid w:val="001134DA"/>
    <w:rsid w:val="00113830"/>
    <w:rsid w:val="00113CE0"/>
    <w:rsid w:val="001140B2"/>
    <w:rsid w:val="00114308"/>
    <w:rsid w:val="00114316"/>
    <w:rsid w:val="00114982"/>
    <w:rsid w:val="00114E78"/>
    <w:rsid w:val="00116F3F"/>
    <w:rsid w:val="00116FE5"/>
    <w:rsid w:val="001173B1"/>
    <w:rsid w:val="00117C3B"/>
    <w:rsid w:val="00120D02"/>
    <w:rsid w:val="00121287"/>
    <w:rsid w:val="00121C78"/>
    <w:rsid w:val="00122699"/>
    <w:rsid w:val="0012287D"/>
    <w:rsid w:val="00124580"/>
    <w:rsid w:val="001248C8"/>
    <w:rsid w:val="00125C67"/>
    <w:rsid w:val="00126980"/>
    <w:rsid w:val="00126BA0"/>
    <w:rsid w:val="00126D56"/>
    <w:rsid w:val="00127AA1"/>
    <w:rsid w:val="00127D00"/>
    <w:rsid w:val="00127E48"/>
    <w:rsid w:val="00130802"/>
    <w:rsid w:val="00130F22"/>
    <w:rsid w:val="001317EF"/>
    <w:rsid w:val="00131B28"/>
    <w:rsid w:val="00131D97"/>
    <w:rsid w:val="00131EE1"/>
    <w:rsid w:val="0013242F"/>
    <w:rsid w:val="001329DE"/>
    <w:rsid w:val="001330F2"/>
    <w:rsid w:val="001336C6"/>
    <w:rsid w:val="00134384"/>
    <w:rsid w:val="00134E32"/>
    <w:rsid w:val="001362FE"/>
    <w:rsid w:val="001369A0"/>
    <w:rsid w:val="0014020E"/>
    <w:rsid w:val="00140BDD"/>
    <w:rsid w:val="0014200E"/>
    <w:rsid w:val="00142901"/>
    <w:rsid w:val="001429C2"/>
    <w:rsid w:val="00142DFB"/>
    <w:rsid w:val="00143C43"/>
    <w:rsid w:val="00144D3D"/>
    <w:rsid w:val="00146BAA"/>
    <w:rsid w:val="00147155"/>
    <w:rsid w:val="001472BA"/>
    <w:rsid w:val="001473E5"/>
    <w:rsid w:val="00150745"/>
    <w:rsid w:val="001511AE"/>
    <w:rsid w:val="00151FD4"/>
    <w:rsid w:val="0015214A"/>
    <w:rsid w:val="001522D6"/>
    <w:rsid w:val="00152D9B"/>
    <w:rsid w:val="00153537"/>
    <w:rsid w:val="00153670"/>
    <w:rsid w:val="00153ADE"/>
    <w:rsid w:val="0015402A"/>
    <w:rsid w:val="0015409C"/>
    <w:rsid w:val="00154338"/>
    <w:rsid w:val="00154683"/>
    <w:rsid w:val="00154B0C"/>
    <w:rsid w:val="00155182"/>
    <w:rsid w:val="0015532A"/>
    <w:rsid w:val="00156000"/>
    <w:rsid w:val="00160C34"/>
    <w:rsid w:val="00162675"/>
    <w:rsid w:val="00163F35"/>
    <w:rsid w:val="00163FBD"/>
    <w:rsid w:val="00163FEC"/>
    <w:rsid w:val="001650CA"/>
    <w:rsid w:val="00165734"/>
    <w:rsid w:val="00166272"/>
    <w:rsid w:val="00166643"/>
    <w:rsid w:val="00167A6E"/>
    <w:rsid w:val="0017001D"/>
    <w:rsid w:val="0017082E"/>
    <w:rsid w:val="00170C43"/>
    <w:rsid w:val="00171806"/>
    <w:rsid w:val="00172727"/>
    <w:rsid w:val="00172DBC"/>
    <w:rsid w:val="00172F5E"/>
    <w:rsid w:val="00173A9A"/>
    <w:rsid w:val="00173BF2"/>
    <w:rsid w:val="001749DA"/>
    <w:rsid w:val="0017584F"/>
    <w:rsid w:val="001763DC"/>
    <w:rsid w:val="001767D0"/>
    <w:rsid w:val="00177B55"/>
    <w:rsid w:val="00177E6C"/>
    <w:rsid w:val="00180F56"/>
    <w:rsid w:val="001817D5"/>
    <w:rsid w:val="00183AC2"/>
    <w:rsid w:val="00183D15"/>
    <w:rsid w:val="0018405E"/>
    <w:rsid w:val="00184BEF"/>
    <w:rsid w:val="001864A2"/>
    <w:rsid w:val="0018654F"/>
    <w:rsid w:val="00186E22"/>
    <w:rsid w:val="00187350"/>
    <w:rsid w:val="001912DF"/>
    <w:rsid w:val="00191AF5"/>
    <w:rsid w:val="00193434"/>
    <w:rsid w:val="00193464"/>
    <w:rsid w:val="001935DB"/>
    <w:rsid w:val="0019377A"/>
    <w:rsid w:val="0019385C"/>
    <w:rsid w:val="00193B5C"/>
    <w:rsid w:val="001943E7"/>
    <w:rsid w:val="0019469C"/>
    <w:rsid w:val="00194760"/>
    <w:rsid w:val="00194847"/>
    <w:rsid w:val="001955D0"/>
    <w:rsid w:val="00195BFA"/>
    <w:rsid w:val="00196463"/>
    <w:rsid w:val="00197091"/>
    <w:rsid w:val="001975F3"/>
    <w:rsid w:val="00197912"/>
    <w:rsid w:val="00197DAA"/>
    <w:rsid w:val="001A0605"/>
    <w:rsid w:val="001A12CD"/>
    <w:rsid w:val="001A1589"/>
    <w:rsid w:val="001A1A84"/>
    <w:rsid w:val="001A1FCD"/>
    <w:rsid w:val="001A2B8F"/>
    <w:rsid w:val="001A330C"/>
    <w:rsid w:val="001A37F8"/>
    <w:rsid w:val="001A3E58"/>
    <w:rsid w:val="001A4598"/>
    <w:rsid w:val="001A5E7C"/>
    <w:rsid w:val="001A6028"/>
    <w:rsid w:val="001A6B5C"/>
    <w:rsid w:val="001A728E"/>
    <w:rsid w:val="001A7327"/>
    <w:rsid w:val="001A7AE0"/>
    <w:rsid w:val="001A7E0C"/>
    <w:rsid w:val="001B05E1"/>
    <w:rsid w:val="001B2231"/>
    <w:rsid w:val="001B2C4C"/>
    <w:rsid w:val="001B3E3C"/>
    <w:rsid w:val="001B4C66"/>
    <w:rsid w:val="001B50DE"/>
    <w:rsid w:val="001B551B"/>
    <w:rsid w:val="001B59E3"/>
    <w:rsid w:val="001B632B"/>
    <w:rsid w:val="001B7363"/>
    <w:rsid w:val="001B778F"/>
    <w:rsid w:val="001C0298"/>
    <w:rsid w:val="001C043C"/>
    <w:rsid w:val="001C066C"/>
    <w:rsid w:val="001C15E8"/>
    <w:rsid w:val="001C1A8B"/>
    <w:rsid w:val="001C233B"/>
    <w:rsid w:val="001C26F8"/>
    <w:rsid w:val="001C2F03"/>
    <w:rsid w:val="001C2F83"/>
    <w:rsid w:val="001C3CEF"/>
    <w:rsid w:val="001C49BF"/>
    <w:rsid w:val="001C4AAA"/>
    <w:rsid w:val="001C4C49"/>
    <w:rsid w:val="001C4D58"/>
    <w:rsid w:val="001C4D5C"/>
    <w:rsid w:val="001C5B16"/>
    <w:rsid w:val="001C64BD"/>
    <w:rsid w:val="001C6E31"/>
    <w:rsid w:val="001C7685"/>
    <w:rsid w:val="001D01E6"/>
    <w:rsid w:val="001D029A"/>
    <w:rsid w:val="001D1390"/>
    <w:rsid w:val="001D1636"/>
    <w:rsid w:val="001D1A6E"/>
    <w:rsid w:val="001D1E2F"/>
    <w:rsid w:val="001D1ED9"/>
    <w:rsid w:val="001D21F9"/>
    <w:rsid w:val="001D339D"/>
    <w:rsid w:val="001D3401"/>
    <w:rsid w:val="001D34E8"/>
    <w:rsid w:val="001D36FE"/>
    <w:rsid w:val="001D415A"/>
    <w:rsid w:val="001D4F27"/>
    <w:rsid w:val="001D52E0"/>
    <w:rsid w:val="001D703E"/>
    <w:rsid w:val="001D7265"/>
    <w:rsid w:val="001D76EC"/>
    <w:rsid w:val="001E0CD5"/>
    <w:rsid w:val="001E11E0"/>
    <w:rsid w:val="001E173D"/>
    <w:rsid w:val="001E2281"/>
    <w:rsid w:val="001E28DC"/>
    <w:rsid w:val="001E2BAB"/>
    <w:rsid w:val="001E3915"/>
    <w:rsid w:val="001E3D73"/>
    <w:rsid w:val="001E422B"/>
    <w:rsid w:val="001E4A92"/>
    <w:rsid w:val="001E4CFF"/>
    <w:rsid w:val="001E50E0"/>
    <w:rsid w:val="001E57B8"/>
    <w:rsid w:val="001E5844"/>
    <w:rsid w:val="001E5FDF"/>
    <w:rsid w:val="001F00F2"/>
    <w:rsid w:val="001F147B"/>
    <w:rsid w:val="001F1C13"/>
    <w:rsid w:val="001F20B6"/>
    <w:rsid w:val="001F20FE"/>
    <w:rsid w:val="001F2495"/>
    <w:rsid w:val="001F49CB"/>
    <w:rsid w:val="001F7CF2"/>
    <w:rsid w:val="00200B79"/>
    <w:rsid w:val="00200F26"/>
    <w:rsid w:val="002011DB"/>
    <w:rsid w:val="002015A0"/>
    <w:rsid w:val="00202A9F"/>
    <w:rsid w:val="00202B3C"/>
    <w:rsid w:val="00204596"/>
    <w:rsid w:val="0020477F"/>
    <w:rsid w:val="00204B41"/>
    <w:rsid w:val="002052F5"/>
    <w:rsid w:val="002056CC"/>
    <w:rsid w:val="002060C7"/>
    <w:rsid w:val="00207899"/>
    <w:rsid w:val="00210453"/>
    <w:rsid w:val="00210527"/>
    <w:rsid w:val="00210933"/>
    <w:rsid w:val="00210BB2"/>
    <w:rsid w:val="00210EA3"/>
    <w:rsid w:val="00211B16"/>
    <w:rsid w:val="002120F9"/>
    <w:rsid w:val="00212D26"/>
    <w:rsid w:val="00212D45"/>
    <w:rsid w:val="00212F06"/>
    <w:rsid w:val="00213163"/>
    <w:rsid w:val="002136B1"/>
    <w:rsid w:val="0021380E"/>
    <w:rsid w:val="002139A1"/>
    <w:rsid w:val="00214603"/>
    <w:rsid w:val="00215CE1"/>
    <w:rsid w:val="002160F0"/>
    <w:rsid w:val="002170E9"/>
    <w:rsid w:val="00217699"/>
    <w:rsid w:val="002201E7"/>
    <w:rsid w:val="00221028"/>
    <w:rsid w:val="0022142C"/>
    <w:rsid w:val="00221447"/>
    <w:rsid w:val="00221A5A"/>
    <w:rsid w:val="002220BA"/>
    <w:rsid w:val="00222C14"/>
    <w:rsid w:val="002230DC"/>
    <w:rsid w:val="002230F1"/>
    <w:rsid w:val="0022479E"/>
    <w:rsid w:val="00224BB2"/>
    <w:rsid w:val="00225407"/>
    <w:rsid w:val="00225BB5"/>
    <w:rsid w:val="00226B4F"/>
    <w:rsid w:val="00227445"/>
    <w:rsid w:val="0022754A"/>
    <w:rsid w:val="002300D2"/>
    <w:rsid w:val="00230E02"/>
    <w:rsid w:val="0023101C"/>
    <w:rsid w:val="00231262"/>
    <w:rsid w:val="00232D42"/>
    <w:rsid w:val="002339FA"/>
    <w:rsid w:val="002354A1"/>
    <w:rsid w:val="0023566D"/>
    <w:rsid w:val="00235C67"/>
    <w:rsid w:val="00237152"/>
    <w:rsid w:val="00237EED"/>
    <w:rsid w:val="0024151C"/>
    <w:rsid w:val="002417C6"/>
    <w:rsid w:val="00243556"/>
    <w:rsid w:val="00245453"/>
    <w:rsid w:val="00245736"/>
    <w:rsid w:val="00245BB7"/>
    <w:rsid w:val="00245CC5"/>
    <w:rsid w:val="002460CB"/>
    <w:rsid w:val="00246DC8"/>
    <w:rsid w:val="002473B4"/>
    <w:rsid w:val="002479A9"/>
    <w:rsid w:val="00247A34"/>
    <w:rsid w:val="00247F9E"/>
    <w:rsid w:val="00250109"/>
    <w:rsid w:val="0025033E"/>
    <w:rsid w:val="00250487"/>
    <w:rsid w:val="0025114A"/>
    <w:rsid w:val="00251CD3"/>
    <w:rsid w:val="00252D78"/>
    <w:rsid w:val="0025526F"/>
    <w:rsid w:val="002552D8"/>
    <w:rsid w:val="00255783"/>
    <w:rsid w:val="002568BD"/>
    <w:rsid w:val="0026048E"/>
    <w:rsid w:val="00260FC6"/>
    <w:rsid w:val="002617BC"/>
    <w:rsid w:val="00261B1F"/>
    <w:rsid w:val="002627EB"/>
    <w:rsid w:val="00262CB5"/>
    <w:rsid w:val="0026316A"/>
    <w:rsid w:val="00264407"/>
    <w:rsid w:val="00264925"/>
    <w:rsid w:val="00264965"/>
    <w:rsid w:val="00265946"/>
    <w:rsid w:val="00270EBD"/>
    <w:rsid w:val="00272DEC"/>
    <w:rsid w:val="00272EEF"/>
    <w:rsid w:val="002730BD"/>
    <w:rsid w:val="002732B7"/>
    <w:rsid w:val="002763FE"/>
    <w:rsid w:val="00276B8E"/>
    <w:rsid w:val="00276D6C"/>
    <w:rsid w:val="002804D8"/>
    <w:rsid w:val="00280DEB"/>
    <w:rsid w:val="00281670"/>
    <w:rsid w:val="00282697"/>
    <w:rsid w:val="00282901"/>
    <w:rsid w:val="00282AC1"/>
    <w:rsid w:val="00283754"/>
    <w:rsid w:val="002838CB"/>
    <w:rsid w:val="00285044"/>
    <w:rsid w:val="0028544B"/>
    <w:rsid w:val="00285842"/>
    <w:rsid w:val="002865EA"/>
    <w:rsid w:val="00286E13"/>
    <w:rsid w:val="0028744A"/>
    <w:rsid w:val="002904BE"/>
    <w:rsid w:val="002905EC"/>
    <w:rsid w:val="00290BC7"/>
    <w:rsid w:val="00290F83"/>
    <w:rsid w:val="00291DD7"/>
    <w:rsid w:val="002922D0"/>
    <w:rsid w:val="00292495"/>
    <w:rsid w:val="002925E5"/>
    <w:rsid w:val="00292E05"/>
    <w:rsid w:val="00292E9A"/>
    <w:rsid w:val="0029336C"/>
    <w:rsid w:val="00293C74"/>
    <w:rsid w:val="00294041"/>
    <w:rsid w:val="00295B89"/>
    <w:rsid w:val="00296D13"/>
    <w:rsid w:val="002970CE"/>
    <w:rsid w:val="00297BF7"/>
    <w:rsid w:val="00297E6E"/>
    <w:rsid w:val="002A26DE"/>
    <w:rsid w:val="002A55C8"/>
    <w:rsid w:val="002A5813"/>
    <w:rsid w:val="002A6143"/>
    <w:rsid w:val="002A6747"/>
    <w:rsid w:val="002A6887"/>
    <w:rsid w:val="002A7886"/>
    <w:rsid w:val="002A7CD7"/>
    <w:rsid w:val="002B1E26"/>
    <w:rsid w:val="002B1E96"/>
    <w:rsid w:val="002B4871"/>
    <w:rsid w:val="002B50A5"/>
    <w:rsid w:val="002B55AB"/>
    <w:rsid w:val="002B5E9E"/>
    <w:rsid w:val="002B7CEB"/>
    <w:rsid w:val="002B7EAF"/>
    <w:rsid w:val="002C04AB"/>
    <w:rsid w:val="002C11A2"/>
    <w:rsid w:val="002C132D"/>
    <w:rsid w:val="002C1431"/>
    <w:rsid w:val="002C2E6C"/>
    <w:rsid w:val="002C3850"/>
    <w:rsid w:val="002C3A63"/>
    <w:rsid w:val="002C3E33"/>
    <w:rsid w:val="002C4168"/>
    <w:rsid w:val="002C5429"/>
    <w:rsid w:val="002C5680"/>
    <w:rsid w:val="002C5CC2"/>
    <w:rsid w:val="002C62DA"/>
    <w:rsid w:val="002C777E"/>
    <w:rsid w:val="002C7B0F"/>
    <w:rsid w:val="002D1AD5"/>
    <w:rsid w:val="002D24BB"/>
    <w:rsid w:val="002D2791"/>
    <w:rsid w:val="002D27A1"/>
    <w:rsid w:val="002D27CC"/>
    <w:rsid w:val="002D27FF"/>
    <w:rsid w:val="002D3B1F"/>
    <w:rsid w:val="002D3D51"/>
    <w:rsid w:val="002D508A"/>
    <w:rsid w:val="002D5931"/>
    <w:rsid w:val="002D5FBD"/>
    <w:rsid w:val="002D65B9"/>
    <w:rsid w:val="002D6DC0"/>
    <w:rsid w:val="002D71F0"/>
    <w:rsid w:val="002D72FC"/>
    <w:rsid w:val="002D7701"/>
    <w:rsid w:val="002D7E2C"/>
    <w:rsid w:val="002E0FCB"/>
    <w:rsid w:val="002E1A57"/>
    <w:rsid w:val="002E288B"/>
    <w:rsid w:val="002E2C61"/>
    <w:rsid w:val="002E2E9F"/>
    <w:rsid w:val="002E3943"/>
    <w:rsid w:val="002E4822"/>
    <w:rsid w:val="002E48CB"/>
    <w:rsid w:val="002E5748"/>
    <w:rsid w:val="002E5797"/>
    <w:rsid w:val="002E5E44"/>
    <w:rsid w:val="002E654A"/>
    <w:rsid w:val="002E65AA"/>
    <w:rsid w:val="002F049C"/>
    <w:rsid w:val="002F2001"/>
    <w:rsid w:val="002F2171"/>
    <w:rsid w:val="002F2CF5"/>
    <w:rsid w:val="002F3621"/>
    <w:rsid w:val="002F3793"/>
    <w:rsid w:val="002F3A7E"/>
    <w:rsid w:val="002F577F"/>
    <w:rsid w:val="002F6956"/>
    <w:rsid w:val="002F69AD"/>
    <w:rsid w:val="002F711A"/>
    <w:rsid w:val="002F7585"/>
    <w:rsid w:val="002F7D6F"/>
    <w:rsid w:val="0030053A"/>
    <w:rsid w:val="003008FC"/>
    <w:rsid w:val="00301D4D"/>
    <w:rsid w:val="003023CF"/>
    <w:rsid w:val="003034A7"/>
    <w:rsid w:val="0030488D"/>
    <w:rsid w:val="00304B62"/>
    <w:rsid w:val="00304CAF"/>
    <w:rsid w:val="003078E6"/>
    <w:rsid w:val="00307D28"/>
    <w:rsid w:val="00307FE5"/>
    <w:rsid w:val="003101A0"/>
    <w:rsid w:val="003106D1"/>
    <w:rsid w:val="003107B4"/>
    <w:rsid w:val="0031118B"/>
    <w:rsid w:val="00311938"/>
    <w:rsid w:val="0031254E"/>
    <w:rsid w:val="003157AA"/>
    <w:rsid w:val="00315D59"/>
    <w:rsid w:val="00316D5A"/>
    <w:rsid w:val="003172EB"/>
    <w:rsid w:val="00321057"/>
    <w:rsid w:val="003212F6"/>
    <w:rsid w:val="003228CC"/>
    <w:rsid w:val="00322964"/>
    <w:rsid w:val="003229BD"/>
    <w:rsid w:val="00322AB7"/>
    <w:rsid w:val="00323DB3"/>
    <w:rsid w:val="003246CB"/>
    <w:rsid w:val="00324F45"/>
    <w:rsid w:val="00325876"/>
    <w:rsid w:val="00325BB9"/>
    <w:rsid w:val="00326839"/>
    <w:rsid w:val="00326867"/>
    <w:rsid w:val="0032765E"/>
    <w:rsid w:val="003277E3"/>
    <w:rsid w:val="00327910"/>
    <w:rsid w:val="0032797B"/>
    <w:rsid w:val="00327A67"/>
    <w:rsid w:val="00330259"/>
    <w:rsid w:val="00330694"/>
    <w:rsid w:val="00330718"/>
    <w:rsid w:val="00330770"/>
    <w:rsid w:val="003307A8"/>
    <w:rsid w:val="00330DDE"/>
    <w:rsid w:val="00330F89"/>
    <w:rsid w:val="0033151A"/>
    <w:rsid w:val="00332233"/>
    <w:rsid w:val="00332C3C"/>
    <w:rsid w:val="00332C49"/>
    <w:rsid w:val="00332FF9"/>
    <w:rsid w:val="0033389F"/>
    <w:rsid w:val="00335151"/>
    <w:rsid w:val="003363DD"/>
    <w:rsid w:val="0033661D"/>
    <w:rsid w:val="00336C0C"/>
    <w:rsid w:val="00337279"/>
    <w:rsid w:val="003376C3"/>
    <w:rsid w:val="003376EC"/>
    <w:rsid w:val="003379B4"/>
    <w:rsid w:val="00337B3A"/>
    <w:rsid w:val="003402EF"/>
    <w:rsid w:val="00340C4B"/>
    <w:rsid w:val="003428F9"/>
    <w:rsid w:val="00342959"/>
    <w:rsid w:val="00342B3C"/>
    <w:rsid w:val="00342E22"/>
    <w:rsid w:val="003445AF"/>
    <w:rsid w:val="00346BC9"/>
    <w:rsid w:val="00347297"/>
    <w:rsid w:val="003479C2"/>
    <w:rsid w:val="00347C6E"/>
    <w:rsid w:val="00350B25"/>
    <w:rsid w:val="00351AB9"/>
    <w:rsid w:val="00351F65"/>
    <w:rsid w:val="0035316B"/>
    <w:rsid w:val="003545BF"/>
    <w:rsid w:val="00355CA9"/>
    <w:rsid w:val="00355DB2"/>
    <w:rsid w:val="00355F8E"/>
    <w:rsid w:val="00356A6F"/>
    <w:rsid w:val="00356C46"/>
    <w:rsid w:val="00357713"/>
    <w:rsid w:val="00360106"/>
    <w:rsid w:val="00360E78"/>
    <w:rsid w:val="003619B4"/>
    <w:rsid w:val="00361D36"/>
    <w:rsid w:val="00362EEF"/>
    <w:rsid w:val="00364EB0"/>
    <w:rsid w:val="00365E91"/>
    <w:rsid w:val="00366D10"/>
    <w:rsid w:val="00370D9C"/>
    <w:rsid w:val="00370F50"/>
    <w:rsid w:val="0037176A"/>
    <w:rsid w:val="003724CC"/>
    <w:rsid w:val="00372F8A"/>
    <w:rsid w:val="003744DF"/>
    <w:rsid w:val="00374539"/>
    <w:rsid w:val="00374566"/>
    <w:rsid w:val="00375A38"/>
    <w:rsid w:val="00375EBC"/>
    <w:rsid w:val="003762BF"/>
    <w:rsid w:val="00376975"/>
    <w:rsid w:val="00376AC9"/>
    <w:rsid w:val="00377066"/>
    <w:rsid w:val="00380707"/>
    <w:rsid w:val="00381B82"/>
    <w:rsid w:val="00381F5F"/>
    <w:rsid w:val="003824FF"/>
    <w:rsid w:val="00383EAA"/>
    <w:rsid w:val="00384413"/>
    <w:rsid w:val="003849C0"/>
    <w:rsid w:val="00385412"/>
    <w:rsid w:val="00385F2D"/>
    <w:rsid w:val="003905B1"/>
    <w:rsid w:val="00390DED"/>
    <w:rsid w:val="00391EB1"/>
    <w:rsid w:val="003924B3"/>
    <w:rsid w:val="00392974"/>
    <w:rsid w:val="00392B5F"/>
    <w:rsid w:val="00392DA2"/>
    <w:rsid w:val="003936C5"/>
    <w:rsid w:val="00393C71"/>
    <w:rsid w:val="00393D7C"/>
    <w:rsid w:val="003955BC"/>
    <w:rsid w:val="00395746"/>
    <w:rsid w:val="00395BD4"/>
    <w:rsid w:val="00395EB7"/>
    <w:rsid w:val="00397C59"/>
    <w:rsid w:val="003A0069"/>
    <w:rsid w:val="003A1005"/>
    <w:rsid w:val="003A107B"/>
    <w:rsid w:val="003A1381"/>
    <w:rsid w:val="003A2439"/>
    <w:rsid w:val="003A2544"/>
    <w:rsid w:val="003A2BAB"/>
    <w:rsid w:val="003A45C8"/>
    <w:rsid w:val="003A4B4D"/>
    <w:rsid w:val="003A5D05"/>
    <w:rsid w:val="003A66EF"/>
    <w:rsid w:val="003A697A"/>
    <w:rsid w:val="003B0A22"/>
    <w:rsid w:val="003B2987"/>
    <w:rsid w:val="003B4541"/>
    <w:rsid w:val="003B48C3"/>
    <w:rsid w:val="003B5701"/>
    <w:rsid w:val="003B60FF"/>
    <w:rsid w:val="003B6247"/>
    <w:rsid w:val="003B697E"/>
    <w:rsid w:val="003B71D1"/>
    <w:rsid w:val="003B7A91"/>
    <w:rsid w:val="003B7D86"/>
    <w:rsid w:val="003C0036"/>
    <w:rsid w:val="003C0346"/>
    <w:rsid w:val="003C2225"/>
    <w:rsid w:val="003C2B07"/>
    <w:rsid w:val="003C3500"/>
    <w:rsid w:val="003C37F1"/>
    <w:rsid w:val="003C3F23"/>
    <w:rsid w:val="003C4079"/>
    <w:rsid w:val="003C4A0E"/>
    <w:rsid w:val="003C57BC"/>
    <w:rsid w:val="003C7084"/>
    <w:rsid w:val="003C7567"/>
    <w:rsid w:val="003C775D"/>
    <w:rsid w:val="003C7EB6"/>
    <w:rsid w:val="003D22EF"/>
    <w:rsid w:val="003D232E"/>
    <w:rsid w:val="003D32F4"/>
    <w:rsid w:val="003D3F45"/>
    <w:rsid w:val="003D46DF"/>
    <w:rsid w:val="003D4C34"/>
    <w:rsid w:val="003D4E89"/>
    <w:rsid w:val="003D5563"/>
    <w:rsid w:val="003D5ED7"/>
    <w:rsid w:val="003D664F"/>
    <w:rsid w:val="003D6CD9"/>
    <w:rsid w:val="003D788D"/>
    <w:rsid w:val="003E0C4E"/>
    <w:rsid w:val="003E4351"/>
    <w:rsid w:val="003E50A4"/>
    <w:rsid w:val="003E58B7"/>
    <w:rsid w:val="003E5E3A"/>
    <w:rsid w:val="003E677C"/>
    <w:rsid w:val="003E69D9"/>
    <w:rsid w:val="003E6CD6"/>
    <w:rsid w:val="003E712D"/>
    <w:rsid w:val="003F0348"/>
    <w:rsid w:val="003F14C5"/>
    <w:rsid w:val="003F1A0B"/>
    <w:rsid w:val="003F3283"/>
    <w:rsid w:val="003F3401"/>
    <w:rsid w:val="003F3C12"/>
    <w:rsid w:val="003F4685"/>
    <w:rsid w:val="003F4BD2"/>
    <w:rsid w:val="003F4F56"/>
    <w:rsid w:val="003F54EA"/>
    <w:rsid w:val="003F57E2"/>
    <w:rsid w:val="003F5DE5"/>
    <w:rsid w:val="003F6C46"/>
    <w:rsid w:val="003F78F5"/>
    <w:rsid w:val="003F7C80"/>
    <w:rsid w:val="003F7C8B"/>
    <w:rsid w:val="004001D5"/>
    <w:rsid w:val="00400C5D"/>
    <w:rsid w:val="00400FFF"/>
    <w:rsid w:val="004023F3"/>
    <w:rsid w:val="00402843"/>
    <w:rsid w:val="004029FD"/>
    <w:rsid w:val="00403057"/>
    <w:rsid w:val="0040310C"/>
    <w:rsid w:val="004031F5"/>
    <w:rsid w:val="004048E2"/>
    <w:rsid w:val="00405200"/>
    <w:rsid w:val="0040701C"/>
    <w:rsid w:val="00407149"/>
    <w:rsid w:val="0041035A"/>
    <w:rsid w:val="00412E90"/>
    <w:rsid w:val="00413085"/>
    <w:rsid w:val="004131FB"/>
    <w:rsid w:val="004134D4"/>
    <w:rsid w:val="0041381C"/>
    <w:rsid w:val="00414094"/>
    <w:rsid w:val="004154A2"/>
    <w:rsid w:val="00416239"/>
    <w:rsid w:val="004173D9"/>
    <w:rsid w:val="0041783C"/>
    <w:rsid w:val="004205C0"/>
    <w:rsid w:val="00420D7B"/>
    <w:rsid w:val="00421A1D"/>
    <w:rsid w:val="00421FC9"/>
    <w:rsid w:val="00424039"/>
    <w:rsid w:val="00424979"/>
    <w:rsid w:val="00424CE0"/>
    <w:rsid w:val="00425045"/>
    <w:rsid w:val="0042623C"/>
    <w:rsid w:val="0042758F"/>
    <w:rsid w:val="00427DC0"/>
    <w:rsid w:val="00430A56"/>
    <w:rsid w:val="0043120B"/>
    <w:rsid w:val="00431CD1"/>
    <w:rsid w:val="00431F7A"/>
    <w:rsid w:val="00432278"/>
    <w:rsid w:val="0043227F"/>
    <w:rsid w:val="00432DB5"/>
    <w:rsid w:val="00433D0B"/>
    <w:rsid w:val="004345F3"/>
    <w:rsid w:val="0043597C"/>
    <w:rsid w:val="00436962"/>
    <w:rsid w:val="00436CC8"/>
    <w:rsid w:val="00440FB3"/>
    <w:rsid w:val="00441968"/>
    <w:rsid w:val="00441A4C"/>
    <w:rsid w:val="00442124"/>
    <w:rsid w:val="0044222E"/>
    <w:rsid w:val="0044354A"/>
    <w:rsid w:val="0044423B"/>
    <w:rsid w:val="004446B9"/>
    <w:rsid w:val="0044474B"/>
    <w:rsid w:val="004448D9"/>
    <w:rsid w:val="004474CB"/>
    <w:rsid w:val="00447548"/>
    <w:rsid w:val="004475FC"/>
    <w:rsid w:val="00447615"/>
    <w:rsid w:val="00450F0F"/>
    <w:rsid w:val="00450F95"/>
    <w:rsid w:val="00451576"/>
    <w:rsid w:val="00451B44"/>
    <w:rsid w:val="0045237C"/>
    <w:rsid w:val="00453832"/>
    <w:rsid w:val="00454836"/>
    <w:rsid w:val="00455328"/>
    <w:rsid w:val="004559E0"/>
    <w:rsid w:val="00455C02"/>
    <w:rsid w:val="0045628B"/>
    <w:rsid w:val="00457078"/>
    <w:rsid w:val="00457725"/>
    <w:rsid w:val="00460364"/>
    <w:rsid w:val="00460679"/>
    <w:rsid w:val="00461099"/>
    <w:rsid w:val="00461532"/>
    <w:rsid w:val="00461893"/>
    <w:rsid w:val="00461895"/>
    <w:rsid w:val="00461BF4"/>
    <w:rsid w:val="00461EEE"/>
    <w:rsid w:val="004622A6"/>
    <w:rsid w:val="004634B7"/>
    <w:rsid w:val="00463986"/>
    <w:rsid w:val="00466A38"/>
    <w:rsid w:val="00467DB0"/>
    <w:rsid w:val="00467E64"/>
    <w:rsid w:val="00470058"/>
    <w:rsid w:val="00470333"/>
    <w:rsid w:val="00471975"/>
    <w:rsid w:val="00471978"/>
    <w:rsid w:val="004722F6"/>
    <w:rsid w:val="004723AC"/>
    <w:rsid w:val="00473854"/>
    <w:rsid w:val="0047412B"/>
    <w:rsid w:val="0047434C"/>
    <w:rsid w:val="00475007"/>
    <w:rsid w:val="0047523F"/>
    <w:rsid w:val="00475CF0"/>
    <w:rsid w:val="00475D43"/>
    <w:rsid w:val="004777D3"/>
    <w:rsid w:val="00483A87"/>
    <w:rsid w:val="00483DF1"/>
    <w:rsid w:val="004849E7"/>
    <w:rsid w:val="00487DCC"/>
    <w:rsid w:val="004903FE"/>
    <w:rsid w:val="00490703"/>
    <w:rsid w:val="004907F6"/>
    <w:rsid w:val="00490B17"/>
    <w:rsid w:val="00492516"/>
    <w:rsid w:val="004926E1"/>
    <w:rsid w:val="00493481"/>
    <w:rsid w:val="00493AEF"/>
    <w:rsid w:val="00493DEB"/>
    <w:rsid w:val="004947A2"/>
    <w:rsid w:val="0049553B"/>
    <w:rsid w:val="00495B2B"/>
    <w:rsid w:val="00496AEB"/>
    <w:rsid w:val="00496D22"/>
    <w:rsid w:val="004975F3"/>
    <w:rsid w:val="00497CE2"/>
    <w:rsid w:val="004A02ED"/>
    <w:rsid w:val="004A0455"/>
    <w:rsid w:val="004A070C"/>
    <w:rsid w:val="004A0769"/>
    <w:rsid w:val="004A0A93"/>
    <w:rsid w:val="004A0B17"/>
    <w:rsid w:val="004A2AA8"/>
    <w:rsid w:val="004A2E62"/>
    <w:rsid w:val="004A30E1"/>
    <w:rsid w:val="004A3A91"/>
    <w:rsid w:val="004A3BCA"/>
    <w:rsid w:val="004A3DC7"/>
    <w:rsid w:val="004A4E17"/>
    <w:rsid w:val="004A5132"/>
    <w:rsid w:val="004A522B"/>
    <w:rsid w:val="004A5AD9"/>
    <w:rsid w:val="004A69BA"/>
    <w:rsid w:val="004A70A4"/>
    <w:rsid w:val="004A74CC"/>
    <w:rsid w:val="004A7FF3"/>
    <w:rsid w:val="004B0190"/>
    <w:rsid w:val="004B094D"/>
    <w:rsid w:val="004B0C6D"/>
    <w:rsid w:val="004B3326"/>
    <w:rsid w:val="004B3916"/>
    <w:rsid w:val="004B3A03"/>
    <w:rsid w:val="004B4339"/>
    <w:rsid w:val="004B5898"/>
    <w:rsid w:val="004B6603"/>
    <w:rsid w:val="004B730C"/>
    <w:rsid w:val="004B7A81"/>
    <w:rsid w:val="004C0A4A"/>
    <w:rsid w:val="004C0F12"/>
    <w:rsid w:val="004C2346"/>
    <w:rsid w:val="004C3037"/>
    <w:rsid w:val="004C3DDD"/>
    <w:rsid w:val="004C3F05"/>
    <w:rsid w:val="004C51F5"/>
    <w:rsid w:val="004C6A02"/>
    <w:rsid w:val="004C7519"/>
    <w:rsid w:val="004C7B45"/>
    <w:rsid w:val="004C7F5B"/>
    <w:rsid w:val="004D0EFB"/>
    <w:rsid w:val="004D147D"/>
    <w:rsid w:val="004D1D33"/>
    <w:rsid w:val="004D2F85"/>
    <w:rsid w:val="004D44E5"/>
    <w:rsid w:val="004D465D"/>
    <w:rsid w:val="004D4D67"/>
    <w:rsid w:val="004D4F5B"/>
    <w:rsid w:val="004D57D1"/>
    <w:rsid w:val="004D63BA"/>
    <w:rsid w:val="004D6D2E"/>
    <w:rsid w:val="004D79DB"/>
    <w:rsid w:val="004D7D43"/>
    <w:rsid w:val="004D7EE7"/>
    <w:rsid w:val="004E0252"/>
    <w:rsid w:val="004E346F"/>
    <w:rsid w:val="004E34A6"/>
    <w:rsid w:val="004E3907"/>
    <w:rsid w:val="004E410B"/>
    <w:rsid w:val="004E53D7"/>
    <w:rsid w:val="004E54C9"/>
    <w:rsid w:val="004E55D2"/>
    <w:rsid w:val="004E59A1"/>
    <w:rsid w:val="004E5FB8"/>
    <w:rsid w:val="004E63FB"/>
    <w:rsid w:val="004E6661"/>
    <w:rsid w:val="004E7946"/>
    <w:rsid w:val="004E7F28"/>
    <w:rsid w:val="004F0D18"/>
    <w:rsid w:val="004F131C"/>
    <w:rsid w:val="004F1905"/>
    <w:rsid w:val="004F1F8E"/>
    <w:rsid w:val="004F38B9"/>
    <w:rsid w:val="004F51E5"/>
    <w:rsid w:val="004F627B"/>
    <w:rsid w:val="004F6946"/>
    <w:rsid w:val="004F7F94"/>
    <w:rsid w:val="00500058"/>
    <w:rsid w:val="005002DF"/>
    <w:rsid w:val="00501DD6"/>
    <w:rsid w:val="005035E1"/>
    <w:rsid w:val="005036B1"/>
    <w:rsid w:val="00503752"/>
    <w:rsid w:val="005046AC"/>
    <w:rsid w:val="00504C25"/>
    <w:rsid w:val="00505A67"/>
    <w:rsid w:val="005062B9"/>
    <w:rsid w:val="00507FF8"/>
    <w:rsid w:val="0051123E"/>
    <w:rsid w:val="00512879"/>
    <w:rsid w:val="00512A52"/>
    <w:rsid w:val="00512B84"/>
    <w:rsid w:val="00512DD1"/>
    <w:rsid w:val="0051300D"/>
    <w:rsid w:val="00515215"/>
    <w:rsid w:val="005174F1"/>
    <w:rsid w:val="005205F8"/>
    <w:rsid w:val="0052065A"/>
    <w:rsid w:val="00522C03"/>
    <w:rsid w:val="00522FFD"/>
    <w:rsid w:val="00523860"/>
    <w:rsid w:val="00524588"/>
    <w:rsid w:val="00524FE9"/>
    <w:rsid w:val="005252AA"/>
    <w:rsid w:val="005260E7"/>
    <w:rsid w:val="005260F4"/>
    <w:rsid w:val="005265A8"/>
    <w:rsid w:val="00526FFB"/>
    <w:rsid w:val="00530CA6"/>
    <w:rsid w:val="00533D79"/>
    <w:rsid w:val="0053446D"/>
    <w:rsid w:val="00534784"/>
    <w:rsid w:val="00534E21"/>
    <w:rsid w:val="00535A9D"/>
    <w:rsid w:val="00535BD4"/>
    <w:rsid w:val="0053717A"/>
    <w:rsid w:val="00537741"/>
    <w:rsid w:val="00541594"/>
    <w:rsid w:val="00542A7E"/>
    <w:rsid w:val="00543C87"/>
    <w:rsid w:val="005441CE"/>
    <w:rsid w:val="0054465D"/>
    <w:rsid w:val="00544B33"/>
    <w:rsid w:val="005459E0"/>
    <w:rsid w:val="0054605E"/>
    <w:rsid w:val="00546DD9"/>
    <w:rsid w:val="005473DD"/>
    <w:rsid w:val="005476DA"/>
    <w:rsid w:val="00547C9F"/>
    <w:rsid w:val="00547D15"/>
    <w:rsid w:val="00550176"/>
    <w:rsid w:val="005509D6"/>
    <w:rsid w:val="00550E4A"/>
    <w:rsid w:val="00552A60"/>
    <w:rsid w:val="005532E1"/>
    <w:rsid w:val="00553846"/>
    <w:rsid w:val="00554147"/>
    <w:rsid w:val="00554B3A"/>
    <w:rsid w:val="00554C55"/>
    <w:rsid w:val="00554C5B"/>
    <w:rsid w:val="005550CE"/>
    <w:rsid w:val="005551FC"/>
    <w:rsid w:val="00556286"/>
    <w:rsid w:val="005576C3"/>
    <w:rsid w:val="005579AD"/>
    <w:rsid w:val="00557CAD"/>
    <w:rsid w:val="005602B8"/>
    <w:rsid w:val="00560336"/>
    <w:rsid w:val="0056135E"/>
    <w:rsid w:val="005619EE"/>
    <w:rsid w:val="00561B68"/>
    <w:rsid w:val="00562770"/>
    <w:rsid w:val="00562F20"/>
    <w:rsid w:val="0056345F"/>
    <w:rsid w:val="005635E0"/>
    <w:rsid w:val="00563B29"/>
    <w:rsid w:val="00563FED"/>
    <w:rsid w:val="00564A24"/>
    <w:rsid w:val="00565C7C"/>
    <w:rsid w:val="005661F7"/>
    <w:rsid w:val="00566E34"/>
    <w:rsid w:val="00566F8A"/>
    <w:rsid w:val="00566FD7"/>
    <w:rsid w:val="0056791B"/>
    <w:rsid w:val="00567DF5"/>
    <w:rsid w:val="00571687"/>
    <w:rsid w:val="0057184B"/>
    <w:rsid w:val="005721BD"/>
    <w:rsid w:val="0057240B"/>
    <w:rsid w:val="00572645"/>
    <w:rsid w:val="00573902"/>
    <w:rsid w:val="00573D81"/>
    <w:rsid w:val="00573E8C"/>
    <w:rsid w:val="005744C5"/>
    <w:rsid w:val="005745E1"/>
    <w:rsid w:val="00574A75"/>
    <w:rsid w:val="00574A78"/>
    <w:rsid w:val="00574F2D"/>
    <w:rsid w:val="00575767"/>
    <w:rsid w:val="00575982"/>
    <w:rsid w:val="00575A56"/>
    <w:rsid w:val="00577AF9"/>
    <w:rsid w:val="00580191"/>
    <w:rsid w:val="005803E7"/>
    <w:rsid w:val="005805CC"/>
    <w:rsid w:val="00581353"/>
    <w:rsid w:val="00581AA4"/>
    <w:rsid w:val="005827E7"/>
    <w:rsid w:val="00582BCD"/>
    <w:rsid w:val="00582C35"/>
    <w:rsid w:val="005853B4"/>
    <w:rsid w:val="00585C46"/>
    <w:rsid w:val="0058608D"/>
    <w:rsid w:val="00587D54"/>
    <w:rsid w:val="00587F59"/>
    <w:rsid w:val="005908C1"/>
    <w:rsid w:val="005915A4"/>
    <w:rsid w:val="00591C59"/>
    <w:rsid w:val="00591D62"/>
    <w:rsid w:val="00594557"/>
    <w:rsid w:val="00594AD2"/>
    <w:rsid w:val="00594D20"/>
    <w:rsid w:val="005955AE"/>
    <w:rsid w:val="00595652"/>
    <w:rsid w:val="00596C25"/>
    <w:rsid w:val="00596C56"/>
    <w:rsid w:val="00596E5A"/>
    <w:rsid w:val="005A074B"/>
    <w:rsid w:val="005A1497"/>
    <w:rsid w:val="005A1C52"/>
    <w:rsid w:val="005A2517"/>
    <w:rsid w:val="005A25FA"/>
    <w:rsid w:val="005A3052"/>
    <w:rsid w:val="005A3367"/>
    <w:rsid w:val="005A38D7"/>
    <w:rsid w:val="005A5D93"/>
    <w:rsid w:val="005A5FA6"/>
    <w:rsid w:val="005A7045"/>
    <w:rsid w:val="005A7D09"/>
    <w:rsid w:val="005A7E0B"/>
    <w:rsid w:val="005B0A78"/>
    <w:rsid w:val="005B0B13"/>
    <w:rsid w:val="005B0C7B"/>
    <w:rsid w:val="005B1172"/>
    <w:rsid w:val="005B159B"/>
    <w:rsid w:val="005B1B9B"/>
    <w:rsid w:val="005B3224"/>
    <w:rsid w:val="005B366D"/>
    <w:rsid w:val="005B3763"/>
    <w:rsid w:val="005B6F9E"/>
    <w:rsid w:val="005B7B1B"/>
    <w:rsid w:val="005B7BFA"/>
    <w:rsid w:val="005B7FE8"/>
    <w:rsid w:val="005C08FB"/>
    <w:rsid w:val="005C1E08"/>
    <w:rsid w:val="005C1EAA"/>
    <w:rsid w:val="005C1EBE"/>
    <w:rsid w:val="005C1F32"/>
    <w:rsid w:val="005C3A36"/>
    <w:rsid w:val="005C4015"/>
    <w:rsid w:val="005C5E6F"/>
    <w:rsid w:val="005C6019"/>
    <w:rsid w:val="005C68BE"/>
    <w:rsid w:val="005C6A13"/>
    <w:rsid w:val="005C6E84"/>
    <w:rsid w:val="005C7661"/>
    <w:rsid w:val="005C778C"/>
    <w:rsid w:val="005D044F"/>
    <w:rsid w:val="005D123F"/>
    <w:rsid w:val="005D1D3B"/>
    <w:rsid w:val="005D21BB"/>
    <w:rsid w:val="005D2695"/>
    <w:rsid w:val="005D281C"/>
    <w:rsid w:val="005D3EE3"/>
    <w:rsid w:val="005D52C4"/>
    <w:rsid w:val="005D5EE4"/>
    <w:rsid w:val="005D69C5"/>
    <w:rsid w:val="005E0176"/>
    <w:rsid w:val="005E07AB"/>
    <w:rsid w:val="005E0D65"/>
    <w:rsid w:val="005E1BCB"/>
    <w:rsid w:val="005E1C12"/>
    <w:rsid w:val="005E201A"/>
    <w:rsid w:val="005E27EF"/>
    <w:rsid w:val="005E3C1C"/>
    <w:rsid w:val="005E4C8C"/>
    <w:rsid w:val="005E5321"/>
    <w:rsid w:val="005E7817"/>
    <w:rsid w:val="005F1427"/>
    <w:rsid w:val="005F2796"/>
    <w:rsid w:val="005F2ABF"/>
    <w:rsid w:val="005F37BE"/>
    <w:rsid w:val="005F39ED"/>
    <w:rsid w:val="005F3F87"/>
    <w:rsid w:val="005F4368"/>
    <w:rsid w:val="005F4630"/>
    <w:rsid w:val="005F50ED"/>
    <w:rsid w:val="005F514E"/>
    <w:rsid w:val="005F624B"/>
    <w:rsid w:val="005F67FB"/>
    <w:rsid w:val="005F7EC8"/>
    <w:rsid w:val="006000F9"/>
    <w:rsid w:val="00600347"/>
    <w:rsid w:val="0060068B"/>
    <w:rsid w:val="006015FB"/>
    <w:rsid w:val="00601E4B"/>
    <w:rsid w:val="0060203B"/>
    <w:rsid w:val="00602C69"/>
    <w:rsid w:val="0060360C"/>
    <w:rsid w:val="00603621"/>
    <w:rsid w:val="006038B7"/>
    <w:rsid w:val="00604F9A"/>
    <w:rsid w:val="0060543F"/>
    <w:rsid w:val="006058C9"/>
    <w:rsid w:val="00606460"/>
    <w:rsid w:val="00606D32"/>
    <w:rsid w:val="00606DB5"/>
    <w:rsid w:val="00610693"/>
    <w:rsid w:val="00610BF1"/>
    <w:rsid w:val="0061180D"/>
    <w:rsid w:val="00611C2F"/>
    <w:rsid w:val="006121CC"/>
    <w:rsid w:val="00614290"/>
    <w:rsid w:val="006150A3"/>
    <w:rsid w:val="006163BC"/>
    <w:rsid w:val="00620F95"/>
    <w:rsid w:val="00621D7D"/>
    <w:rsid w:val="006229D3"/>
    <w:rsid w:val="00622F3A"/>
    <w:rsid w:val="00623121"/>
    <w:rsid w:val="006233F7"/>
    <w:rsid w:val="00624C05"/>
    <w:rsid w:val="006275BC"/>
    <w:rsid w:val="00627703"/>
    <w:rsid w:val="00627DC1"/>
    <w:rsid w:val="00630278"/>
    <w:rsid w:val="006304A4"/>
    <w:rsid w:val="006305C5"/>
    <w:rsid w:val="00630B9A"/>
    <w:rsid w:val="00630D3F"/>
    <w:rsid w:val="00632236"/>
    <w:rsid w:val="006322EF"/>
    <w:rsid w:val="00633616"/>
    <w:rsid w:val="006336D0"/>
    <w:rsid w:val="00633BE9"/>
    <w:rsid w:val="006346E3"/>
    <w:rsid w:val="00635075"/>
    <w:rsid w:val="00635544"/>
    <w:rsid w:val="00635D75"/>
    <w:rsid w:val="00636EDC"/>
    <w:rsid w:val="00637464"/>
    <w:rsid w:val="00637526"/>
    <w:rsid w:val="0064065D"/>
    <w:rsid w:val="00640D34"/>
    <w:rsid w:val="00641791"/>
    <w:rsid w:val="006437B3"/>
    <w:rsid w:val="00643B9F"/>
    <w:rsid w:val="00644387"/>
    <w:rsid w:val="00646131"/>
    <w:rsid w:val="00646596"/>
    <w:rsid w:val="006465DF"/>
    <w:rsid w:val="00646EC0"/>
    <w:rsid w:val="00647159"/>
    <w:rsid w:val="006472E9"/>
    <w:rsid w:val="00647D0A"/>
    <w:rsid w:val="006518E4"/>
    <w:rsid w:val="00653921"/>
    <w:rsid w:val="0065397B"/>
    <w:rsid w:val="00654207"/>
    <w:rsid w:val="0065540D"/>
    <w:rsid w:val="006565E1"/>
    <w:rsid w:val="00657360"/>
    <w:rsid w:val="006606FD"/>
    <w:rsid w:val="0066291B"/>
    <w:rsid w:val="00663F0B"/>
    <w:rsid w:val="006654BC"/>
    <w:rsid w:val="00666273"/>
    <w:rsid w:val="00666E47"/>
    <w:rsid w:val="00667799"/>
    <w:rsid w:val="0066797D"/>
    <w:rsid w:val="0067009B"/>
    <w:rsid w:val="00670119"/>
    <w:rsid w:val="00670DF6"/>
    <w:rsid w:val="00672CDA"/>
    <w:rsid w:val="00672D34"/>
    <w:rsid w:val="006748C6"/>
    <w:rsid w:val="006748D4"/>
    <w:rsid w:val="00674D46"/>
    <w:rsid w:val="00674ED3"/>
    <w:rsid w:val="00675D2C"/>
    <w:rsid w:val="0067658E"/>
    <w:rsid w:val="00677BAE"/>
    <w:rsid w:val="00683CAB"/>
    <w:rsid w:val="00683E7C"/>
    <w:rsid w:val="006843F3"/>
    <w:rsid w:val="0068466D"/>
    <w:rsid w:val="006859AE"/>
    <w:rsid w:val="00686726"/>
    <w:rsid w:val="006868F8"/>
    <w:rsid w:val="00687C08"/>
    <w:rsid w:val="00690105"/>
    <w:rsid w:val="00690801"/>
    <w:rsid w:val="006918F4"/>
    <w:rsid w:val="0069298C"/>
    <w:rsid w:val="00693639"/>
    <w:rsid w:val="00694625"/>
    <w:rsid w:val="006964F8"/>
    <w:rsid w:val="0069657E"/>
    <w:rsid w:val="00696ED0"/>
    <w:rsid w:val="00696F0C"/>
    <w:rsid w:val="006970AD"/>
    <w:rsid w:val="006971E4"/>
    <w:rsid w:val="00697C5C"/>
    <w:rsid w:val="00697D9C"/>
    <w:rsid w:val="00697EEA"/>
    <w:rsid w:val="006A0C7F"/>
    <w:rsid w:val="006A30F3"/>
    <w:rsid w:val="006A40F6"/>
    <w:rsid w:val="006A41AC"/>
    <w:rsid w:val="006A44F6"/>
    <w:rsid w:val="006A4A03"/>
    <w:rsid w:val="006A4E64"/>
    <w:rsid w:val="006A517D"/>
    <w:rsid w:val="006A5A9C"/>
    <w:rsid w:val="006A5FFA"/>
    <w:rsid w:val="006A7A11"/>
    <w:rsid w:val="006B00AF"/>
    <w:rsid w:val="006B0ECD"/>
    <w:rsid w:val="006B10F2"/>
    <w:rsid w:val="006B16C8"/>
    <w:rsid w:val="006B1B84"/>
    <w:rsid w:val="006B2551"/>
    <w:rsid w:val="006B3177"/>
    <w:rsid w:val="006B3239"/>
    <w:rsid w:val="006B3774"/>
    <w:rsid w:val="006B3B4E"/>
    <w:rsid w:val="006B3EE2"/>
    <w:rsid w:val="006B4061"/>
    <w:rsid w:val="006B4726"/>
    <w:rsid w:val="006B4F82"/>
    <w:rsid w:val="006B7AF4"/>
    <w:rsid w:val="006C0238"/>
    <w:rsid w:val="006C0428"/>
    <w:rsid w:val="006C0701"/>
    <w:rsid w:val="006C0B4F"/>
    <w:rsid w:val="006C101C"/>
    <w:rsid w:val="006C1BCE"/>
    <w:rsid w:val="006C33C0"/>
    <w:rsid w:val="006C4065"/>
    <w:rsid w:val="006C5976"/>
    <w:rsid w:val="006C61B1"/>
    <w:rsid w:val="006C68BE"/>
    <w:rsid w:val="006D04F8"/>
    <w:rsid w:val="006D0C3E"/>
    <w:rsid w:val="006D0D89"/>
    <w:rsid w:val="006D13A2"/>
    <w:rsid w:val="006D1DC7"/>
    <w:rsid w:val="006D2A93"/>
    <w:rsid w:val="006D2B99"/>
    <w:rsid w:val="006D2F75"/>
    <w:rsid w:val="006D3694"/>
    <w:rsid w:val="006D39BD"/>
    <w:rsid w:val="006D47D3"/>
    <w:rsid w:val="006D4BF7"/>
    <w:rsid w:val="006D60DC"/>
    <w:rsid w:val="006D62A5"/>
    <w:rsid w:val="006D6F6C"/>
    <w:rsid w:val="006D72F5"/>
    <w:rsid w:val="006D7D21"/>
    <w:rsid w:val="006D7EA3"/>
    <w:rsid w:val="006E2AB6"/>
    <w:rsid w:val="006E2B51"/>
    <w:rsid w:val="006E6B21"/>
    <w:rsid w:val="006E7EB3"/>
    <w:rsid w:val="006F17B9"/>
    <w:rsid w:val="006F1CA8"/>
    <w:rsid w:val="006F1F06"/>
    <w:rsid w:val="006F2D9C"/>
    <w:rsid w:val="006F34C9"/>
    <w:rsid w:val="006F3BAA"/>
    <w:rsid w:val="006F4937"/>
    <w:rsid w:val="006F4E7B"/>
    <w:rsid w:val="00700617"/>
    <w:rsid w:val="007008B5"/>
    <w:rsid w:val="00700A5A"/>
    <w:rsid w:val="00700F32"/>
    <w:rsid w:val="00701244"/>
    <w:rsid w:val="00701529"/>
    <w:rsid w:val="00701631"/>
    <w:rsid w:val="00701C03"/>
    <w:rsid w:val="0070306D"/>
    <w:rsid w:val="0070397F"/>
    <w:rsid w:val="00705860"/>
    <w:rsid w:val="00706102"/>
    <w:rsid w:val="007062BA"/>
    <w:rsid w:val="00706A73"/>
    <w:rsid w:val="00707917"/>
    <w:rsid w:val="007079FF"/>
    <w:rsid w:val="00707A33"/>
    <w:rsid w:val="0071046B"/>
    <w:rsid w:val="00712E7F"/>
    <w:rsid w:val="00713292"/>
    <w:rsid w:val="00713764"/>
    <w:rsid w:val="0071446F"/>
    <w:rsid w:val="00714FD9"/>
    <w:rsid w:val="00715919"/>
    <w:rsid w:val="007159E8"/>
    <w:rsid w:val="00716148"/>
    <w:rsid w:val="007161E5"/>
    <w:rsid w:val="00716617"/>
    <w:rsid w:val="00716AC3"/>
    <w:rsid w:val="00716C65"/>
    <w:rsid w:val="00717567"/>
    <w:rsid w:val="00717FD6"/>
    <w:rsid w:val="007206FD"/>
    <w:rsid w:val="0072081E"/>
    <w:rsid w:val="00720C97"/>
    <w:rsid w:val="00720F5E"/>
    <w:rsid w:val="00721B48"/>
    <w:rsid w:val="00721D95"/>
    <w:rsid w:val="0072233E"/>
    <w:rsid w:val="0072273E"/>
    <w:rsid w:val="007238DD"/>
    <w:rsid w:val="00725FC5"/>
    <w:rsid w:val="00726013"/>
    <w:rsid w:val="007261BD"/>
    <w:rsid w:val="007263D3"/>
    <w:rsid w:val="0072683E"/>
    <w:rsid w:val="00726CFA"/>
    <w:rsid w:val="00726D7C"/>
    <w:rsid w:val="00726DFD"/>
    <w:rsid w:val="00727E05"/>
    <w:rsid w:val="00731CE4"/>
    <w:rsid w:val="0073431C"/>
    <w:rsid w:val="00734C86"/>
    <w:rsid w:val="0073511A"/>
    <w:rsid w:val="00736766"/>
    <w:rsid w:val="0073710A"/>
    <w:rsid w:val="00737B78"/>
    <w:rsid w:val="007414D9"/>
    <w:rsid w:val="007434CD"/>
    <w:rsid w:val="0074360A"/>
    <w:rsid w:val="00743742"/>
    <w:rsid w:val="007448B0"/>
    <w:rsid w:val="00744A9F"/>
    <w:rsid w:val="00745161"/>
    <w:rsid w:val="00745254"/>
    <w:rsid w:val="00745F4B"/>
    <w:rsid w:val="00746601"/>
    <w:rsid w:val="007470D7"/>
    <w:rsid w:val="007478F9"/>
    <w:rsid w:val="007501B0"/>
    <w:rsid w:val="00750A88"/>
    <w:rsid w:val="00750E37"/>
    <w:rsid w:val="007517F0"/>
    <w:rsid w:val="00752D8F"/>
    <w:rsid w:val="0075563D"/>
    <w:rsid w:val="007558B9"/>
    <w:rsid w:val="007559D7"/>
    <w:rsid w:val="00755B24"/>
    <w:rsid w:val="00756A0E"/>
    <w:rsid w:val="0075710C"/>
    <w:rsid w:val="0076059B"/>
    <w:rsid w:val="0076071B"/>
    <w:rsid w:val="0076100D"/>
    <w:rsid w:val="00761409"/>
    <w:rsid w:val="00761CCD"/>
    <w:rsid w:val="00763371"/>
    <w:rsid w:val="0076405B"/>
    <w:rsid w:val="0076482C"/>
    <w:rsid w:val="00764CC2"/>
    <w:rsid w:val="00764D99"/>
    <w:rsid w:val="00764FD3"/>
    <w:rsid w:val="00765386"/>
    <w:rsid w:val="007653E0"/>
    <w:rsid w:val="00765474"/>
    <w:rsid w:val="007658AF"/>
    <w:rsid w:val="00765951"/>
    <w:rsid w:val="00765A86"/>
    <w:rsid w:val="00765E2C"/>
    <w:rsid w:val="007662E6"/>
    <w:rsid w:val="007663A1"/>
    <w:rsid w:val="007665F4"/>
    <w:rsid w:val="00767518"/>
    <w:rsid w:val="00767727"/>
    <w:rsid w:val="00767B2E"/>
    <w:rsid w:val="0077022D"/>
    <w:rsid w:val="00770631"/>
    <w:rsid w:val="0077078F"/>
    <w:rsid w:val="0077082F"/>
    <w:rsid w:val="007710E2"/>
    <w:rsid w:val="00772AC1"/>
    <w:rsid w:val="00773D9D"/>
    <w:rsid w:val="0077419E"/>
    <w:rsid w:val="00774A99"/>
    <w:rsid w:val="00775511"/>
    <w:rsid w:val="0077552A"/>
    <w:rsid w:val="007758BD"/>
    <w:rsid w:val="0077600A"/>
    <w:rsid w:val="007772C8"/>
    <w:rsid w:val="00777714"/>
    <w:rsid w:val="00777929"/>
    <w:rsid w:val="00777BF9"/>
    <w:rsid w:val="007800B5"/>
    <w:rsid w:val="00780D41"/>
    <w:rsid w:val="00781AE2"/>
    <w:rsid w:val="00781EC1"/>
    <w:rsid w:val="007829B3"/>
    <w:rsid w:val="00784C83"/>
    <w:rsid w:val="00786307"/>
    <w:rsid w:val="007867B7"/>
    <w:rsid w:val="0078694C"/>
    <w:rsid w:val="007870A8"/>
    <w:rsid w:val="00787282"/>
    <w:rsid w:val="00787301"/>
    <w:rsid w:val="00787856"/>
    <w:rsid w:val="00787E63"/>
    <w:rsid w:val="00790004"/>
    <w:rsid w:val="00790435"/>
    <w:rsid w:val="00790617"/>
    <w:rsid w:val="00790754"/>
    <w:rsid w:val="007913BC"/>
    <w:rsid w:val="007915EE"/>
    <w:rsid w:val="00791E53"/>
    <w:rsid w:val="00793339"/>
    <w:rsid w:val="007951D4"/>
    <w:rsid w:val="00796986"/>
    <w:rsid w:val="007975AC"/>
    <w:rsid w:val="007975FF"/>
    <w:rsid w:val="00797932"/>
    <w:rsid w:val="007A22C7"/>
    <w:rsid w:val="007A2534"/>
    <w:rsid w:val="007A26E7"/>
    <w:rsid w:val="007A3515"/>
    <w:rsid w:val="007A3C2B"/>
    <w:rsid w:val="007A3ECC"/>
    <w:rsid w:val="007A3F4B"/>
    <w:rsid w:val="007A75F4"/>
    <w:rsid w:val="007A7D00"/>
    <w:rsid w:val="007B25D2"/>
    <w:rsid w:val="007B2783"/>
    <w:rsid w:val="007B2CA9"/>
    <w:rsid w:val="007B35CB"/>
    <w:rsid w:val="007B4504"/>
    <w:rsid w:val="007B46B8"/>
    <w:rsid w:val="007B5EB6"/>
    <w:rsid w:val="007C0472"/>
    <w:rsid w:val="007C1928"/>
    <w:rsid w:val="007C2E6B"/>
    <w:rsid w:val="007C393B"/>
    <w:rsid w:val="007C461D"/>
    <w:rsid w:val="007C5659"/>
    <w:rsid w:val="007C61EE"/>
    <w:rsid w:val="007C7764"/>
    <w:rsid w:val="007D02D8"/>
    <w:rsid w:val="007D0F23"/>
    <w:rsid w:val="007D1070"/>
    <w:rsid w:val="007D118C"/>
    <w:rsid w:val="007D2657"/>
    <w:rsid w:val="007D2C2B"/>
    <w:rsid w:val="007D471C"/>
    <w:rsid w:val="007D517B"/>
    <w:rsid w:val="007D6A6A"/>
    <w:rsid w:val="007D6F4C"/>
    <w:rsid w:val="007D78EF"/>
    <w:rsid w:val="007E0F68"/>
    <w:rsid w:val="007E1A92"/>
    <w:rsid w:val="007E22C6"/>
    <w:rsid w:val="007E2438"/>
    <w:rsid w:val="007E2BC0"/>
    <w:rsid w:val="007E40E9"/>
    <w:rsid w:val="007E4204"/>
    <w:rsid w:val="007E4A7D"/>
    <w:rsid w:val="007E4BAC"/>
    <w:rsid w:val="007E4ECC"/>
    <w:rsid w:val="007E6263"/>
    <w:rsid w:val="007E6275"/>
    <w:rsid w:val="007E6A76"/>
    <w:rsid w:val="007E7141"/>
    <w:rsid w:val="007E7F54"/>
    <w:rsid w:val="007F277B"/>
    <w:rsid w:val="007F27AF"/>
    <w:rsid w:val="007F2B56"/>
    <w:rsid w:val="007F3B6F"/>
    <w:rsid w:val="007F45F0"/>
    <w:rsid w:val="007F4D3B"/>
    <w:rsid w:val="007F5C22"/>
    <w:rsid w:val="007F6476"/>
    <w:rsid w:val="007F6552"/>
    <w:rsid w:val="00800372"/>
    <w:rsid w:val="008003DF"/>
    <w:rsid w:val="008004C1"/>
    <w:rsid w:val="00800EA9"/>
    <w:rsid w:val="00801191"/>
    <w:rsid w:val="00803AA6"/>
    <w:rsid w:val="0080474D"/>
    <w:rsid w:val="00804F32"/>
    <w:rsid w:val="0080508B"/>
    <w:rsid w:val="008050BF"/>
    <w:rsid w:val="00805526"/>
    <w:rsid w:val="00805BD4"/>
    <w:rsid w:val="00806059"/>
    <w:rsid w:val="00806972"/>
    <w:rsid w:val="00807033"/>
    <w:rsid w:val="00807132"/>
    <w:rsid w:val="00807292"/>
    <w:rsid w:val="0080770F"/>
    <w:rsid w:val="008103C3"/>
    <w:rsid w:val="00810427"/>
    <w:rsid w:val="00810C79"/>
    <w:rsid w:val="008117A0"/>
    <w:rsid w:val="00812799"/>
    <w:rsid w:val="0081309E"/>
    <w:rsid w:val="00813D84"/>
    <w:rsid w:val="008149D5"/>
    <w:rsid w:val="00815EC4"/>
    <w:rsid w:val="00815F38"/>
    <w:rsid w:val="00816026"/>
    <w:rsid w:val="0081615D"/>
    <w:rsid w:val="0081684E"/>
    <w:rsid w:val="00816C46"/>
    <w:rsid w:val="008170E3"/>
    <w:rsid w:val="00817D88"/>
    <w:rsid w:val="0082053C"/>
    <w:rsid w:val="00820574"/>
    <w:rsid w:val="00820696"/>
    <w:rsid w:val="00820B85"/>
    <w:rsid w:val="008210D5"/>
    <w:rsid w:val="008215A4"/>
    <w:rsid w:val="008226A1"/>
    <w:rsid w:val="00823318"/>
    <w:rsid w:val="0082549B"/>
    <w:rsid w:val="008256DB"/>
    <w:rsid w:val="00827126"/>
    <w:rsid w:val="00827B33"/>
    <w:rsid w:val="00827D6C"/>
    <w:rsid w:val="0083064D"/>
    <w:rsid w:val="00830A5D"/>
    <w:rsid w:val="0083118D"/>
    <w:rsid w:val="00831510"/>
    <w:rsid w:val="00831B1F"/>
    <w:rsid w:val="00832222"/>
    <w:rsid w:val="0083355D"/>
    <w:rsid w:val="0083370F"/>
    <w:rsid w:val="00833C41"/>
    <w:rsid w:val="0083456A"/>
    <w:rsid w:val="00834AFC"/>
    <w:rsid w:val="00834C5D"/>
    <w:rsid w:val="0083581D"/>
    <w:rsid w:val="00840692"/>
    <w:rsid w:val="00840EE4"/>
    <w:rsid w:val="00841C82"/>
    <w:rsid w:val="00841C93"/>
    <w:rsid w:val="00842479"/>
    <w:rsid w:val="008448F7"/>
    <w:rsid w:val="00845CB6"/>
    <w:rsid w:val="00846620"/>
    <w:rsid w:val="00846955"/>
    <w:rsid w:val="00846E91"/>
    <w:rsid w:val="008477F0"/>
    <w:rsid w:val="00847DD4"/>
    <w:rsid w:val="00852707"/>
    <w:rsid w:val="008528D0"/>
    <w:rsid w:val="00853276"/>
    <w:rsid w:val="00854016"/>
    <w:rsid w:val="008551F9"/>
    <w:rsid w:val="00857168"/>
    <w:rsid w:val="008579F6"/>
    <w:rsid w:val="0086065C"/>
    <w:rsid w:val="00860703"/>
    <w:rsid w:val="00861707"/>
    <w:rsid w:val="008631A2"/>
    <w:rsid w:val="00864BDE"/>
    <w:rsid w:val="00865866"/>
    <w:rsid w:val="0086684F"/>
    <w:rsid w:val="00866AC6"/>
    <w:rsid w:val="00866D84"/>
    <w:rsid w:val="00866E7A"/>
    <w:rsid w:val="00867791"/>
    <w:rsid w:val="00870906"/>
    <w:rsid w:val="00870B56"/>
    <w:rsid w:val="00871E21"/>
    <w:rsid w:val="00871F05"/>
    <w:rsid w:val="00872235"/>
    <w:rsid w:val="00874586"/>
    <w:rsid w:val="00875746"/>
    <w:rsid w:val="008764A9"/>
    <w:rsid w:val="00876E26"/>
    <w:rsid w:val="0088154D"/>
    <w:rsid w:val="00881B16"/>
    <w:rsid w:val="008847CD"/>
    <w:rsid w:val="00884DE0"/>
    <w:rsid w:val="00885474"/>
    <w:rsid w:val="008855F2"/>
    <w:rsid w:val="0088572E"/>
    <w:rsid w:val="00885D31"/>
    <w:rsid w:val="00886E60"/>
    <w:rsid w:val="00887B4B"/>
    <w:rsid w:val="00891FC3"/>
    <w:rsid w:val="008928C5"/>
    <w:rsid w:val="00892DA5"/>
    <w:rsid w:val="008946E2"/>
    <w:rsid w:val="008948FE"/>
    <w:rsid w:val="00894A75"/>
    <w:rsid w:val="00894F9F"/>
    <w:rsid w:val="00895474"/>
    <w:rsid w:val="00895B54"/>
    <w:rsid w:val="008960BA"/>
    <w:rsid w:val="00896AED"/>
    <w:rsid w:val="00896B8B"/>
    <w:rsid w:val="008A08AD"/>
    <w:rsid w:val="008A0982"/>
    <w:rsid w:val="008A0D1A"/>
    <w:rsid w:val="008A176B"/>
    <w:rsid w:val="008A212F"/>
    <w:rsid w:val="008A3171"/>
    <w:rsid w:val="008A3B38"/>
    <w:rsid w:val="008A5673"/>
    <w:rsid w:val="008A71D7"/>
    <w:rsid w:val="008B0049"/>
    <w:rsid w:val="008B04E1"/>
    <w:rsid w:val="008B0B9F"/>
    <w:rsid w:val="008B2DDF"/>
    <w:rsid w:val="008B2FD1"/>
    <w:rsid w:val="008B348E"/>
    <w:rsid w:val="008B41B5"/>
    <w:rsid w:val="008B5126"/>
    <w:rsid w:val="008B58BC"/>
    <w:rsid w:val="008B5E0F"/>
    <w:rsid w:val="008B6EB0"/>
    <w:rsid w:val="008B7433"/>
    <w:rsid w:val="008B7A70"/>
    <w:rsid w:val="008C078E"/>
    <w:rsid w:val="008C0B6D"/>
    <w:rsid w:val="008C17AE"/>
    <w:rsid w:val="008C1C0D"/>
    <w:rsid w:val="008C5BC4"/>
    <w:rsid w:val="008C6C10"/>
    <w:rsid w:val="008C7321"/>
    <w:rsid w:val="008D04D4"/>
    <w:rsid w:val="008D0718"/>
    <w:rsid w:val="008D0B4A"/>
    <w:rsid w:val="008D10B8"/>
    <w:rsid w:val="008D15C5"/>
    <w:rsid w:val="008D16C8"/>
    <w:rsid w:val="008D2528"/>
    <w:rsid w:val="008D38A8"/>
    <w:rsid w:val="008D4F44"/>
    <w:rsid w:val="008D524A"/>
    <w:rsid w:val="008D579B"/>
    <w:rsid w:val="008D5A31"/>
    <w:rsid w:val="008D66BA"/>
    <w:rsid w:val="008D78D7"/>
    <w:rsid w:val="008E11E8"/>
    <w:rsid w:val="008E1E9A"/>
    <w:rsid w:val="008E351A"/>
    <w:rsid w:val="008E3915"/>
    <w:rsid w:val="008E4580"/>
    <w:rsid w:val="008E6067"/>
    <w:rsid w:val="008E72A4"/>
    <w:rsid w:val="008E7342"/>
    <w:rsid w:val="008E74EE"/>
    <w:rsid w:val="008E7541"/>
    <w:rsid w:val="008E77A9"/>
    <w:rsid w:val="008E77C8"/>
    <w:rsid w:val="008F01E8"/>
    <w:rsid w:val="008F0818"/>
    <w:rsid w:val="008F08FF"/>
    <w:rsid w:val="008F09AF"/>
    <w:rsid w:val="008F1250"/>
    <w:rsid w:val="008F16BF"/>
    <w:rsid w:val="008F22DC"/>
    <w:rsid w:val="008F2D12"/>
    <w:rsid w:val="008F33D8"/>
    <w:rsid w:val="008F373B"/>
    <w:rsid w:val="008F392D"/>
    <w:rsid w:val="008F57BB"/>
    <w:rsid w:val="008F5D9F"/>
    <w:rsid w:val="008F7745"/>
    <w:rsid w:val="008F7CC6"/>
    <w:rsid w:val="00900CA3"/>
    <w:rsid w:val="009019AF"/>
    <w:rsid w:val="00902146"/>
    <w:rsid w:val="00903624"/>
    <w:rsid w:val="009037D3"/>
    <w:rsid w:val="009044CC"/>
    <w:rsid w:val="00904822"/>
    <w:rsid w:val="009052C2"/>
    <w:rsid w:val="00905875"/>
    <w:rsid w:val="00905BAC"/>
    <w:rsid w:val="00905C0F"/>
    <w:rsid w:val="00906D55"/>
    <w:rsid w:val="0090772F"/>
    <w:rsid w:val="00907936"/>
    <w:rsid w:val="00910152"/>
    <w:rsid w:val="009122F1"/>
    <w:rsid w:val="00912AD1"/>
    <w:rsid w:val="009137F2"/>
    <w:rsid w:val="009138B1"/>
    <w:rsid w:val="00914AE3"/>
    <w:rsid w:val="00914BE8"/>
    <w:rsid w:val="00915C13"/>
    <w:rsid w:val="00916521"/>
    <w:rsid w:val="0091657D"/>
    <w:rsid w:val="00916811"/>
    <w:rsid w:val="00921BA8"/>
    <w:rsid w:val="009224D8"/>
    <w:rsid w:val="00923389"/>
    <w:rsid w:val="00923836"/>
    <w:rsid w:val="00923BBC"/>
    <w:rsid w:val="00924123"/>
    <w:rsid w:val="0092569A"/>
    <w:rsid w:val="00926544"/>
    <w:rsid w:val="00926545"/>
    <w:rsid w:val="00926B84"/>
    <w:rsid w:val="009278CE"/>
    <w:rsid w:val="0092796C"/>
    <w:rsid w:val="0093150B"/>
    <w:rsid w:val="00931F8D"/>
    <w:rsid w:val="0093283D"/>
    <w:rsid w:val="00935320"/>
    <w:rsid w:val="00936364"/>
    <w:rsid w:val="00936A59"/>
    <w:rsid w:val="00936EF4"/>
    <w:rsid w:val="00937D9B"/>
    <w:rsid w:val="00937DC9"/>
    <w:rsid w:val="00940548"/>
    <w:rsid w:val="00940880"/>
    <w:rsid w:val="0094148D"/>
    <w:rsid w:val="009424D6"/>
    <w:rsid w:val="00943D17"/>
    <w:rsid w:val="00943D63"/>
    <w:rsid w:val="009452E1"/>
    <w:rsid w:val="00945329"/>
    <w:rsid w:val="00945BA4"/>
    <w:rsid w:val="00945E34"/>
    <w:rsid w:val="0094636D"/>
    <w:rsid w:val="00947944"/>
    <w:rsid w:val="0095113A"/>
    <w:rsid w:val="00952A27"/>
    <w:rsid w:val="009534DE"/>
    <w:rsid w:val="00953515"/>
    <w:rsid w:val="0095438C"/>
    <w:rsid w:val="0095456B"/>
    <w:rsid w:val="009566B1"/>
    <w:rsid w:val="009575FA"/>
    <w:rsid w:val="009577DC"/>
    <w:rsid w:val="009578D2"/>
    <w:rsid w:val="00960181"/>
    <w:rsid w:val="00960745"/>
    <w:rsid w:val="00960A4C"/>
    <w:rsid w:val="009621DD"/>
    <w:rsid w:val="00962565"/>
    <w:rsid w:val="00963A17"/>
    <w:rsid w:val="00963A1D"/>
    <w:rsid w:val="00964260"/>
    <w:rsid w:val="009656AA"/>
    <w:rsid w:val="00965F00"/>
    <w:rsid w:val="00965F32"/>
    <w:rsid w:val="009661AB"/>
    <w:rsid w:val="00966B0D"/>
    <w:rsid w:val="009673B1"/>
    <w:rsid w:val="00967F20"/>
    <w:rsid w:val="009712E6"/>
    <w:rsid w:val="009714D2"/>
    <w:rsid w:val="009714F6"/>
    <w:rsid w:val="00971F94"/>
    <w:rsid w:val="009722E2"/>
    <w:rsid w:val="0097251C"/>
    <w:rsid w:val="0097268B"/>
    <w:rsid w:val="00973FFF"/>
    <w:rsid w:val="00975153"/>
    <w:rsid w:val="0097675A"/>
    <w:rsid w:val="00977ADB"/>
    <w:rsid w:val="009816A4"/>
    <w:rsid w:val="00982D2E"/>
    <w:rsid w:val="00982EDF"/>
    <w:rsid w:val="00983275"/>
    <w:rsid w:val="009836BC"/>
    <w:rsid w:val="009845A5"/>
    <w:rsid w:val="00986A7D"/>
    <w:rsid w:val="00987643"/>
    <w:rsid w:val="00987B99"/>
    <w:rsid w:val="00987CFC"/>
    <w:rsid w:val="009903A2"/>
    <w:rsid w:val="00990EF3"/>
    <w:rsid w:val="00991290"/>
    <w:rsid w:val="00991ECE"/>
    <w:rsid w:val="0099366A"/>
    <w:rsid w:val="009960BE"/>
    <w:rsid w:val="009A0BBA"/>
    <w:rsid w:val="009A151F"/>
    <w:rsid w:val="009A1894"/>
    <w:rsid w:val="009A1990"/>
    <w:rsid w:val="009A303F"/>
    <w:rsid w:val="009A3E6A"/>
    <w:rsid w:val="009A53AE"/>
    <w:rsid w:val="009A53CB"/>
    <w:rsid w:val="009A558F"/>
    <w:rsid w:val="009A6D03"/>
    <w:rsid w:val="009A6F59"/>
    <w:rsid w:val="009A77F3"/>
    <w:rsid w:val="009A7BAA"/>
    <w:rsid w:val="009B01EE"/>
    <w:rsid w:val="009B0A8B"/>
    <w:rsid w:val="009B196F"/>
    <w:rsid w:val="009B1AFA"/>
    <w:rsid w:val="009B20A5"/>
    <w:rsid w:val="009B28CE"/>
    <w:rsid w:val="009B2C0A"/>
    <w:rsid w:val="009B4EE2"/>
    <w:rsid w:val="009B5642"/>
    <w:rsid w:val="009B5BBA"/>
    <w:rsid w:val="009B627A"/>
    <w:rsid w:val="009B6479"/>
    <w:rsid w:val="009B6526"/>
    <w:rsid w:val="009B6FF3"/>
    <w:rsid w:val="009B7201"/>
    <w:rsid w:val="009B76D6"/>
    <w:rsid w:val="009C095D"/>
    <w:rsid w:val="009C14E9"/>
    <w:rsid w:val="009C1CA3"/>
    <w:rsid w:val="009C1F1C"/>
    <w:rsid w:val="009C25E3"/>
    <w:rsid w:val="009C363A"/>
    <w:rsid w:val="009C4055"/>
    <w:rsid w:val="009C4291"/>
    <w:rsid w:val="009C5A94"/>
    <w:rsid w:val="009C655C"/>
    <w:rsid w:val="009C6774"/>
    <w:rsid w:val="009D0068"/>
    <w:rsid w:val="009D02A2"/>
    <w:rsid w:val="009D0756"/>
    <w:rsid w:val="009D13C2"/>
    <w:rsid w:val="009D142B"/>
    <w:rsid w:val="009D24E4"/>
    <w:rsid w:val="009D25D8"/>
    <w:rsid w:val="009D2EA1"/>
    <w:rsid w:val="009D4193"/>
    <w:rsid w:val="009D483C"/>
    <w:rsid w:val="009D5D48"/>
    <w:rsid w:val="009E0825"/>
    <w:rsid w:val="009E0AAC"/>
    <w:rsid w:val="009E132E"/>
    <w:rsid w:val="009E1E8B"/>
    <w:rsid w:val="009E44CB"/>
    <w:rsid w:val="009E606E"/>
    <w:rsid w:val="009E6A8E"/>
    <w:rsid w:val="009E721E"/>
    <w:rsid w:val="009F0556"/>
    <w:rsid w:val="009F078E"/>
    <w:rsid w:val="009F0B46"/>
    <w:rsid w:val="009F13B4"/>
    <w:rsid w:val="009F1F8D"/>
    <w:rsid w:val="009F25AE"/>
    <w:rsid w:val="009F32EA"/>
    <w:rsid w:val="009F4D0A"/>
    <w:rsid w:val="009F4EBC"/>
    <w:rsid w:val="009F61E2"/>
    <w:rsid w:val="009F7237"/>
    <w:rsid w:val="00A004C9"/>
    <w:rsid w:val="00A009E3"/>
    <w:rsid w:val="00A022C2"/>
    <w:rsid w:val="00A02337"/>
    <w:rsid w:val="00A028F0"/>
    <w:rsid w:val="00A02ABD"/>
    <w:rsid w:val="00A02EA4"/>
    <w:rsid w:val="00A039CD"/>
    <w:rsid w:val="00A04122"/>
    <w:rsid w:val="00A04293"/>
    <w:rsid w:val="00A04FF1"/>
    <w:rsid w:val="00A0551C"/>
    <w:rsid w:val="00A05E71"/>
    <w:rsid w:val="00A06565"/>
    <w:rsid w:val="00A076CA"/>
    <w:rsid w:val="00A07D07"/>
    <w:rsid w:val="00A07DA7"/>
    <w:rsid w:val="00A10A7F"/>
    <w:rsid w:val="00A113EE"/>
    <w:rsid w:val="00A1161C"/>
    <w:rsid w:val="00A11E10"/>
    <w:rsid w:val="00A12639"/>
    <w:rsid w:val="00A129CC"/>
    <w:rsid w:val="00A12C9D"/>
    <w:rsid w:val="00A140BB"/>
    <w:rsid w:val="00A14885"/>
    <w:rsid w:val="00A14DA9"/>
    <w:rsid w:val="00A14E5E"/>
    <w:rsid w:val="00A154E0"/>
    <w:rsid w:val="00A156B2"/>
    <w:rsid w:val="00A15ED5"/>
    <w:rsid w:val="00A16064"/>
    <w:rsid w:val="00A1712B"/>
    <w:rsid w:val="00A17424"/>
    <w:rsid w:val="00A1752B"/>
    <w:rsid w:val="00A17E45"/>
    <w:rsid w:val="00A2078A"/>
    <w:rsid w:val="00A20828"/>
    <w:rsid w:val="00A22B72"/>
    <w:rsid w:val="00A239E8"/>
    <w:rsid w:val="00A23C57"/>
    <w:rsid w:val="00A2407D"/>
    <w:rsid w:val="00A241EA"/>
    <w:rsid w:val="00A24603"/>
    <w:rsid w:val="00A24E2B"/>
    <w:rsid w:val="00A25F3C"/>
    <w:rsid w:val="00A265D7"/>
    <w:rsid w:val="00A279C8"/>
    <w:rsid w:val="00A27DD1"/>
    <w:rsid w:val="00A3019A"/>
    <w:rsid w:val="00A32355"/>
    <w:rsid w:val="00A325A5"/>
    <w:rsid w:val="00A328E7"/>
    <w:rsid w:val="00A335D0"/>
    <w:rsid w:val="00A33FDD"/>
    <w:rsid w:val="00A34646"/>
    <w:rsid w:val="00A34C44"/>
    <w:rsid w:val="00A35BFF"/>
    <w:rsid w:val="00A3750C"/>
    <w:rsid w:val="00A37E3A"/>
    <w:rsid w:val="00A416E5"/>
    <w:rsid w:val="00A423EA"/>
    <w:rsid w:val="00A42638"/>
    <w:rsid w:val="00A4314A"/>
    <w:rsid w:val="00A435F7"/>
    <w:rsid w:val="00A442BB"/>
    <w:rsid w:val="00A44B58"/>
    <w:rsid w:val="00A4515E"/>
    <w:rsid w:val="00A45AE9"/>
    <w:rsid w:val="00A46CC0"/>
    <w:rsid w:val="00A47207"/>
    <w:rsid w:val="00A513C5"/>
    <w:rsid w:val="00A5181A"/>
    <w:rsid w:val="00A518DC"/>
    <w:rsid w:val="00A52C12"/>
    <w:rsid w:val="00A5479E"/>
    <w:rsid w:val="00A547CB"/>
    <w:rsid w:val="00A553A9"/>
    <w:rsid w:val="00A5606C"/>
    <w:rsid w:val="00A57837"/>
    <w:rsid w:val="00A61645"/>
    <w:rsid w:val="00A61C2C"/>
    <w:rsid w:val="00A62D07"/>
    <w:rsid w:val="00A64B99"/>
    <w:rsid w:val="00A64EBD"/>
    <w:rsid w:val="00A64EE0"/>
    <w:rsid w:val="00A66C45"/>
    <w:rsid w:val="00A66D89"/>
    <w:rsid w:val="00A677F1"/>
    <w:rsid w:val="00A71877"/>
    <w:rsid w:val="00A71CF4"/>
    <w:rsid w:val="00A71F09"/>
    <w:rsid w:val="00A73593"/>
    <w:rsid w:val="00A73823"/>
    <w:rsid w:val="00A74DBF"/>
    <w:rsid w:val="00A7579C"/>
    <w:rsid w:val="00A75F19"/>
    <w:rsid w:val="00A777E6"/>
    <w:rsid w:val="00A77F93"/>
    <w:rsid w:val="00A80472"/>
    <w:rsid w:val="00A817C7"/>
    <w:rsid w:val="00A84910"/>
    <w:rsid w:val="00A84A09"/>
    <w:rsid w:val="00A851E4"/>
    <w:rsid w:val="00A8562D"/>
    <w:rsid w:val="00A861D9"/>
    <w:rsid w:val="00A86F1E"/>
    <w:rsid w:val="00A87E25"/>
    <w:rsid w:val="00A9004A"/>
    <w:rsid w:val="00A902AD"/>
    <w:rsid w:val="00A91575"/>
    <w:rsid w:val="00A92C11"/>
    <w:rsid w:val="00A93934"/>
    <w:rsid w:val="00A93AE3"/>
    <w:rsid w:val="00A94048"/>
    <w:rsid w:val="00A94260"/>
    <w:rsid w:val="00A9477F"/>
    <w:rsid w:val="00A94B01"/>
    <w:rsid w:val="00A972E3"/>
    <w:rsid w:val="00A975CB"/>
    <w:rsid w:val="00AA157C"/>
    <w:rsid w:val="00AA1FA1"/>
    <w:rsid w:val="00AA2772"/>
    <w:rsid w:val="00AA2E9C"/>
    <w:rsid w:val="00AA4037"/>
    <w:rsid w:val="00AA45E6"/>
    <w:rsid w:val="00AA47ED"/>
    <w:rsid w:val="00AA531D"/>
    <w:rsid w:val="00AA53C5"/>
    <w:rsid w:val="00AA5BC4"/>
    <w:rsid w:val="00AA6FDE"/>
    <w:rsid w:val="00AA7FF7"/>
    <w:rsid w:val="00AB0808"/>
    <w:rsid w:val="00AB09EB"/>
    <w:rsid w:val="00AB156C"/>
    <w:rsid w:val="00AB2D8D"/>
    <w:rsid w:val="00AB3D2B"/>
    <w:rsid w:val="00AB4174"/>
    <w:rsid w:val="00AB4FC7"/>
    <w:rsid w:val="00AB5B75"/>
    <w:rsid w:val="00AB66FB"/>
    <w:rsid w:val="00AB6904"/>
    <w:rsid w:val="00AB6CE1"/>
    <w:rsid w:val="00AB70AC"/>
    <w:rsid w:val="00AB71D0"/>
    <w:rsid w:val="00AC0179"/>
    <w:rsid w:val="00AC0821"/>
    <w:rsid w:val="00AC083C"/>
    <w:rsid w:val="00AC14A1"/>
    <w:rsid w:val="00AC154D"/>
    <w:rsid w:val="00AC1D94"/>
    <w:rsid w:val="00AC224C"/>
    <w:rsid w:val="00AC3CA4"/>
    <w:rsid w:val="00AC43E6"/>
    <w:rsid w:val="00AC54F8"/>
    <w:rsid w:val="00AC6206"/>
    <w:rsid w:val="00AC64E4"/>
    <w:rsid w:val="00AC6B44"/>
    <w:rsid w:val="00AC6DBC"/>
    <w:rsid w:val="00AC76D5"/>
    <w:rsid w:val="00AD04A9"/>
    <w:rsid w:val="00AD1EFD"/>
    <w:rsid w:val="00AD1F86"/>
    <w:rsid w:val="00AD211C"/>
    <w:rsid w:val="00AD2587"/>
    <w:rsid w:val="00AD2CD5"/>
    <w:rsid w:val="00AD6A0B"/>
    <w:rsid w:val="00AD7140"/>
    <w:rsid w:val="00AD730F"/>
    <w:rsid w:val="00AD79E9"/>
    <w:rsid w:val="00AE0370"/>
    <w:rsid w:val="00AE0BF8"/>
    <w:rsid w:val="00AE2856"/>
    <w:rsid w:val="00AE31EE"/>
    <w:rsid w:val="00AE4EEC"/>
    <w:rsid w:val="00AE53E8"/>
    <w:rsid w:val="00AE637A"/>
    <w:rsid w:val="00AE7078"/>
    <w:rsid w:val="00AE748B"/>
    <w:rsid w:val="00AE7979"/>
    <w:rsid w:val="00AE7EF7"/>
    <w:rsid w:val="00AF117F"/>
    <w:rsid w:val="00AF1B58"/>
    <w:rsid w:val="00AF1C0D"/>
    <w:rsid w:val="00AF21C6"/>
    <w:rsid w:val="00AF4496"/>
    <w:rsid w:val="00AF69DD"/>
    <w:rsid w:val="00AF6F65"/>
    <w:rsid w:val="00AF709C"/>
    <w:rsid w:val="00AF70E1"/>
    <w:rsid w:val="00AF7237"/>
    <w:rsid w:val="00AF7303"/>
    <w:rsid w:val="00B00F6B"/>
    <w:rsid w:val="00B01319"/>
    <w:rsid w:val="00B025FE"/>
    <w:rsid w:val="00B02AA3"/>
    <w:rsid w:val="00B055E3"/>
    <w:rsid w:val="00B0599F"/>
    <w:rsid w:val="00B06191"/>
    <w:rsid w:val="00B0753D"/>
    <w:rsid w:val="00B10968"/>
    <w:rsid w:val="00B10F7E"/>
    <w:rsid w:val="00B11160"/>
    <w:rsid w:val="00B125AA"/>
    <w:rsid w:val="00B12FEF"/>
    <w:rsid w:val="00B13B0B"/>
    <w:rsid w:val="00B13EBC"/>
    <w:rsid w:val="00B14CA7"/>
    <w:rsid w:val="00B15075"/>
    <w:rsid w:val="00B152DD"/>
    <w:rsid w:val="00B15F99"/>
    <w:rsid w:val="00B17C05"/>
    <w:rsid w:val="00B17CEC"/>
    <w:rsid w:val="00B21813"/>
    <w:rsid w:val="00B2222E"/>
    <w:rsid w:val="00B222CC"/>
    <w:rsid w:val="00B240AF"/>
    <w:rsid w:val="00B24B68"/>
    <w:rsid w:val="00B2575A"/>
    <w:rsid w:val="00B25949"/>
    <w:rsid w:val="00B25C1D"/>
    <w:rsid w:val="00B3041F"/>
    <w:rsid w:val="00B32183"/>
    <w:rsid w:val="00B3278B"/>
    <w:rsid w:val="00B330E6"/>
    <w:rsid w:val="00B33751"/>
    <w:rsid w:val="00B341CE"/>
    <w:rsid w:val="00B34FF4"/>
    <w:rsid w:val="00B3516D"/>
    <w:rsid w:val="00B35A68"/>
    <w:rsid w:val="00B35BED"/>
    <w:rsid w:val="00B36328"/>
    <w:rsid w:val="00B368DE"/>
    <w:rsid w:val="00B373E7"/>
    <w:rsid w:val="00B373F0"/>
    <w:rsid w:val="00B3763D"/>
    <w:rsid w:val="00B40F8D"/>
    <w:rsid w:val="00B41D8E"/>
    <w:rsid w:val="00B424B7"/>
    <w:rsid w:val="00B430F9"/>
    <w:rsid w:val="00B431F6"/>
    <w:rsid w:val="00B45B2C"/>
    <w:rsid w:val="00B45FA4"/>
    <w:rsid w:val="00B502AF"/>
    <w:rsid w:val="00B51931"/>
    <w:rsid w:val="00B52019"/>
    <w:rsid w:val="00B520DC"/>
    <w:rsid w:val="00B52190"/>
    <w:rsid w:val="00B53257"/>
    <w:rsid w:val="00B53622"/>
    <w:rsid w:val="00B53F99"/>
    <w:rsid w:val="00B5402E"/>
    <w:rsid w:val="00B54131"/>
    <w:rsid w:val="00B5675C"/>
    <w:rsid w:val="00B567AE"/>
    <w:rsid w:val="00B56D39"/>
    <w:rsid w:val="00B5707C"/>
    <w:rsid w:val="00B57F52"/>
    <w:rsid w:val="00B60776"/>
    <w:rsid w:val="00B60A25"/>
    <w:rsid w:val="00B60DF2"/>
    <w:rsid w:val="00B60E42"/>
    <w:rsid w:val="00B60ED8"/>
    <w:rsid w:val="00B64410"/>
    <w:rsid w:val="00B669B4"/>
    <w:rsid w:val="00B703C2"/>
    <w:rsid w:val="00B70B72"/>
    <w:rsid w:val="00B722BC"/>
    <w:rsid w:val="00B72421"/>
    <w:rsid w:val="00B74ED7"/>
    <w:rsid w:val="00B76D7A"/>
    <w:rsid w:val="00B77175"/>
    <w:rsid w:val="00B77BC3"/>
    <w:rsid w:val="00B77C79"/>
    <w:rsid w:val="00B80105"/>
    <w:rsid w:val="00B805E0"/>
    <w:rsid w:val="00B8131D"/>
    <w:rsid w:val="00B82408"/>
    <w:rsid w:val="00B843B6"/>
    <w:rsid w:val="00B85B73"/>
    <w:rsid w:val="00B86251"/>
    <w:rsid w:val="00B869E6"/>
    <w:rsid w:val="00B8768D"/>
    <w:rsid w:val="00B905E4"/>
    <w:rsid w:val="00B90F54"/>
    <w:rsid w:val="00B9168C"/>
    <w:rsid w:val="00B92F0E"/>
    <w:rsid w:val="00B950D8"/>
    <w:rsid w:val="00B95292"/>
    <w:rsid w:val="00B9732F"/>
    <w:rsid w:val="00B97F43"/>
    <w:rsid w:val="00BA1D0D"/>
    <w:rsid w:val="00BA343A"/>
    <w:rsid w:val="00BA51E5"/>
    <w:rsid w:val="00BA5672"/>
    <w:rsid w:val="00BA56EA"/>
    <w:rsid w:val="00BA6244"/>
    <w:rsid w:val="00BA62BB"/>
    <w:rsid w:val="00BA62E2"/>
    <w:rsid w:val="00BA772B"/>
    <w:rsid w:val="00BB0698"/>
    <w:rsid w:val="00BB18E4"/>
    <w:rsid w:val="00BB220A"/>
    <w:rsid w:val="00BB244E"/>
    <w:rsid w:val="00BB35BF"/>
    <w:rsid w:val="00BB367A"/>
    <w:rsid w:val="00BB3D24"/>
    <w:rsid w:val="00BB4061"/>
    <w:rsid w:val="00BB4508"/>
    <w:rsid w:val="00BB5C20"/>
    <w:rsid w:val="00BB6D9C"/>
    <w:rsid w:val="00BB7C00"/>
    <w:rsid w:val="00BC1F56"/>
    <w:rsid w:val="00BC2489"/>
    <w:rsid w:val="00BC2C62"/>
    <w:rsid w:val="00BC371E"/>
    <w:rsid w:val="00BC44F0"/>
    <w:rsid w:val="00BC4BB9"/>
    <w:rsid w:val="00BC54F8"/>
    <w:rsid w:val="00BC6568"/>
    <w:rsid w:val="00BD06CD"/>
    <w:rsid w:val="00BD11AE"/>
    <w:rsid w:val="00BD270B"/>
    <w:rsid w:val="00BD31E8"/>
    <w:rsid w:val="00BD3840"/>
    <w:rsid w:val="00BD4175"/>
    <w:rsid w:val="00BD4816"/>
    <w:rsid w:val="00BD4A31"/>
    <w:rsid w:val="00BD4EDB"/>
    <w:rsid w:val="00BD4FDC"/>
    <w:rsid w:val="00BD54E3"/>
    <w:rsid w:val="00BD599A"/>
    <w:rsid w:val="00BD5A45"/>
    <w:rsid w:val="00BD617D"/>
    <w:rsid w:val="00BD6657"/>
    <w:rsid w:val="00BE01FA"/>
    <w:rsid w:val="00BE0FF5"/>
    <w:rsid w:val="00BE12BE"/>
    <w:rsid w:val="00BE1919"/>
    <w:rsid w:val="00BE1A72"/>
    <w:rsid w:val="00BE2F6C"/>
    <w:rsid w:val="00BE474D"/>
    <w:rsid w:val="00BE5336"/>
    <w:rsid w:val="00BE567D"/>
    <w:rsid w:val="00BE640E"/>
    <w:rsid w:val="00BE65B8"/>
    <w:rsid w:val="00BE6C9F"/>
    <w:rsid w:val="00BF0013"/>
    <w:rsid w:val="00BF0829"/>
    <w:rsid w:val="00BF08FC"/>
    <w:rsid w:val="00BF184C"/>
    <w:rsid w:val="00BF3F20"/>
    <w:rsid w:val="00BF417E"/>
    <w:rsid w:val="00BF53BE"/>
    <w:rsid w:val="00BF602A"/>
    <w:rsid w:val="00BF6D36"/>
    <w:rsid w:val="00BF7576"/>
    <w:rsid w:val="00C00275"/>
    <w:rsid w:val="00C0257F"/>
    <w:rsid w:val="00C0379C"/>
    <w:rsid w:val="00C03C42"/>
    <w:rsid w:val="00C04253"/>
    <w:rsid w:val="00C0426D"/>
    <w:rsid w:val="00C048F8"/>
    <w:rsid w:val="00C05DE5"/>
    <w:rsid w:val="00C05FA3"/>
    <w:rsid w:val="00C06978"/>
    <w:rsid w:val="00C06F14"/>
    <w:rsid w:val="00C07733"/>
    <w:rsid w:val="00C10821"/>
    <w:rsid w:val="00C10D39"/>
    <w:rsid w:val="00C124CC"/>
    <w:rsid w:val="00C12C06"/>
    <w:rsid w:val="00C12F6C"/>
    <w:rsid w:val="00C130D5"/>
    <w:rsid w:val="00C14210"/>
    <w:rsid w:val="00C143CA"/>
    <w:rsid w:val="00C145F4"/>
    <w:rsid w:val="00C15B1F"/>
    <w:rsid w:val="00C17DDD"/>
    <w:rsid w:val="00C21736"/>
    <w:rsid w:val="00C227C9"/>
    <w:rsid w:val="00C22F7A"/>
    <w:rsid w:val="00C24131"/>
    <w:rsid w:val="00C247E7"/>
    <w:rsid w:val="00C260A8"/>
    <w:rsid w:val="00C2685B"/>
    <w:rsid w:val="00C26B49"/>
    <w:rsid w:val="00C26E1D"/>
    <w:rsid w:val="00C302B0"/>
    <w:rsid w:val="00C313BF"/>
    <w:rsid w:val="00C325F8"/>
    <w:rsid w:val="00C33BF1"/>
    <w:rsid w:val="00C33DC2"/>
    <w:rsid w:val="00C347D5"/>
    <w:rsid w:val="00C3574B"/>
    <w:rsid w:val="00C369D6"/>
    <w:rsid w:val="00C37F5F"/>
    <w:rsid w:val="00C4082F"/>
    <w:rsid w:val="00C408DC"/>
    <w:rsid w:val="00C40917"/>
    <w:rsid w:val="00C4183B"/>
    <w:rsid w:val="00C43C7B"/>
    <w:rsid w:val="00C444F8"/>
    <w:rsid w:val="00C44B82"/>
    <w:rsid w:val="00C46960"/>
    <w:rsid w:val="00C46C22"/>
    <w:rsid w:val="00C5010B"/>
    <w:rsid w:val="00C501D9"/>
    <w:rsid w:val="00C50EF1"/>
    <w:rsid w:val="00C52808"/>
    <w:rsid w:val="00C53DBB"/>
    <w:rsid w:val="00C55050"/>
    <w:rsid w:val="00C554C4"/>
    <w:rsid w:val="00C55B26"/>
    <w:rsid w:val="00C5619F"/>
    <w:rsid w:val="00C57158"/>
    <w:rsid w:val="00C572AE"/>
    <w:rsid w:val="00C57692"/>
    <w:rsid w:val="00C5784B"/>
    <w:rsid w:val="00C6480D"/>
    <w:rsid w:val="00C65820"/>
    <w:rsid w:val="00C65B60"/>
    <w:rsid w:val="00C67652"/>
    <w:rsid w:val="00C676F0"/>
    <w:rsid w:val="00C67DF2"/>
    <w:rsid w:val="00C67EB4"/>
    <w:rsid w:val="00C7193E"/>
    <w:rsid w:val="00C71D91"/>
    <w:rsid w:val="00C72B3D"/>
    <w:rsid w:val="00C74A79"/>
    <w:rsid w:val="00C752C1"/>
    <w:rsid w:val="00C75F2B"/>
    <w:rsid w:val="00C75F77"/>
    <w:rsid w:val="00C7668C"/>
    <w:rsid w:val="00C768E1"/>
    <w:rsid w:val="00C76F86"/>
    <w:rsid w:val="00C77194"/>
    <w:rsid w:val="00C77313"/>
    <w:rsid w:val="00C77F6A"/>
    <w:rsid w:val="00C806C3"/>
    <w:rsid w:val="00C80857"/>
    <w:rsid w:val="00C80A40"/>
    <w:rsid w:val="00C81366"/>
    <w:rsid w:val="00C81850"/>
    <w:rsid w:val="00C823B6"/>
    <w:rsid w:val="00C82B2D"/>
    <w:rsid w:val="00C83882"/>
    <w:rsid w:val="00C862D6"/>
    <w:rsid w:val="00C87231"/>
    <w:rsid w:val="00C87451"/>
    <w:rsid w:val="00C87836"/>
    <w:rsid w:val="00C8794B"/>
    <w:rsid w:val="00C900C4"/>
    <w:rsid w:val="00C90FA1"/>
    <w:rsid w:val="00C9164B"/>
    <w:rsid w:val="00C969FF"/>
    <w:rsid w:val="00C973E2"/>
    <w:rsid w:val="00C97C77"/>
    <w:rsid w:val="00CA040F"/>
    <w:rsid w:val="00CA13BC"/>
    <w:rsid w:val="00CA2D32"/>
    <w:rsid w:val="00CA2EC3"/>
    <w:rsid w:val="00CA2EEC"/>
    <w:rsid w:val="00CA3100"/>
    <w:rsid w:val="00CA34BF"/>
    <w:rsid w:val="00CA552C"/>
    <w:rsid w:val="00CA5925"/>
    <w:rsid w:val="00CA6E86"/>
    <w:rsid w:val="00CA6EB5"/>
    <w:rsid w:val="00CA74DA"/>
    <w:rsid w:val="00CA77A8"/>
    <w:rsid w:val="00CA7A2F"/>
    <w:rsid w:val="00CB0517"/>
    <w:rsid w:val="00CB0941"/>
    <w:rsid w:val="00CB2127"/>
    <w:rsid w:val="00CB22E7"/>
    <w:rsid w:val="00CB318D"/>
    <w:rsid w:val="00CB39A1"/>
    <w:rsid w:val="00CB4951"/>
    <w:rsid w:val="00CB52EC"/>
    <w:rsid w:val="00CB5E37"/>
    <w:rsid w:val="00CB6282"/>
    <w:rsid w:val="00CB64E8"/>
    <w:rsid w:val="00CC0452"/>
    <w:rsid w:val="00CC1E67"/>
    <w:rsid w:val="00CC34E4"/>
    <w:rsid w:val="00CC39F1"/>
    <w:rsid w:val="00CC3BF1"/>
    <w:rsid w:val="00CC4139"/>
    <w:rsid w:val="00CC4FA8"/>
    <w:rsid w:val="00CC6FC1"/>
    <w:rsid w:val="00CC7B68"/>
    <w:rsid w:val="00CD2940"/>
    <w:rsid w:val="00CD3DB3"/>
    <w:rsid w:val="00CD4B1F"/>
    <w:rsid w:val="00CD5ED0"/>
    <w:rsid w:val="00CD6396"/>
    <w:rsid w:val="00CD6904"/>
    <w:rsid w:val="00CD6DBD"/>
    <w:rsid w:val="00CD7503"/>
    <w:rsid w:val="00CE0E36"/>
    <w:rsid w:val="00CE1515"/>
    <w:rsid w:val="00CE1A0E"/>
    <w:rsid w:val="00CE1AC7"/>
    <w:rsid w:val="00CE2327"/>
    <w:rsid w:val="00CE28BE"/>
    <w:rsid w:val="00CE32A2"/>
    <w:rsid w:val="00CE4BC0"/>
    <w:rsid w:val="00CE5191"/>
    <w:rsid w:val="00CE5284"/>
    <w:rsid w:val="00CE5DAA"/>
    <w:rsid w:val="00CE5DF0"/>
    <w:rsid w:val="00CE644B"/>
    <w:rsid w:val="00CE71C3"/>
    <w:rsid w:val="00CE7718"/>
    <w:rsid w:val="00CF2108"/>
    <w:rsid w:val="00CF230D"/>
    <w:rsid w:val="00CF2B47"/>
    <w:rsid w:val="00CF2BB1"/>
    <w:rsid w:val="00CF3140"/>
    <w:rsid w:val="00CF34E6"/>
    <w:rsid w:val="00CF4D31"/>
    <w:rsid w:val="00CF55BF"/>
    <w:rsid w:val="00CF5851"/>
    <w:rsid w:val="00CF69AF"/>
    <w:rsid w:val="00D00DD6"/>
    <w:rsid w:val="00D016FC"/>
    <w:rsid w:val="00D01787"/>
    <w:rsid w:val="00D0198C"/>
    <w:rsid w:val="00D02E22"/>
    <w:rsid w:val="00D02EFE"/>
    <w:rsid w:val="00D036C0"/>
    <w:rsid w:val="00D04233"/>
    <w:rsid w:val="00D05809"/>
    <w:rsid w:val="00D0604F"/>
    <w:rsid w:val="00D062B3"/>
    <w:rsid w:val="00D06E98"/>
    <w:rsid w:val="00D077D6"/>
    <w:rsid w:val="00D1055E"/>
    <w:rsid w:val="00D10AD4"/>
    <w:rsid w:val="00D10D8E"/>
    <w:rsid w:val="00D125F0"/>
    <w:rsid w:val="00D12665"/>
    <w:rsid w:val="00D128E6"/>
    <w:rsid w:val="00D12DBF"/>
    <w:rsid w:val="00D12FD4"/>
    <w:rsid w:val="00D1421F"/>
    <w:rsid w:val="00D143A3"/>
    <w:rsid w:val="00D156A2"/>
    <w:rsid w:val="00D15890"/>
    <w:rsid w:val="00D17B0E"/>
    <w:rsid w:val="00D204CD"/>
    <w:rsid w:val="00D209A6"/>
    <w:rsid w:val="00D20DB0"/>
    <w:rsid w:val="00D22789"/>
    <w:rsid w:val="00D227DF"/>
    <w:rsid w:val="00D24628"/>
    <w:rsid w:val="00D25DCD"/>
    <w:rsid w:val="00D26CE0"/>
    <w:rsid w:val="00D278B5"/>
    <w:rsid w:val="00D279C4"/>
    <w:rsid w:val="00D314BF"/>
    <w:rsid w:val="00D33033"/>
    <w:rsid w:val="00D33484"/>
    <w:rsid w:val="00D34306"/>
    <w:rsid w:val="00D343D1"/>
    <w:rsid w:val="00D345A3"/>
    <w:rsid w:val="00D3479D"/>
    <w:rsid w:val="00D36F72"/>
    <w:rsid w:val="00D37C6E"/>
    <w:rsid w:val="00D40A6D"/>
    <w:rsid w:val="00D41A1A"/>
    <w:rsid w:val="00D42247"/>
    <w:rsid w:val="00D42981"/>
    <w:rsid w:val="00D429E2"/>
    <w:rsid w:val="00D4300E"/>
    <w:rsid w:val="00D444DC"/>
    <w:rsid w:val="00D444E0"/>
    <w:rsid w:val="00D45707"/>
    <w:rsid w:val="00D47612"/>
    <w:rsid w:val="00D479A3"/>
    <w:rsid w:val="00D47D49"/>
    <w:rsid w:val="00D50545"/>
    <w:rsid w:val="00D5090B"/>
    <w:rsid w:val="00D5186F"/>
    <w:rsid w:val="00D51D32"/>
    <w:rsid w:val="00D53C7A"/>
    <w:rsid w:val="00D5438C"/>
    <w:rsid w:val="00D55F2A"/>
    <w:rsid w:val="00D560B0"/>
    <w:rsid w:val="00D5666E"/>
    <w:rsid w:val="00D56ABD"/>
    <w:rsid w:val="00D57EBD"/>
    <w:rsid w:val="00D60E6A"/>
    <w:rsid w:val="00D61075"/>
    <w:rsid w:val="00D61407"/>
    <w:rsid w:val="00D6167D"/>
    <w:rsid w:val="00D6285A"/>
    <w:rsid w:val="00D62C28"/>
    <w:rsid w:val="00D62EB1"/>
    <w:rsid w:val="00D63249"/>
    <w:rsid w:val="00D632CF"/>
    <w:rsid w:val="00D6428D"/>
    <w:rsid w:val="00D6476C"/>
    <w:rsid w:val="00D65875"/>
    <w:rsid w:val="00D658D5"/>
    <w:rsid w:val="00D660D6"/>
    <w:rsid w:val="00D6633D"/>
    <w:rsid w:val="00D66C9A"/>
    <w:rsid w:val="00D66D32"/>
    <w:rsid w:val="00D66EBD"/>
    <w:rsid w:val="00D67D5C"/>
    <w:rsid w:val="00D710B9"/>
    <w:rsid w:val="00D72890"/>
    <w:rsid w:val="00D72E9F"/>
    <w:rsid w:val="00D7422E"/>
    <w:rsid w:val="00D7452A"/>
    <w:rsid w:val="00D74908"/>
    <w:rsid w:val="00D749C2"/>
    <w:rsid w:val="00D75567"/>
    <w:rsid w:val="00D75A98"/>
    <w:rsid w:val="00D76CF9"/>
    <w:rsid w:val="00D775D9"/>
    <w:rsid w:val="00D8008F"/>
    <w:rsid w:val="00D80399"/>
    <w:rsid w:val="00D80685"/>
    <w:rsid w:val="00D80768"/>
    <w:rsid w:val="00D83CA6"/>
    <w:rsid w:val="00D85B5F"/>
    <w:rsid w:val="00D90B85"/>
    <w:rsid w:val="00D91A51"/>
    <w:rsid w:val="00D922F5"/>
    <w:rsid w:val="00D92630"/>
    <w:rsid w:val="00D93888"/>
    <w:rsid w:val="00D93C05"/>
    <w:rsid w:val="00D949E5"/>
    <w:rsid w:val="00D94D05"/>
    <w:rsid w:val="00D94D31"/>
    <w:rsid w:val="00D9552D"/>
    <w:rsid w:val="00D956E8"/>
    <w:rsid w:val="00D96771"/>
    <w:rsid w:val="00D96878"/>
    <w:rsid w:val="00D974A0"/>
    <w:rsid w:val="00D97E05"/>
    <w:rsid w:val="00DA0227"/>
    <w:rsid w:val="00DA03E8"/>
    <w:rsid w:val="00DA0B57"/>
    <w:rsid w:val="00DA0B7F"/>
    <w:rsid w:val="00DA1B2C"/>
    <w:rsid w:val="00DA1BFD"/>
    <w:rsid w:val="00DA2452"/>
    <w:rsid w:val="00DA2FE6"/>
    <w:rsid w:val="00DA38E8"/>
    <w:rsid w:val="00DA4824"/>
    <w:rsid w:val="00DA59D9"/>
    <w:rsid w:val="00DA7194"/>
    <w:rsid w:val="00DA7CE2"/>
    <w:rsid w:val="00DB00E0"/>
    <w:rsid w:val="00DB1188"/>
    <w:rsid w:val="00DB1236"/>
    <w:rsid w:val="00DB1AC9"/>
    <w:rsid w:val="00DB3456"/>
    <w:rsid w:val="00DB507B"/>
    <w:rsid w:val="00DB61C2"/>
    <w:rsid w:val="00DB6350"/>
    <w:rsid w:val="00DB68F9"/>
    <w:rsid w:val="00DB6AB0"/>
    <w:rsid w:val="00DB6B27"/>
    <w:rsid w:val="00DB747B"/>
    <w:rsid w:val="00DC0479"/>
    <w:rsid w:val="00DC181C"/>
    <w:rsid w:val="00DC1D38"/>
    <w:rsid w:val="00DC1ECB"/>
    <w:rsid w:val="00DC2285"/>
    <w:rsid w:val="00DC3BC0"/>
    <w:rsid w:val="00DC3E22"/>
    <w:rsid w:val="00DC3E40"/>
    <w:rsid w:val="00DC4CC7"/>
    <w:rsid w:val="00DC4E92"/>
    <w:rsid w:val="00DC5194"/>
    <w:rsid w:val="00DC529C"/>
    <w:rsid w:val="00DC652F"/>
    <w:rsid w:val="00DC7A9E"/>
    <w:rsid w:val="00DD0635"/>
    <w:rsid w:val="00DD070C"/>
    <w:rsid w:val="00DD10DD"/>
    <w:rsid w:val="00DD149B"/>
    <w:rsid w:val="00DD2A5E"/>
    <w:rsid w:val="00DD58B1"/>
    <w:rsid w:val="00DD6A22"/>
    <w:rsid w:val="00DD7553"/>
    <w:rsid w:val="00DD768E"/>
    <w:rsid w:val="00DD7BD8"/>
    <w:rsid w:val="00DD7C18"/>
    <w:rsid w:val="00DE00E8"/>
    <w:rsid w:val="00DE2428"/>
    <w:rsid w:val="00DE2823"/>
    <w:rsid w:val="00DE2A03"/>
    <w:rsid w:val="00DE33D2"/>
    <w:rsid w:val="00DE3543"/>
    <w:rsid w:val="00DE37BE"/>
    <w:rsid w:val="00DE3876"/>
    <w:rsid w:val="00DE3E01"/>
    <w:rsid w:val="00DE5BB2"/>
    <w:rsid w:val="00DE5CE8"/>
    <w:rsid w:val="00DE5D30"/>
    <w:rsid w:val="00DE64CF"/>
    <w:rsid w:val="00DE68EF"/>
    <w:rsid w:val="00DE6B4E"/>
    <w:rsid w:val="00DE7639"/>
    <w:rsid w:val="00DE7C8F"/>
    <w:rsid w:val="00DF02AF"/>
    <w:rsid w:val="00DF1D88"/>
    <w:rsid w:val="00DF42F0"/>
    <w:rsid w:val="00DF43F8"/>
    <w:rsid w:val="00DF4AD1"/>
    <w:rsid w:val="00DF6360"/>
    <w:rsid w:val="00DF6AC3"/>
    <w:rsid w:val="00DF6CD1"/>
    <w:rsid w:val="00DF7994"/>
    <w:rsid w:val="00DF7AEE"/>
    <w:rsid w:val="00DF7EC7"/>
    <w:rsid w:val="00E01794"/>
    <w:rsid w:val="00E01AD4"/>
    <w:rsid w:val="00E01B8E"/>
    <w:rsid w:val="00E02B8C"/>
    <w:rsid w:val="00E0357A"/>
    <w:rsid w:val="00E04FAA"/>
    <w:rsid w:val="00E05388"/>
    <w:rsid w:val="00E0584B"/>
    <w:rsid w:val="00E05CFF"/>
    <w:rsid w:val="00E10FA3"/>
    <w:rsid w:val="00E11428"/>
    <w:rsid w:val="00E1260B"/>
    <w:rsid w:val="00E126F3"/>
    <w:rsid w:val="00E129A8"/>
    <w:rsid w:val="00E12FB7"/>
    <w:rsid w:val="00E1347D"/>
    <w:rsid w:val="00E13CD1"/>
    <w:rsid w:val="00E145AE"/>
    <w:rsid w:val="00E1542F"/>
    <w:rsid w:val="00E1600C"/>
    <w:rsid w:val="00E16091"/>
    <w:rsid w:val="00E169D2"/>
    <w:rsid w:val="00E17036"/>
    <w:rsid w:val="00E20E80"/>
    <w:rsid w:val="00E2289C"/>
    <w:rsid w:val="00E22D71"/>
    <w:rsid w:val="00E22F9F"/>
    <w:rsid w:val="00E243B8"/>
    <w:rsid w:val="00E253FB"/>
    <w:rsid w:val="00E267F2"/>
    <w:rsid w:val="00E270B9"/>
    <w:rsid w:val="00E27130"/>
    <w:rsid w:val="00E27AC6"/>
    <w:rsid w:val="00E27BCF"/>
    <w:rsid w:val="00E27C9C"/>
    <w:rsid w:val="00E3036F"/>
    <w:rsid w:val="00E306E3"/>
    <w:rsid w:val="00E314B6"/>
    <w:rsid w:val="00E31DE5"/>
    <w:rsid w:val="00E32CEB"/>
    <w:rsid w:val="00E33BFB"/>
    <w:rsid w:val="00E33F9D"/>
    <w:rsid w:val="00E34164"/>
    <w:rsid w:val="00E3458E"/>
    <w:rsid w:val="00E35702"/>
    <w:rsid w:val="00E36864"/>
    <w:rsid w:val="00E36D3B"/>
    <w:rsid w:val="00E36F0B"/>
    <w:rsid w:val="00E36FE9"/>
    <w:rsid w:val="00E37751"/>
    <w:rsid w:val="00E40237"/>
    <w:rsid w:val="00E416CF"/>
    <w:rsid w:val="00E42182"/>
    <w:rsid w:val="00E4261C"/>
    <w:rsid w:val="00E451BD"/>
    <w:rsid w:val="00E45F86"/>
    <w:rsid w:val="00E46643"/>
    <w:rsid w:val="00E46BCB"/>
    <w:rsid w:val="00E47B4B"/>
    <w:rsid w:val="00E50BCC"/>
    <w:rsid w:val="00E50F30"/>
    <w:rsid w:val="00E50F89"/>
    <w:rsid w:val="00E51289"/>
    <w:rsid w:val="00E51DA2"/>
    <w:rsid w:val="00E523DE"/>
    <w:rsid w:val="00E528C4"/>
    <w:rsid w:val="00E53EB6"/>
    <w:rsid w:val="00E55490"/>
    <w:rsid w:val="00E56138"/>
    <w:rsid w:val="00E564FE"/>
    <w:rsid w:val="00E56BAA"/>
    <w:rsid w:val="00E57033"/>
    <w:rsid w:val="00E572FE"/>
    <w:rsid w:val="00E60302"/>
    <w:rsid w:val="00E61375"/>
    <w:rsid w:val="00E61DD5"/>
    <w:rsid w:val="00E61FF0"/>
    <w:rsid w:val="00E63398"/>
    <w:rsid w:val="00E63597"/>
    <w:rsid w:val="00E64A2C"/>
    <w:rsid w:val="00E650C5"/>
    <w:rsid w:val="00E6552A"/>
    <w:rsid w:val="00E65CD5"/>
    <w:rsid w:val="00E6649A"/>
    <w:rsid w:val="00E66F88"/>
    <w:rsid w:val="00E670E8"/>
    <w:rsid w:val="00E70AFA"/>
    <w:rsid w:val="00E70FFF"/>
    <w:rsid w:val="00E71E21"/>
    <w:rsid w:val="00E72E3C"/>
    <w:rsid w:val="00E7328A"/>
    <w:rsid w:val="00E732D9"/>
    <w:rsid w:val="00E73E83"/>
    <w:rsid w:val="00E7447F"/>
    <w:rsid w:val="00E75B28"/>
    <w:rsid w:val="00E76CAF"/>
    <w:rsid w:val="00E76EDD"/>
    <w:rsid w:val="00E8057D"/>
    <w:rsid w:val="00E818CF"/>
    <w:rsid w:val="00E82483"/>
    <w:rsid w:val="00E836C1"/>
    <w:rsid w:val="00E83D6A"/>
    <w:rsid w:val="00E845D6"/>
    <w:rsid w:val="00E84AD0"/>
    <w:rsid w:val="00E853C5"/>
    <w:rsid w:val="00E86220"/>
    <w:rsid w:val="00E873DE"/>
    <w:rsid w:val="00E9046B"/>
    <w:rsid w:val="00E90887"/>
    <w:rsid w:val="00E908C3"/>
    <w:rsid w:val="00E909D3"/>
    <w:rsid w:val="00E91048"/>
    <w:rsid w:val="00E912AA"/>
    <w:rsid w:val="00E91339"/>
    <w:rsid w:val="00E91682"/>
    <w:rsid w:val="00E930B2"/>
    <w:rsid w:val="00E931FC"/>
    <w:rsid w:val="00E931FF"/>
    <w:rsid w:val="00E93471"/>
    <w:rsid w:val="00E93F6F"/>
    <w:rsid w:val="00E94BD2"/>
    <w:rsid w:val="00E95184"/>
    <w:rsid w:val="00E963EB"/>
    <w:rsid w:val="00E97002"/>
    <w:rsid w:val="00E97799"/>
    <w:rsid w:val="00E977E4"/>
    <w:rsid w:val="00E97854"/>
    <w:rsid w:val="00EA00EF"/>
    <w:rsid w:val="00EA0E05"/>
    <w:rsid w:val="00EA1B11"/>
    <w:rsid w:val="00EA1B83"/>
    <w:rsid w:val="00EA23A2"/>
    <w:rsid w:val="00EA282E"/>
    <w:rsid w:val="00EA297B"/>
    <w:rsid w:val="00EA2C0C"/>
    <w:rsid w:val="00EA2FED"/>
    <w:rsid w:val="00EA4D60"/>
    <w:rsid w:val="00EA5051"/>
    <w:rsid w:val="00EA5613"/>
    <w:rsid w:val="00EA5710"/>
    <w:rsid w:val="00EA60FC"/>
    <w:rsid w:val="00EA662A"/>
    <w:rsid w:val="00EA6FA8"/>
    <w:rsid w:val="00EA77F9"/>
    <w:rsid w:val="00EB08FB"/>
    <w:rsid w:val="00EB1903"/>
    <w:rsid w:val="00EB1C93"/>
    <w:rsid w:val="00EB270A"/>
    <w:rsid w:val="00EB2AAF"/>
    <w:rsid w:val="00EB3369"/>
    <w:rsid w:val="00EB4BAE"/>
    <w:rsid w:val="00EB5F52"/>
    <w:rsid w:val="00EB6EB3"/>
    <w:rsid w:val="00EB7225"/>
    <w:rsid w:val="00EB734D"/>
    <w:rsid w:val="00EB795D"/>
    <w:rsid w:val="00EB796E"/>
    <w:rsid w:val="00EC00B8"/>
    <w:rsid w:val="00EC00EA"/>
    <w:rsid w:val="00EC025B"/>
    <w:rsid w:val="00EC1666"/>
    <w:rsid w:val="00EC19B5"/>
    <w:rsid w:val="00EC1A99"/>
    <w:rsid w:val="00EC272C"/>
    <w:rsid w:val="00EC2766"/>
    <w:rsid w:val="00EC38ED"/>
    <w:rsid w:val="00EC39DD"/>
    <w:rsid w:val="00EC3A2C"/>
    <w:rsid w:val="00EC5725"/>
    <w:rsid w:val="00EC57D2"/>
    <w:rsid w:val="00EC63D7"/>
    <w:rsid w:val="00EC6550"/>
    <w:rsid w:val="00EC72E5"/>
    <w:rsid w:val="00EC7453"/>
    <w:rsid w:val="00EC775D"/>
    <w:rsid w:val="00EC78AD"/>
    <w:rsid w:val="00EC7F78"/>
    <w:rsid w:val="00ED0BC4"/>
    <w:rsid w:val="00ED0C87"/>
    <w:rsid w:val="00ED0F9C"/>
    <w:rsid w:val="00ED13E3"/>
    <w:rsid w:val="00ED1F5C"/>
    <w:rsid w:val="00ED2F0C"/>
    <w:rsid w:val="00ED40BB"/>
    <w:rsid w:val="00ED4D6A"/>
    <w:rsid w:val="00ED4EEC"/>
    <w:rsid w:val="00ED579D"/>
    <w:rsid w:val="00ED587D"/>
    <w:rsid w:val="00ED58FE"/>
    <w:rsid w:val="00ED7397"/>
    <w:rsid w:val="00EE0388"/>
    <w:rsid w:val="00EE0458"/>
    <w:rsid w:val="00EE0965"/>
    <w:rsid w:val="00EE09EE"/>
    <w:rsid w:val="00EE16DE"/>
    <w:rsid w:val="00EE1B94"/>
    <w:rsid w:val="00EE2849"/>
    <w:rsid w:val="00EE3207"/>
    <w:rsid w:val="00EE3550"/>
    <w:rsid w:val="00EE41A4"/>
    <w:rsid w:val="00EE4ED9"/>
    <w:rsid w:val="00EE4F3A"/>
    <w:rsid w:val="00EE676A"/>
    <w:rsid w:val="00EE6877"/>
    <w:rsid w:val="00EE7509"/>
    <w:rsid w:val="00EE7C41"/>
    <w:rsid w:val="00EF03AC"/>
    <w:rsid w:val="00EF1681"/>
    <w:rsid w:val="00EF3C84"/>
    <w:rsid w:val="00EF413B"/>
    <w:rsid w:val="00EF471F"/>
    <w:rsid w:val="00EF48D6"/>
    <w:rsid w:val="00EF735A"/>
    <w:rsid w:val="00F00645"/>
    <w:rsid w:val="00F01A17"/>
    <w:rsid w:val="00F03A1C"/>
    <w:rsid w:val="00F04EE8"/>
    <w:rsid w:val="00F054E6"/>
    <w:rsid w:val="00F06300"/>
    <w:rsid w:val="00F07724"/>
    <w:rsid w:val="00F0779D"/>
    <w:rsid w:val="00F1026F"/>
    <w:rsid w:val="00F10F2C"/>
    <w:rsid w:val="00F114A8"/>
    <w:rsid w:val="00F123AD"/>
    <w:rsid w:val="00F1275A"/>
    <w:rsid w:val="00F12A4B"/>
    <w:rsid w:val="00F14732"/>
    <w:rsid w:val="00F14A28"/>
    <w:rsid w:val="00F151F3"/>
    <w:rsid w:val="00F15699"/>
    <w:rsid w:val="00F15906"/>
    <w:rsid w:val="00F16CC0"/>
    <w:rsid w:val="00F20AB5"/>
    <w:rsid w:val="00F20E57"/>
    <w:rsid w:val="00F21CD2"/>
    <w:rsid w:val="00F22E25"/>
    <w:rsid w:val="00F23D7F"/>
    <w:rsid w:val="00F23FB5"/>
    <w:rsid w:val="00F24269"/>
    <w:rsid w:val="00F24BE0"/>
    <w:rsid w:val="00F254FC"/>
    <w:rsid w:val="00F26967"/>
    <w:rsid w:val="00F26C64"/>
    <w:rsid w:val="00F26CC7"/>
    <w:rsid w:val="00F270B2"/>
    <w:rsid w:val="00F279FC"/>
    <w:rsid w:val="00F27F87"/>
    <w:rsid w:val="00F3016B"/>
    <w:rsid w:val="00F30442"/>
    <w:rsid w:val="00F30CF0"/>
    <w:rsid w:val="00F31FBF"/>
    <w:rsid w:val="00F33271"/>
    <w:rsid w:val="00F337B1"/>
    <w:rsid w:val="00F3450A"/>
    <w:rsid w:val="00F361B6"/>
    <w:rsid w:val="00F36E41"/>
    <w:rsid w:val="00F37711"/>
    <w:rsid w:val="00F379D9"/>
    <w:rsid w:val="00F40A44"/>
    <w:rsid w:val="00F42415"/>
    <w:rsid w:val="00F42AB7"/>
    <w:rsid w:val="00F4390F"/>
    <w:rsid w:val="00F44AF2"/>
    <w:rsid w:val="00F45C26"/>
    <w:rsid w:val="00F5055A"/>
    <w:rsid w:val="00F5085A"/>
    <w:rsid w:val="00F5085C"/>
    <w:rsid w:val="00F50EB6"/>
    <w:rsid w:val="00F519D6"/>
    <w:rsid w:val="00F529B5"/>
    <w:rsid w:val="00F536FA"/>
    <w:rsid w:val="00F538D9"/>
    <w:rsid w:val="00F53C20"/>
    <w:rsid w:val="00F54B70"/>
    <w:rsid w:val="00F54C34"/>
    <w:rsid w:val="00F55431"/>
    <w:rsid w:val="00F55BF9"/>
    <w:rsid w:val="00F55CA6"/>
    <w:rsid w:val="00F56EE8"/>
    <w:rsid w:val="00F60046"/>
    <w:rsid w:val="00F60348"/>
    <w:rsid w:val="00F64343"/>
    <w:rsid w:val="00F6737E"/>
    <w:rsid w:val="00F67B61"/>
    <w:rsid w:val="00F67E35"/>
    <w:rsid w:val="00F712AF"/>
    <w:rsid w:val="00F71452"/>
    <w:rsid w:val="00F72152"/>
    <w:rsid w:val="00F72693"/>
    <w:rsid w:val="00F73404"/>
    <w:rsid w:val="00F738CA"/>
    <w:rsid w:val="00F73908"/>
    <w:rsid w:val="00F74D58"/>
    <w:rsid w:val="00F75203"/>
    <w:rsid w:val="00F80910"/>
    <w:rsid w:val="00F80EE0"/>
    <w:rsid w:val="00F80F50"/>
    <w:rsid w:val="00F810D5"/>
    <w:rsid w:val="00F8250F"/>
    <w:rsid w:val="00F8256F"/>
    <w:rsid w:val="00F82728"/>
    <w:rsid w:val="00F83106"/>
    <w:rsid w:val="00F853B2"/>
    <w:rsid w:val="00F858DC"/>
    <w:rsid w:val="00F9149C"/>
    <w:rsid w:val="00F92E52"/>
    <w:rsid w:val="00F932B3"/>
    <w:rsid w:val="00F934A4"/>
    <w:rsid w:val="00F93ECF"/>
    <w:rsid w:val="00F94296"/>
    <w:rsid w:val="00F948BD"/>
    <w:rsid w:val="00F952B6"/>
    <w:rsid w:val="00F95A4A"/>
    <w:rsid w:val="00F96848"/>
    <w:rsid w:val="00F97317"/>
    <w:rsid w:val="00FA12BA"/>
    <w:rsid w:val="00FA1D46"/>
    <w:rsid w:val="00FA2324"/>
    <w:rsid w:val="00FA365B"/>
    <w:rsid w:val="00FA3674"/>
    <w:rsid w:val="00FA4EF1"/>
    <w:rsid w:val="00FA50B3"/>
    <w:rsid w:val="00FA5FE5"/>
    <w:rsid w:val="00FA64BE"/>
    <w:rsid w:val="00FA6695"/>
    <w:rsid w:val="00FA7A9B"/>
    <w:rsid w:val="00FB000F"/>
    <w:rsid w:val="00FB1380"/>
    <w:rsid w:val="00FB2CBB"/>
    <w:rsid w:val="00FB3C6E"/>
    <w:rsid w:val="00FB4096"/>
    <w:rsid w:val="00FB511F"/>
    <w:rsid w:val="00FB6089"/>
    <w:rsid w:val="00FB6AE6"/>
    <w:rsid w:val="00FB70BB"/>
    <w:rsid w:val="00FB7AA1"/>
    <w:rsid w:val="00FC10E4"/>
    <w:rsid w:val="00FC1C7F"/>
    <w:rsid w:val="00FC3457"/>
    <w:rsid w:val="00FC3A8F"/>
    <w:rsid w:val="00FC42BE"/>
    <w:rsid w:val="00FC4D9D"/>
    <w:rsid w:val="00FC5F7B"/>
    <w:rsid w:val="00FC6C30"/>
    <w:rsid w:val="00FC75C9"/>
    <w:rsid w:val="00FC7A35"/>
    <w:rsid w:val="00FC7FEE"/>
    <w:rsid w:val="00FD0655"/>
    <w:rsid w:val="00FD2206"/>
    <w:rsid w:val="00FD2CF0"/>
    <w:rsid w:val="00FD31F1"/>
    <w:rsid w:val="00FD43C0"/>
    <w:rsid w:val="00FD532B"/>
    <w:rsid w:val="00FD6F98"/>
    <w:rsid w:val="00FE0135"/>
    <w:rsid w:val="00FE0ACE"/>
    <w:rsid w:val="00FE0C32"/>
    <w:rsid w:val="00FE17F4"/>
    <w:rsid w:val="00FE2D27"/>
    <w:rsid w:val="00FE58A9"/>
    <w:rsid w:val="00FE6551"/>
    <w:rsid w:val="00FE6CF6"/>
    <w:rsid w:val="00FE6DF3"/>
    <w:rsid w:val="00FE703B"/>
    <w:rsid w:val="00FE7863"/>
    <w:rsid w:val="00FF024A"/>
    <w:rsid w:val="00FF05B8"/>
    <w:rsid w:val="00FF0D17"/>
    <w:rsid w:val="00FF1037"/>
    <w:rsid w:val="00FF1100"/>
    <w:rsid w:val="00FF187D"/>
    <w:rsid w:val="00FF2427"/>
    <w:rsid w:val="00FF25DD"/>
    <w:rsid w:val="00FF2E93"/>
    <w:rsid w:val="00FF3BDF"/>
    <w:rsid w:val="00FF4B58"/>
    <w:rsid w:val="00FF4CFC"/>
    <w:rsid w:val="00FF5CF0"/>
    <w:rsid w:val="00FF6C1D"/>
    <w:rsid w:val="00FF7379"/>
    <w:rsid w:val="00FF790E"/>
    <w:rsid w:val="00FF7C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00794"/>
  <w15:chartTrackingRefBased/>
  <w15:docId w15:val="{8B67B1D0-D4A6-4F1F-8EBB-E4C772A85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FA"/>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F536FA"/>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F536FA"/>
    <w:pPr>
      <w:outlineLvl w:val="1"/>
    </w:pPr>
    <w:rPr>
      <w:sz w:val="28"/>
    </w:rPr>
  </w:style>
  <w:style w:type="paragraph" w:styleId="Heading3">
    <w:name w:val="heading 3"/>
    <w:basedOn w:val="Normal"/>
    <w:next w:val="Normal"/>
    <w:link w:val="Heading3Char"/>
    <w:uiPriority w:val="9"/>
    <w:unhideWhenUsed/>
    <w:qFormat/>
    <w:rsid w:val="00F536FA"/>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F536FA"/>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F536F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F536F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F536F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F536F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F536F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F536FA"/>
    <w:pPr>
      <w:tabs>
        <w:tab w:val="center" w:pos="4320"/>
        <w:tab w:val="right" w:pos="8640"/>
      </w:tabs>
    </w:pPr>
  </w:style>
  <w:style w:type="character" w:customStyle="1" w:styleId="HeaderChar">
    <w:name w:val="Header Char"/>
    <w:basedOn w:val="DefaultParagraphFont"/>
    <w:link w:val="Header"/>
    <w:uiPriority w:val="99"/>
    <w:rsid w:val="00F536FA"/>
    <w:rPr>
      <w:rFonts w:ascii="Segoe UI" w:hAnsi="Segoe UI" w:cs="Segoe UI"/>
      <w:noProof w:val="0"/>
      <w:color w:val="000000" w:themeColor="text1"/>
      <w:sz w:val="20"/>
    </w:rPr>
  </w:style>
  <w:style w:type="paragraph" w:styleId="Footer">
    <w:name w:val="footer"/>
    <w:basedOn w:val="Normal"/>
    <w:link w:val="FooterChar"/>
    <w:uiPriority w:val="99"/>
    <w:unhideWhenUsed/>
    <w:rsid w:val="00F536FA"/>
    <w:pPr>
      <w:tabs>
        <w:tab w:val="center" w:pos="4320"/>
        <w:tab w:val="right" w:pos="8640"/>
      </w:tabs>
    </w:pPr>
  </w:style>
  <w:style w:type="character" w:customStyle="1" w:styleId="FooterChar">
    <w:name w:val="Footer Char"/>
    <w:basedOn w:val="DefaultParagraphFont"/>
    <w:link w:val="Footer"/>
    <w:uiPriority w:val="99"/>
    <w:rsid w:val="00F536FA"/>
    <w:rPr>
      <w:rFonts w:ascii="Segoe UI" w:hAnsi="Segoe UI" w:cs="Segoe UI"/>
      <w:noProof w:val="0"/>
      <w:color w:val="000000" w:themeColor="text1"/>
      <w:sz w:val="20"/>
    </w:rPr>
  </w:style>
  <w:style w:type="character" w:customStyle="1" w:styleId="Heading1Char">
    <w:name w:val="Heading 1 Char"/>
    <w:basedOn w:val="DefaultParagraphFont"/>
    <w:link w:val="Heading1"/>
    <w:uiPriority w:val="9"/>
    <w:rsid w:val="00F536FA"/>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F536FA"/>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F536FA"/>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F536FA"/>
    <w:rPr>
      <w:rFonts w:ascii="Segoe UI" w:eastAsiaTheme="majorEastAsia" w:hAnsi="Segoe UI" w:cstheme="majorBidi"/>
      <w:iCs/>
      <w:noProof w:val="0"/>
      <w:color w:val="000000" w:themeColor="text1"/>
      <w:sz w:val="20"/>
      <w:u w:val="single"/>
    </w:rPr>
  </w:style>
  <w:style w:type="character" w:customStyle="1" w:styleId="Heading5Char">
    <w:name w:val="Heading 5 Char"/>
    <w:basedOn w:val="DefaultParagraphFont"/>
    <w:link w:val="Heading5"/>
    <w:uiPriority w:val="9"/>
    <w:rsid w:val="00F536FA"/>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F536FA"/>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F536FA"/>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F536FA"/>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F536FA"/>
    <w:rPr>
      <w:rFonts w:asciiTheme="majorHAnsi" w:eastAsiaTheme="majorEastAsia" w:hAnsiTheme="majorHAnsi" w:cstheme="majorBidi"/>
      <w:i/>
      <w:iCs/>
      <w:noProof w:val="0"/>
      <w:color w:val="272727" w:themeColor="text1" w:themeTint="D8"/>
      <w:sz w:val="21"/>
      <w:szCs w:val="21"/>
    </w:rPr>
  </w:style>
  <w:style w:type="character" w:styleId="PageNumber">
    <w:name w:val="page number"/>
    <w:basedOn w:val="DefaultParagraphFont"/>
    <w:uiPriority w:val="99"/>
    <w:unhideWhenUsed/>
    <w:locked/>
    <w:rsid w:val="00F536FA"/>
    <w:rPr>
      <w:noProof w:val="0"/>
    </w:rPr>
  </w:style>
  <w:style w:type="character" w:styleId="Hyperlink">
    <w:name w:val="Hyperlink"/>
    <w:basedOn w:val="DefaultParagraphFont"/>
    <w:uiPriority w:val="99"/>
    <w:unhideWhenUsed/>
    <w:rsid w:val="00F536FA"/>
    <w:rPr>
      <w:noProof w:val="0"/>
      <w:color w:val="0563C1" w:themeColor="hyperlink"/>
      <w:u w:val="single"/>
    </w:rPr>
  </w:style>
  <w:style w:type="paragraph" w:styleId="ListParagraph">
    <w:name w:val="List Paragraph"/>
    <w:next w:val="Normal"/>
    <w:link w:val="ListParagraphChar"/>
    <w:uiPriority w:val="34"/>
    <w:locked/>
    <w:rsid w:val="00F536FA"/>
    <w:pPr>
      <w:numPr>
        <w:numId w:val="46"/>
      </w:numPr>
      <w:spacing w:after="0" w:line="240" w:lineRule="auto"/>
      <w:ind w:left="284" w:hanging="284"/>
      <w:contextualSpacing/>
    </w:pPr>
    <w:rPr>
      <w:rFonts w:ascii="Segoe UI" w:hAnsi="Segoe UI" w:cs="Segoe UI"/>
      <w:color w:val="000000" w:themeColor="text1"/>
      <w:sz w:val="20"/>
    </w:rPr>
  </w:style>
  <w:style w:type="paragraph" w:styleId="Revision">
    <w:name w:val="Revision"/>
    <w:hidden/>
    <w:uiPriority w:val="99"/>
    <w:semiHidden/>
    <w:rsid w:val="00F536FA"/>
    <w:pPr>
      <w:spacing w:after="0" w:line="240" w:lineRule="auto"/>
    </w:pPr>
    <w:rPr>
      <w:rFonts w:ascii="Arial" w:eastAsiaTheme="minorEastAsia" w:hAnsi="Arial"/>
      <w:color w:val="404040" w:themeColor="text1" w:themeTint="BF"/>
      <w:sz w:val="20"/>
      <w:szCs w:val="24"/>
      <w:lang w:eastAsia="ja-JP"/>
    </w:rPr>
  </w:style>
  <w:style w:type="paragraph" w:customStyle="1" w:styleId="ProductDescription">
    <w:name w:val="Product Description"/>
    <w:basedOn w:val="Normal"/>
    <w:next w:val="Normal"/>
    <w:link w:val="ProductDescriptionChar"/>
    <w:qFormat/>
    <w:rsid w:val="00F536FA"/>
    <w:pPr>
      <w:spacing w:after="120"/>
    </w:pPr>
    <w:rPr>
      <w:b/>
      <w:bCs/>
      <w:color w:val="FFFFFF"/>
      <w:sz w:val="32"/>
      <w:szCs w:val="32"/>
    </w:rPr>
  </w:style>
  <w:style w:type="paragraph" w:customStyle="1" w:styleId="Headline">
    <w:name w:val="Headline"/>
    <w:basedOn w:val="Normal"/>
    <w:next w:val="Normal"/>
    <w:link w:val="HeadlineChar"/>
    <w:qFormat/>
    <w:rsid w:val="00F536FA"/>
    <w:rPr>
      <w:rFonts w:ascii="Segoe UI Semilight" w:hAnsi="Segoe UI Semilight" w:cs="Segoe UI Semilight"/>
      <w:b/>
      <w:bCs/>
      <w:color w:val="FFFFFF"/>
      <w:sz w:val="40"/>
      <w:szCs w:val="40"/>
    </w:rPr>
  </w:style>
  <w:style w:type="paragraph" w:customStyle="1" w:styleId="ExhibitTitle">
    <w:name w:val="Exhibit Title"/>
    <w:basedOn w:val="Normal"/>
    <w:qFormat/>
    <w:rsid w:val="00F536FA"/>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F536FA"/>
    <w:pPr>
      <w:shd w:val="clear" w:color="auto" w:fill="D6E2FA"/>
      <w:spacing w:after="0"/>
    </w:pPr>
    <w:rPr>
      <w:color w:val="595959" w:themeColor="text1" w:themeTint="A6"/>
      <w:sz w:val="18"/>
    </w:rPr>
  </w:style>
  <w:style w:type="paragraph" w:customStyle="1" w:styleId="ExhibitSource">
    <w:name w:val="Exhibit Source"/>
    <w:next w:val="Normal"/>
    <w:qFormat/>
    <w:rsid w:val="00F536FA"/>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paragraph" w:customStyle="1" w:styleId="Glossary">
    <w:name w:val="Glossary"/>
    <w:basedOn w:val="Normal"/>
    <w:qFormat/>
    <w:rsid w:val="00F536FA"/>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F536FA"/>
    <w:pPr>
      <w:numPr>
        <w:numId w:val="4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sz w:val="20"/>
      <w:szCs w:val="20"/>
    </w:rPr>
  </w:style>
  <w:style w:type="character" w:customStyle="1" w:styleId="BulletChar">
    <w:name w:val="Bullet Char"/>
    <w:basedOn w:val="DefaultParagraphFont"/>
    <w:link w:val="Bullet"/>
    <w:rsid w:val="00F536FA"/>
    <w:rPr>
      <w:rFonts w:ascii="Segoe UI" w:hAnsi="Segoe UI" w:cs="Segoe UI"/>
      <w:b/>
      <w:bCs/>
      <w:noProof w:val="0"/>
      <w:color w:val="003469"/>
      <w:sz w:val="20"/>
      <w:szCs w:val="20"/>
      <w:shd w:val="clear" w:color="auto" w:fill="F2F2F2" w:themeFill="background1" w:themeFillShade="F2"/>
    </w:rPr>
  </w:style>
  <w:style w:type="paragraph" w:styleId="Quote">
    <w:name w:val="Quote"/>
    <w:basedOn w:val="Normal"/>
    <w:next w:val="Normal"/>
    <w:link w:val="QuoteChar"/>
    <w:uiPriority w:val="29"/>
    <w:qFormat/>
    <w:rsid w:val="00F536FA"/>
    <w:pPr>
      <w:ind w:left="862" w:right="862"/>
      <w:jc w:val="center"/>
    </w:pPr>
    <w:rPr>
      <w:i/>
      <w:iCs/>
      <w:color w:val="404040" w:themeColor="text1" w:themeTint="BF"/>
    </w:rPr>
  </w:style>
  <w:style w:type="character" w:customStyle="1" w:styleId="QuoteChar">
    <w:name w:val="Quote Char"/>
    <w:basedOn w:val="DefaultParagraphFont"/>
    <w:link w:val="Quote"/>
    <w:uiPriority w:val="29"/>
    <w:rsid w:val="00F536FA"/>
    <w:rPr>
      <w:rFonts w:ascii="Segoe UI" w:hAnsi="Segoe UI" w:cs="Segoe UI"/>
      <w:i/>
      <w:iCs/>
      <w:noProof w:val="0"/>
      <w:color w:val="404040" w:themeColor="text1" w:themeTint="BF"/>
      <w:sz w:val="20"/>
    </w:rPr>
  </w:style>
  <w:style w:type="paragraph" w:customStyle="1" w:styleId="TableHeader">
    <w:name w:val="Table Header"/>
    <w:basedOn w:val="TableData"/>
    <w:qFormat/>
    <w:rsid w:val="00F536FA"/>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F536FA"/>
    <w:rPr>
      <w:rFonts w:ascii="Segoe UI" w:hAnsi="Segoe UI" w:cs="Segoe UI"/>
      <w:noProof w:val="0"/>
      <w:color w:val="000000" w:themeColor="text1"/>
    </w:rPr>
  </w:style>
  <w:style w:type="paragraph" w:customStyle="1" w:styleId="Summary">
    <w:name w:val="Summary"/>
    <w:basedOn w:val="Normal"/>
    <w:link w:val="SummaryChar"/>
    <w:qFormat/>
    <w:rsid w:val="00F536FA"/>
    <w:pPr>
      <w:numPr>
        <w:numId w:val="34"/>
      </w:numPr>
      <w:ind w:left="1797" w:hanging="357"/>
    </w:pPr>
    <w:rPr>
      <w:sz w:val="22"/>
    </w:rPr>
  </w:style>
  <w:style w:type="paragraph" w:customStyle="1" w:styleId="TableData">
    <w:name w:val="Table Data"/>
    <w:link w:val="TableDataChar"/>
    <w:qFormat/>
    <w:rsid w:val="00F536FA"/>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F536FA"/>
    <w:rPr>
      <w:rFonts w:ascii="Segoe UI" w:hAnsi="Segoe UI" w:cs="Segoe UI"/>
      <w:noProof w:val="0"/>
      <w:color w:val="000000" w:themeColor="text1"/>
      <w:sz w:val="20"/>
      <w:szCs w:val="18"/>
    </w:rPr>
  </w:style>
  <w:style w:type="character" w:customStyle="1" w:styleId="HeadlineChar">
    <w:name w:val="Headline Char"/>
    <w:basedOn w:val="DefaultParagraphFont"/>
    <w:link w:val="Headline"/>
    <w:rsid w:val="00F536FA"/>
    <w:rPr>
      <w:rFonts w:ascii="Segoe UI Semilight" w:hAnsi="Segoe UI Semilight" w:cs="Segoe UI Semilight"/>
      <w:b/>
      <w:bCs/>
      <w:noProof w:val="0"/>
      <w:color w:val="FFFFFF"/>
      <w:sz w:val="40"/>
      <w:szCs w:val="40"/>
    </w:rPr>
  </w:style>
  <w:style w:type="paragraph" w:customStyle="1" w:styleId="PublishDate">
    <w:name w:val="Publish Date"/>
    <w:next w:val="Normal"/>
    <w:link w:val="PublishDateChar"/>
    <w:qFormat/>
    <w:rsid w:val="00F536FA"/>
    <w:pPr>
      <w:spacing w:after="0" w:line="240" w:lineRule="auto"/>
      <w:jc w:val="right"/>
    </w:pPr>
    <w:rPr>
      <w:rFonts w:ascii="Segoe UI" w:eastAsiaTheme="majorEastAsia" w:hAnsi="Segoe UI" w:cstheme="majorBidi"/>
      <w:color w:val="003469"/>
      <w:sz w:val="24"/>
      <w:szCs w:val="28"/>
    </w:rPr>
  </w:style>
  <w:style w:type="paragraph" w:customStyle="1" w:styleId="Author">
    <w:name w:val="Author"/>
    <w:basedOn w:val="Bullet"/>
    <w:link w:val="AuthorChar"/>
    <w:qFormat/>
    <w:rsid w:val="00F536FA"/>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F536FA"/>
    <w:rPr>
      <w:rFonts w:ascii="Segoe UI" w:eastAsiaTheme="majorEastAsia" w:hAnsi="Segoe UI" w:cstheme="majorBidi"/>
      <w:b w:val="0"/>
      <w:noProof w:val="0"/>
      <w:color w:val="003469"/>
      <w:sz w:val="24"/>
      <w:szCs w:val="28"/>
    </w:rPr>
  </w:style>
  <w:style w:type="character" w:customStyle="1" w:styleId="AuthorChar">
    <w:name w:val="Author Char"/>
    <w:basedOn w:val="FooterChar"/>
    <w:link w:val="Author"/>
    <w:rsid w:val="00F536FA"/>
    <w:rPr>
      <w:rFonts w:ascii="Segoe UI" w:hAnsi="Segoe UI" w:cs="Segoe UI"/>
      <w:b/>
      <w:bCs/>
      <w:noProof w:val="0"/>
      <w:color w:val="7F7F7F" w:themeColor="text1" w:themeTint="80"/>
      <w:sz w:val="20"/>
      <w:shd w:val="clear" w:color="auto" w:fill="F2F2F2" w:themeFill="background1" w:themeFillShade="F2"/>
    </w:rPr>
  </w:style>
  <w:style w:type="character" w:customStyle="1" w:styleId="ListParagraphChar">
    <w:name w:val="List Paragraph Char"/>
    <w:basedOn w:val="DefaultParagraphFont"/>
    <w:link w:val="ListParagraph"/>
    <w:uiPriority w:val="34"/>
    <w:rsid w:val="00F536FA"/>
    <w:rPr>
      <w:rFonts w:ascii="Segoe UI" w:hAnsi="Segoe UI" w:cs="Segoe UI"/>
      <w:noProof w:val="0"/>
      <w:color w:val="000000" w:themeColor="text1"/>
      <w:sz w:val="20"/>
    </w:rPr>
  </w:style>
  <w:style w:type="paragraph" w:customStyle="1" w:styleId="BodyBullet">
    <w:name w:val="Body Bullet"/>
    <w:link w:val="BodyBulletChar"/>
    <w:qFormat/>
    <w:rsid w:val="00F536FA"/>
    <w:pPr>
      <w:numPr>
        <w:numId w:val="50"/>
      </w:numPr>
      <w:spacing w:after="200" w:line="240" w:lineRule="auto"/>
      <w:contextualSpacing/>
    </w:pPr>
    <w:rPr>
      <w:rFonts w:ascii="Segoe UI" w:hAnsi="Segoe UI" w:cs="Segoe UI"/>
      <w:bCs/>
      <w:sz w:val="20"/>
      <w:szCs w:val="20"/>
    </w:rPr>
  </w:style>
  <w:style w:type="character" w:customStyle="1" w:styleId="BodyBulletChar">
    <w:name w:val="Body Bullet Char"/>
    <w:basedOn w:val="DefaultParagraphFont"/>
    <w:link w:val="BodyBullet"/>
    <w:rsid w:val="00F536FA"/>
    <w:rPr>
      <w:rFonts w:ascii="Segoe UI" w:hAnsi="Segoe UI" w:cs="Segoe UI"/>
      <w:bCs/>
      <w:noProof w:val="0"/>
      <w:sz w:val="20"/>
      <w:szCs w:val="20"/>
    </w:rPr>
  </w:style>
  <w:style w:type="paragraph" w:customStyle="1" w:styleId="RepeatingFooter">
    <w:name w:val="Repeating Footer"/>
    <w:basedOn w:val="Footer"/>
    <w:link w:val="RepeatingFooterChar"/>
    <w:qFormat/>
    <w:rsid w:val="00F536FA"/>
    <w:rPr>
      <w:color w:val="003469"/>
    </w:rPr>
  </w:style>
  <w:style w:type="character" w:customStyle="1" w:styleId="RepeatingFooterChar">
    <w:name w:val="Repeating Footer Char"/>
    <w:basedOn w:val="FooterChar"/>
    <w:link w:val="RepeatingFooter"/>
    <w:rsid w:val="00F536FA"/>
    <w:rPr>
      <w:rFonts w:ascii="Segoe UI" w:hAnsi="Segoe UI" w:cs="Segoe UI"/>
      <w:noProof w:val="0"/>
      <w:color w:val="003469"/>
      <w:sz w:val="20"/>
    </w:rPr>
  </w:style>
  <w:style w:type="character" w:customStyle="1" w:styleId="ProductDescriptionChar">
    <w:name w:val="Product Description Char"/>
    <w:basedOn w:val="DefaultParagraphFont"/>
    <w:link w:val="ProductDescription"/>
    <w:rsid w:val="00F536FA"/>
    <w:rPr>
      <w:rFonts w:ascii="Segoe UI" w:hAnsi="Segoe UI" w:cs="Segoe UI"/>
      <w:b/>
      <w:bCs/>
      <w:noProof w:val="0"/>
      <w:color w:val="FFFFFF"/>
      <w:sz w:val="32"/>
      <w:szCs w:val="32"/>
    </w:rPr>
  </w:style>
  <w:style w:type="character" w:customStyle="1" w:styleId="Bold">
    <w:name w:val="Bold"/>
    <w:basedOn w:val="DefaultParagraphFont"/>
    <w:uiPriority w:val="1"/>
    <w:qFormat/>
    <w:rsid w:val="00F536FA"/>
    <w:rPr>
      <w:b/>
      <w:bCs/>
      <w:noProof w:val="0"/>
    </w:rPr>
  </w:style>
  <w:style w:type="character" w:customStyle="1" w:styleId="Italics">
    <w:name w:val="Italics"/>
    <w:uiPriority w:val="1"/>
    <w:qFormat/>
    <w:rsid w:val="00F536FA"/>
    <w:rPr>
      <w:i/>
      <w:iCs/>
      <w:noProof w:val="0"/>
    </w:rPr>
  </w:style>
  <w:style w:type="table" w:customStyle="1" w:styleId="TableGridHeader">
    <w:name w:val="Table Grid Header"/>
    <w:basedOn w:val="TableNormal"/>
    <w:uiPriority w:val="99"/>
    <w:rsid w:val="00F536FA"/>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5433">
      <w:bodyDiv w:val="1"/>
      <w:marLeft w:val="0"/>
      <w:marRight w:val="0"/>
      <w:marTop w:val="0"/>
      <w:marBottom w:val="0"/>
      <w:divBdr>
        <w:top w:val="none" w:sz="0" w:space="0" w:color="auto"/>
        <w:left w:val="none" w:sz="0" w:space="0" w:color="auto"/>
        <w:bottom w:val="none" w:sz="0" w:space="0" w:color="auto"/>
        <w:right w:val="none" w:sz="0" w:space="0" w:color="auto"/>
      </w:divBdr>
    </w:div>
    <w:div w:id="82265978">
      <w:bodyDiv w:val="1"/>
      <w:marLeft w:val="0"/>
      <w:marRight w:val="0"/>
      <w:marTop w:val="0"/>
      <w:marBottom w:val="0"/>
      <w:divBdr>
        <w:top w:val="none" w:sz="0" w:space="0" w:color="auto"/>
        <w:left w:val="none" w:sz="0" w:space="0" w:color="auto"/>
        <w:bottom w:val="none" w:sz="0" w:space="0" w:color="auto"/>
        <w:right w:val="none" w:sz="0" w:space="0" w:color="auto"/>
      </w:divBdr>
    </w:div>
    <w:div w:id="86195786">
      <w:bodyDiv w:val="1"/>
      <w:marLeft w:val="0"/>
      <w:marRight w:val="0"/>
      <w:marTop w:val="0"/>
      <w:marBottom w:val="0"/>
      <w:divBdr>
        <w:top w:val="none" w:sz="0" w:space="0" w:color="auto"/>
        <w:left w:val="none" w:sz="0" w:space="0" w:color="auto"/>
        <w:bottom w:val="none" w:sz="0" w:space="0" w:color="auto"/>
        <w:right w:val="none" w:sz="0" w:space="0" w:color="auto"/>
      </w:divBdr>
    </w:div>
    <w:div w:id="87626062">
      <w:bodyDiv w:val="1"/>
      <w:marLeft w:val="0"/>
      <w:marRight w:val="0"/>
      <w:marTop w:val="0"/>
      <w:marBottom w:val="0"/>
      <w:divBdr>
        <w:top w:val="none" w:sz="0" w:space="0" w:color="auto"/>
        <w:left w:val="none" w:sz="0" w:space="0" w:color="auto"/>
        <w:bottom w:val="none" w:sz="0" w:space="0" w:color="auto"/>
        <w:right w:val="none" w:sz="0" w:space="0" w:color="auto"/>
      </w:divBdr>
    </w:div>
    <w:div w:id="135337929">
      <w:bodyDiv w:val="1"/>
      <w:marLeft w:val="0"/>
      <w:marRight w:val="0"/>
      <w:marTop w:val="0"/>
      <w:marBottom w:val="0"/>
      <w:divBdr>
        <w:top w:val="none" w:sz="0" w:space="0" w:color="auto"/>
        <w:left w:val="none" w:sz="0" w:space="0" w:color="auto"/>
        <w:bottom w:val="none" w:sz="0" w:space="0" w:color="auto"/>
        <w:right w:val="none" w:sz="0" w:space="0" w:color="auto"/>
      </w:divBdr>
    </w:div>
    <w:div w:id="195394334">
      <w:bodyDiv w:val="1"/>
      <w:marLeft w:val="0"/>
      <w:marRight w:val="0"/>
      <w:marTop w:val="0"/>
      <w:marBottom w:val="0"/>
      <w:divBdr>
        <w:top w:val="none" w:sz="0" w:space="0" w:color="auto"/>
        <w:left w:val="none" w:sz="0" w:space="0" w:color="auto"/>
        <w:bottom w:val="none" w:sz="0" w:space="0" w:color="auto"/>
        <w:right w:val="none" w:sz="0" w:space="0" w:color="auto"/>
      </w:divBdr>
    </w:div>
    <w:div w:id="212618539">
      <w:bodyDiv w:val="1"/>
      <w:marLeft w:val="0"/>
      <w:marRight w:val="0"/>
      <w:marTop w:val="0"/>
      <w:marBottom w:val="0"/>
      <w:divBdr>
        <w:top w:val="none" w:sz="0" w:space="0" w:color="auto"/>
        <w:left w:val="none" w:sz="0" w:space="0" w:color="auto"/>
        <w:bottom w:val="none" w:sz="0" w:space="0" w:color="auto"/>
        <w:right w:val="none" w:sz="0" w:space="0" w:color="auto"/>
      </w:divBdr>
    </w:div>
    <w:div w:id="449664813">
      <w:bodyDiv w:val="1"/>
      <w:marLeft w:val="0"/>
      <w:marRight w:val="0"/>
      <w:marTop w:val="0"/>
      <w:marBottom w:val="0"/>
      <w:divBdr>
        <w:top w:val="none" w:sz="0" w:space="0" w:color="auto"/>
        <w:left w:val="none" w:sz="0" w:space="0" w:color="auto"/>
        <w:bottom w:val="none" w:sz="0" w:space="0" w:color="auto"/>
        <w:right w:val="none" w:sz="0" w:space="0" w:color="auto"/>
      </w:divBdr>
    </w:div>
    <w:div w:id="457187694">
      <w:bodyDiv w:val="1"/>
      <w:marLeft w:val="0"/>
      <w:marRight w:val="0"/>
      <w:marTop w:val="0"/>
      <w:marBottom w:val="0"/>
      <w:divBdr>
        <w:top w:val="none" w:sz="0" w:space="0" w:color="auto"/>
        <w:left w:val="none" w:sz="0" w:space="0" w:color="auto"/>
        <w:bottom w:val="none" w:sz="0" w:space="0" w:color="auto"/>
        <w:right w:val="none" w:sz="0" w:space="0" w:color="auto"/>
      </w:divBdr>
    </w:div>
    <w:div w:id="653098824">
      <w:bodyDiv w:val="1"/>
      <w:marLeft w:val="0"/>
      <w:marRight w:val="0"/>
      <w:marTop w:val="0"/>
      <w:marBottom w:val="0"/>
      <w:divBdr>
        <w:top w:val="none" w:sz="0" w:space="0" w:color="auto"/>
        <w:left w:val="none" w:sz="0" w:space="0" w:color="auto"/>
        <w:bottom w:val="none" w:sz="0" w:space="0" w:color="auto"/>
        <w:right w:val="none" w:sz="0" w:space="0" w:color="auto"/>
      </w:divBdr>
    </w:div>
    <w:div w:id="682978813">
      <w:bodyDiv w:val="1"/>
      <w:marLeft w:val="0"/>
      <w:marRight w:val="0"/>
      <w:marTop w:val="0"/>
      <w:marBottom w:val="0"/>
      <w:divBdr>
        <w:top w:val="none" w:sz="0" w:space="0" w:color="auto"/>
        <w:left w:val="none" w:sz="0" w:space="0" w:color="auto"/>
        <w:bottom w:val="none" w:sz="0" w:space="0" w:color="auto"/>
        <w:right w:val="none" w:sz="0" w:space="0" w:color="auto"/>
      </w:divBdr>
    </w:div>
    <w:div w:id="690496497">
      <w:bodyDiv w:val="1"/>
      <w:marLeft w:val="0"/>
      <w:marRight w:val="0"/>
      <w:marTop w:val="0"/>
      <w:marBottom w:val="0"/>
      <w:divBdr>
        <w:top w:val="none" w:sz="0" w:space="0" w:color="auto"/>
        <w:left w:val="none" w:sz="0" w:space="0" w:color="auto"/>
        <w:bottom w:val="none" w:sz="0" w:space="0" w:color="auto"/>
        <w:right w:val="none" w:sz="0" w:space="0" w:color="auto"/>
      </w:divBdr>
    </w:div>
    <w:div w:id="855920918">
      <w:bodyDiv w:val="1"/>
      <w:marLeft w:val="0"/>
      <w:marRight w:val="0"/>
      <w:marTop w:val="0"/>
      <w:marBottom w:val="0"/>
      <w:divBdr>
        <w:top w:val="none" w:sz="0" w:space="0" w:color="auto"/>
        <w:left w:val="none" w:sz="0" w:space="0" w:color="auto"/>
        <w:bottom w:val="none" w:sz="0" w:space="0" w:color="auto"/>
        <w:right w:val="none" w:sz="0" w:space="0" w:color="auto"/>
      </w:divBdr>
    </w:div>
    <w:div w:id="919632820">
      <w:bodyDiv w:val="1"/>
      <w:marLeft w:val="0"/>
      <w:marRight w:val="0"/>
      <w:marTop w:val="0"/>
      <w:marBottom w:val="0"/>
      <w:divBdr>
        <w:top w:val="none" w:sz="0" w:space="0" w:color="auto"/>
        <w:left w:val="none" w:sz="0" w:space="0" w:color="auto"/>
        <w:bottom w:val="none" w:sz="0" w:space="0" w:color="auto"/>
        <w:right w:val="none" w:sz="0" w:space="0" w:color="auto"/>
      </w:divBdr>
      <w:divsChild>
        <w:div w:id="1831674587">
          <w:marLeft w:val="480"/>
          <w:marRight w:val="0"/>
          <w:marTop w:val="0"/>
          <w:marBottom w:val="0"/>
          <w:divBdr>
            <w:top w:val="none" w:sz="0" w:space="0" w:color="auto"/>
            <w:left w:val="none" w:sz="0" w:space="0" w:color="auto"/>
            <w:bottom w:val="none" w:sz="0" w:space="0" w:color="auto"/>
            <w:right w:val="none" w:sz="0" w:space="0" w:color="auto"/>
          </w:divBdr>
          <w:divsChild>
            <w:div w:id="96115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8617">
      <w:bodyDiv w:val="1"/>
      <w:marLeft w:val="0"/>
      <w:marRight w:val="0"/>
      <w:marTop w:val="0"/>
      <w:marBottom w:val="0"/>
      <w:divBdr>
        <w:top w:val="none" w:sz="0" w:space="0" w:color="auto"/>
        <w:left w:val="none" w:sz="0" w:space="0" w:color="auto"/>
        <w:bottom w:val="none" w:sz="0" w:space="0" w:color="auto"/>
        <w:right w:val="none" w:sz="0" w:space="0" w:color="auto"/>
      </w:divBdr>
    </w:div>
    <w:div w:id="1067847419">
      <w:bodyDiv w:val="1"/>
      <w:marLeft w:val="0"/>
      <w:marRight w:val="0"/>
      <w:marTop w:val="0"/>
      <w:marBottom w:val="0"/>
      <w:divBdr>
        <w:top w:val="none" w:sz="0" w:space="0" w:color="auto"/>
        <w:left w:val="none" w:sz="0" w:space="0" w:color="auto"/>
        <w:bottom w:val="none" w:sz="0" w:space="0" w:color="auto"/>
        <w:right w:val="none" w:sz="0" w:space="0" w:color="auto"/>
      </w:divBdr>
    </w:div>
    <w:div w:id="1082948235">
      <w:bodyDiv w:val="1"/>
      <w:marLeft w:val="0"/>
      <w:marRight w:val="0"/>
      <w:marTop w:val="0"/>
      <w:marBottom w:val="0"/>
      <w:divBdr>
        <w:top w:val="none" w:sz="0" w:space="0" w:color="auto"/>
        <w:left w:val="none" w:sz="0" w:space="0" w:color="auto"/>
        <w:bottom w:val="none" w:sz="0" w:space="0" w:color="auto"/>
        <w:right w:val="none" w:sz="0" w:space="0" w:color="auto"/>
      </w:divBdr>
    </w:div>
    <w:div w:id="1186283371">
      <w:bodyDiv w:val="1"/>
      <w:marLeft w:val="0"/>
      <w:marRight w:val="0"/>
      <w:marTop w:val="0"/>
      <w:marBottom w:val="0"/>
      <w:divBdr>
        <w:top w:val="none" w:sz="0" w:space="0" w:color="auto"/>
        <w:left w:val="none" w:sz="0" w:space="0" w:color="auto"/>
        <w:bottom w:val="none" w:sz="0" w:space="0" w:color="auto"/>
        <w:right w:val="none" w:sz="0" w:space="0" w:color="auto"/>
      </w:divBdr>
    </w:div>
    <w:div w:id="1339576577">
      <w:bodyDiv w:val="1"/>
      <w:marLeft w:val="0"/>
      <w:marRight w:val="0"/>
      <w:marTop w:val="0"/>
      <w:marBottom w:val="0"/>
      <w:divBdr>
        <w:top w:val="none" w:sz="0" w:space="0" w:color="auto"/>
        <w:left w:val="none" w:sz="0" w:space="0" w:color="auto"/>
        <w:bottom w:val="none" w:sz="0" w:space="0" w:color="auto"/>
        <w:right w:val="none" w:sz="0" w:space="0" w:color="auto"/>
      </w:divBdr>
    </w:div>
    <w:div w:id="1478648642">
      <w:bodyDiv w:val="1"/>
      <w:marLeft w:val="0"/>
      <w:marRight w:val="0"/>
      <w:marTop w:val="0"/>
      <w:marBottom w:val="0"/>
      <w:divBdr>
        <w:top w:val="none" w:sz="0" w:space="0" w:color="auto"/>
        <w:left w:val="none" w:sz="0" w:space="0" w:color="auto"/>
        <w:bottom w:val="none" w:sz="0" w:space="0" w:color="auto"/>
        <w:right w:val="none" w:sz="0" w:space="0" w:color="auto"/>
      </w:divBdr>
      <w:divsChild>
        <w:div w:id="1729911760">
          <w:marLeft w:val="480"/>
          <w:marRight w:val="0"/>
          <w:marTop w:val="0"/>
          <w:marBottom w:val="0"/>
          <w:divBdr>
            <w:top w:val="none" w:sz="0" w:space="0" w:color="auto"/>
            <w:left w:val="none" w:sz="0" w:space="0" w:color="auto"/>
            <w:bottom w:val="none" w:sz="0" w:space="0" w:color="auto"/>
            <w:right w:val="none" w:sz="0" w:space="0" w:color="auto"/>
          </w:divBdr>
          <w:divsChild>
            <w:div w:id="16652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41536">
      <w:bodyDiv w:val="1"/>
      <w:marLeft w:val="0"/>
      <w:marRight w:val="0"/>
      <w:marTop w:val="0"/>
      <w:marBottom w:val="0"/>
      <w:divBdr>
        <w:top w:val="none" w:sz="0" w:space="0" w:color="auto"/>
        <w:left w:val="none" w:sz="0" w:space="0" w:color="auto"/>
        <w:bottom w:val="none" w:sz="0" w:space="0" w:color="auto"/>
        <w:right w:val="none" w:sz="0" w:space="0" w:color="auto"/>
      </w:divBdr>
    </w:div>
    <w:div w:id="1739745102">
      <w:bodyDiv w:val="1"/>
      <w:marLeft w:val="0"/>
      <w:marRight w:val="0"/>
      <w:marTop w:val="0"/>
      <w:marBottom w:val="0"/>
      <w:divBdr>
        <w:top w:val="none" w:sz="0" w:space="0" w:color="auto"/>
        <w:left w:val="none" w:sz="0" w:space="0" w:color="auto"/>
        <w:bottom w:val="none" w:sz="0" w:space="0" w:color="auto"/>
        <w:right w:val="none" w:sz="0" w:space="0" w:color="auto"/>
      </w:divBdr>
    </w:div>
    <w:div w:id="1843471263">
      <w:bodyDiv w:val="1"/>
      <w:marLeft w:val="0"/>
      <w:marRight w:val="0"/>
      <w:marTop w:val="0"/>
      <w:marBottom w:val="0"/>
      <w:divBdr>
        <w:top w:val="none" w:sz="0" w:space="0" w:color="auto"/>
        <w:left w:val="none" w:sz="0" w:space="0" w:color="auto"/>
        <w:bottom w:val="none" w:sz="0" w:space="0" w:color="auto"/>
        <w:right w:val="none" w:sz="0" w:space="0" w:color="auto"/>
      </w:divBdr>
    </w:div>
    <w:div w:id="1860391586">
      <w:bodyDiv w:val="1"/>
      <w:marLeft w:val="0"/>
      <w:marRight w:val="0"/>
      <w:marTop w:val="0"/>
      <w:marBottom w:val="0"/>
      <w:divBdr>
        <w:top w:val="none" w:sz="0" w:space="0" w:color="auto"/>
        <w:left w:val="none" w:sz="0" w:space="0" w:color="auto"/>
        <w:bottom w:val="none" w:sz="0" w:space="0" w:color="auto"/>
        <w:right w:val="none" w:sz="0" w:space="0" w:color="auto"/>
      </w:divBdr>
    </w:div>
    <w:div w:id="1894654383">
      <w:bodyDiv w:val="1"/>
      <w:marLeft w:val="0"/>
      <w:marRight w:val="0"/>
      <w:marTop w:val="0"/>
      <w:marBottom w:val="0"/>
      <w:divBdr>
        <w:top w:val="none" w:sz="0" w:space="0" w:color="auto"/>
        <w:left w:val="none" w:sz="0" w:space="0" w:color="auto"/>
        <w:bottom w:val="none" w:sz="0" w:space="0" w:color="auto"/>
        <w:right w:val="none" w:sz="0" w:space="0" w:color="auto"/>
      </w:divBdr>
    </w:div>
    <w:div w:id="1935046817">
      <w:bodyDiv w:val="1"/>
      <w:marLeft w:val="0"/>
      <w:marRight w:val="0"/>
      <w:marTop w:val="0"/>
      <w:marBottom w:val="0"/>
      <w:divBdr>
        <w:top w:val="none" w:sz="0" w:space="0" w:color="auto"/>
        <w:left w:val="none" w:sz="0" w:space="0" w:color="auto"/>
        <w:bottom w:val="none" w:sz="0" w:space="0" w:color="auto"/>
        <w:right w:val="none" w:sz="0" w:space="0" w:color="auto"/>
      </w:divBdr>
    </w:div>
    <w:div w:id="19971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13d48bA245794f5fa78176/Toc" TargetMode="External"/><Relationship Id="rId18" Type="http://schemas.openxmlformats.org/officeDocument/2006/relationships/footer" Target="footer1.xm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hyperlink" Target="https://www.aeaweb.org/articles?id=10.1257/mac.20170367" TargetMode="External"/><Relationship Id="rId34" Type="http://schemas.openxmlformats.org/officeDocument/2006/relationships/hyperlink" Target="https://obr.uk/docs/dlm_uploads/Fiscal_risks_and_sustainability_report_July_2023.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s/3af33f2d501948E5a5594a"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d31081B718FB440ab04072/Toc" TargetMode="External"/><Relationship Id="rId24" Type="http://schemas.openxmlformats.org/officeDocument/2006/relationships/image" Target="media/image6.svg"/><Relationship Id="rId32" Type="http://schemas.openxmlformats.org/officeDocument/2006/relationships/hyperlink" Target="https://www.bankofengland.co.uk/markets/market-intelligence/survey-results/2024/market-participants-survey-results-may-2024" TargetMode="External"/><Relationship Id="rId37" Type="http://schemas.openxmlformats.org/officeDocument/2006/relationships/hyperlink" Target="https://my.oxfordeconomics.com/reportaction/e72EB461b29B45C79706eb/Toc" TargetMode="Externa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5.png"/><Relationship Id="rId28" Type="http://schemas.openxmlformats.org/officeDocument/2006/relationships/hyperlink" Target="https://my.oxfordeconomics.com/reports/e72EB461b29B45C79706eb" TargetMode="External"/><Relationship Id="rId36" Type="http://schemas.openxmlformats.org/officeDocument/2006/relationships/image" Target="media/image10.svg"/><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www.federalreserve.gov/econres/ifdp/files/ifdp1315.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my.oxfordeconomics.com/reports/1n1XApumnRiiXsIIi6GMz/files/SecularStagnationint" TargetMode="External"/><Relationship Id="rId27" Type="http://schemas.openxmlformats.org/officeDocument/2006/relationships/image" Target="media/image8.svg"/><Relationship Id="rId30" Type="http://schemas.openxmlformats.org/officeDocument/2006/relationships/hyperlink" Target="https://www.bis.org/publ/work691.htm" TargetMode="External"/><Relationship Id="rId35" Type="http://schemas.openxmlformats.org/officeDocument/2006/relationships/image" Target="media/image9.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E6BF599d86ce49008e7798/Toc" TargetMode="External"/><Relationship Id="rId17" Type="http://schemas.openxmlformats.org/officeDocument/2006/relationships/header" Target="header2.xml"/><Relationship Id="rId25" Type="http://schemas.openxmlformats.org/officeDocument/2006/relationships/hyperlink" Target="https://my.oxfordeconomics.com/reportaction/E6BF599d86ce49008e7798/Toc" TargetMode="External"/><Relationship Id="rId33" Type="http://schemas.openxmlformats.org/officeDocument/2006/relationships/hyperlink" Target="https://www.imf.org/-/media/Files/Publications/WEO/2023/April/English/ch2.ashx" TargetMode="External"/><Relationship Id="rId38" Type="http://schemas.openxmlformats.org/officeDocument/2006/relationships/hyperlink" Target="https://www.aeaweb.org/articles?id=10.1257/mac.20170367"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B16B9C92-6B6A-4278-9CF3-0924D7BDF554}"/>
      </w:docPartPr>
      <w:docPartBody>
        <w:p w:rsidR="002309A1" w:rsidRDefault="000E0CEA">
          <w:r w:rsidRPr="00F365C3">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CEA"/>
    <w:rsid w:val="00036093"/>
    <w:rsid w:val="0008505C"/>
    <w:rsid w:val="000E0CEA"/>
    <w:rsid w:val="002309A1"/>
    <w:rsid w:val="00440B7D"/>
    <w:rsid w:val="004F68BC"/>
    <w:rsid w:val="00836B9A"/>
    <w:rsid w:val="008F5877"/>
    <w:rsid w:val="009E7D03"/>
    <w:rsid w:val="00D30B06"/>
    <w:rsid w:val="00ED48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AFDF4077-47D2-425A-96AD-EED48DE99452}">
  <ds:schemaRefs>
    <ds:schemaRef ds:uri="http://schemas.openxmlformats.org/officeDocument/2006/bibliography"/>
  </ds:schemaRefs>
</ds:datastoreItem>
</file>

<file path=customXml/itemProps2.xml><?xml version="1.0" encoding="utf-8"?>
<ds:datastoreItem xmlns:ds="http://schemas.openxmlformats.org/officeDocument/2006/customXml" ds:itemID="{E5FD8AD7-19CC-41A4-92DB-5BBCF8919143}">
  <ds:schemaRefs>
    <ds:schemaRef ds:uri="http://schemas.microsoft.com/sharepoint/v3/contenttype/forms"/>
  </ds:schemaRefs>
</ds:datastoreItem>
</file>

<file path=customXml/itemProps3.xml><?xml version="1.0" encoding="utf-8"?>
<ds:datastoreItem xmlns:ds="http://schemas.openxmlformats.org/officeDocument/2006/customXml" ds:itemID="{5B5904E1-AD39-4522-8746-1BBE56A3D1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C35FD2-2B0F-4240-A34B-728753F39514}">
  <ds:schemaRefs>
    <ds:schemaRef ds:uri="http://schemas.openxmlformats.org/package/2006/metadata/core-properties"/>
    <ds:schemaRef ds:uri="http://www.w3.org/XML/1998/namespace"/>
    <ds:schemaRef ds:uri="http://schemas.microsoft.com/office/2006/metadata/properties"/>
    <ds:schemaRef ds:uri="http://purl.org/dc/dcmitype/"/>
    <ds:schemaRef ds:uri="http://schemas.microsoft.com/office/2006/documentManagement/types"/>
    <ds:schemaRef ds:uri="http://purl.org/dc/elements/1.1/"/>
    <ds:schemaRef ds:uri="http://schemas.microsoft.com/office/infopath/2007/PartnerControls"/>
    <ds:schemaRef ds:uri="6c77b332-7df6-4eff-997f-266963d55fc4"/>
    <ds:schemaRef ds:uri="6ec33f61-c765-4e3b-9958-53c32fd1fd0b"/>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3041</Words>
  <Characters>15362</Characters>
  <Application>Microsoft Office Word</Application>
  <DocSecurity>0</DocSecurity>
  <Lines>301</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Harenberg</dc:creator>
  <cp:keywords/>
  <dc:description/>
  <cp:lastModifiedBy>Edward Allenby</cp:lastModifiedBy>
  <cp:revision>74</cp:revision>
  <dcterms:created xsi:type="dcterms:W3CDTF">2024-05-29T12:37:00Z</dcterms:created>
  <dcterms:modified xsi:type="dcterms:W3CDTF">2024-05-29T15:30:00Z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2024-05-29T15:23:37.000Z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v0.8.0.4</vt:lpwstr>
  </property>
  <property fmtid="{D5CDD505-2E9C-101B-9397-08002B2CF9AE}" pid="10" name="OEP_ANALYST_FULLNAME">
    <vt:lpwstr>Dr. Daniel Harenberg</vt:lpwstr>
  </property>
  <property fmtid="{D5CDD505-2E9C-101B-9397-08002B2CF9AE}" pid="11" name="OEP_ANALYST_JOBTITLE">
    <vt:lpwstr>Lead Global Economist</vt:lpwstr>
  </property>
  <property fmtid="{D5CDD505-2E9C-101B-9397-08002B2CF9AE}" pid="12" name="OEP_ANALYST_EMAIL">
    <vt:lpwstr>dharenberg@oxfordeconomics.com</vt:lpwstr>
  </property>
  <property fmtid="{D5CDD505-2E9C-101B-9397-08002B2CF9AE}" pid="13" name="OEP_AUTHORS">
    <vt:lpwstr>Dr. Daniel Harenberg|Lead Global Economist|dharenberg@oxfordeconomics.com_x000d_;Edward Allenby|UK Economist|eallenby@oxfordeconomics.com_x000d_</vt:lpwstr>
  </property>
  <property fmtid="{D5CDD505-2E9C-101B-9397-08002B2CF9AE}" pid="14" name="OEP_EXHIBIT_FILEPATHS">
    <vt:lpwstr/>
  </property>
  <property fmtid="{D5CDD505-2E9C-101B-9397-08002B2CF9AE}" pid="15" name="OEP_CATEGORIES">
    <vt:lpwstr>Macro-ResearchBriefings-UnitedKingdom,AnalysisbyRegion-Europe-UnitedKingdom</vt:lpwstr>
  </property>
  <property fmtid="{D5CDD505-2E9C-101B-9397-08002B2CF9AE}" pid="16" name="OEP_TAGS">
    <vt:lpwstr>Key Themes:interest rates,demographics,forecast,monetary policy</vt:lpwstr>
  </property>
  <property fmtid="{D5CDD505-2E9C-101B-9397-08002B2CF9AE}" pid="17" name="OEP_PRODUCT_CODE">
    <vt:lpwstr>29dFb1fe0FDA480da366Ff</vt:lpwstr>
  </property>
  <property fmtid="{D5CDD505-2E9C-101B-9397-08002B2CF9AE}" pid="18" name="OEP_PUBLISH_DATE">
    <vt:lpwstr/>
  </property>
  <property fmtid="{D5CDD505-2E9C-101B-9397-08002B2CF9AE}" pid="19" name="ContentTypeId">
    <vt:lpwstr>0x01010009401BB7205AF745BAD4FA98BDE0B98F</vt:lpwstr>
  </property>
  <property fmtid="{D5CDD505-2E9C-101B-9397-08002B2CF9AE}" pid="20" name="OEP_DATA_FILEPATH">
    <vt:lpwstr>C:\Users\Edward Allenby\OneDrive - Oxford Economics\Documents\2024-05\UK Neutral Rate write-up\Final\20240529 RB UK Neutral interest rate.xlsx</vt:lpwstr>
  </property>
</Properties>
</file>