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229C" w14:textId="7DE0ECAA" w:rsidR="00F07252" w:rsidRDefault="00967CA2" w:rsidP="00F07252">
      <w:pPr>
        <w:pStyle w:val="Bullet"/>
      </w:pPr>
      <w:r w:rsidRPr="00967CA2">
        <w:t>We expect the Monetary Policy Committee to hold Bank Rate at 3.75% at next week's meeting</w:t>
      </w:r>
      <w:r w:rsidR="005D0067">
        <w:t xml:space="preserve"> </w:t>
      </w:r>
      <w:r w:rsidR="00C06383">
        <w:t>o</w:t>
      </w:r>
      <w:r w:rsidR="005D0067">
        <w:t>n June 18</w:t>
      </w:r>
      <w:r w:rsidRPr="00967CA2">
        <w:t>.</w:t>
      </w:r>
      <w:r w:rsidR="00F07252" w:rsidRPr="00F07252">
        <w:t xml:space="preserve"> </w:t>
      </w:r>
      <w:r w:rsidR="00F07252">
        <w:t>The vote split will probably be slightly narrower than in April’s decision, with Megan Greene likely to join Huw Pill in voting for a hike due to shared concerns that second-round effects could prove larger than expected.</w:t>
      </w:r>
    </w:p>
    <w:p w14:paraId="524CF985" w14:textId="34C2145D" w:rsidR="00967CA2" w:rsidRDefault="00C536EE" w:rsidP="00967CA2">
      <w:pPr>
        <w:pStyle w:val="Bullet"/>
      </w:pPr>
      <w:r>
        <w:t xml:space="preserve">Although energy prices remain elevated, </w:t>
      </w:r>
      <w:r w:rsidR="00D4153F">
        <w:t>most</w:t>
      </w:r>
      <w:r w:rsidR="00FD3A06">
        <w:t xml:space="preserve"> MPC members </w:t>
      </w:r>
      <w:r w:rsidR="00753ACE">
        <w:t xml:space="preserve">don’t appear close to voting </w:t>
      </w:r>
      <w:r>
        <w:t xml:space="preserve">for tighter policy. </w:t>
      </w:r>
      <w:r w:rsidR="00BA5DD6">
        <w:t xml:space="preserve">Early warning signs </w:t>
      </w:r>
      <w:r w:rsidR="001C6385">
        <w:t xml:space="preserve">of </w:t>
      </w:r>
      <w:r w:rsidR="00BA5DD6">
        <w:t xml:space="preserve">indirect and second-round effects </w:t>
      </w:r>
      <w:r w:rsidR="00A7641D">
        <w:t>remain benign</w:t>
      </w:r>
      <w:r w:rsidR="00485BBA">
        <w:t>,</w:t>
      </w:r>
      <w:r w:rsidR="00645B23">
        <w:t xml:space="preserve"> and most members </w:t>
      </w:r>
      <w:r w:rsidR="00745CB7">
        <w:t>have argued that the weakness in the economy means the risk</w:t>
      </w:r>
      <w:r w:rsidR="00485BBA">
        <w:t>s</w:t>
      </w:r>
      <w:r w:rsidR="00745CB7">
        <w:t xml:space="preserve"> </w:t>
      </w:r>
      <w:r w:rsidR="00F47DBB">
        <w:t xml:space="preserve">around the medium-term </w:t>
      </w:r>
      <w:r w:rsidR="00967D96">
        <w:t xml:space="preserve">inflation </w:t>
      </w:r>
      <w:r w:rsidR="00F47DBB">
        <w:t>outlook</w:t>
      </w:r>
      <w:r w:rsidR="00745CB7">
        <w:t xml:space="preserve"> </w:t>
      </w:r>
      <w:r w:rsidR="00C044A1">
        <w:t>are</w:t>
      </w:r>
      <w:r w:rsidR="00745CB7">
        <w:t xml:space="preserve"> two-sided. </w:t>
      </w:r>
      <w:r w:rsidR="00C044A1">
        <w:t>But these members are still likely to signal that they remain open to rate rises if necessary.</w:t>
      </w:r>
      <w:r w:rsidR="00987BCE">
        <w:t xml:space="preserve"> </w:t>
      </w:r>
    </w:p>
    <w:p w14:paraId="2E69C5AD" w14:textId="55E76856" w:rsidR="00967CA2" w:rsidRDefault="005770D0">
      <w:r>
        <w:t xml:space="preserve">The Bank of England’s Monetary Policy Committee </w:t>
      </w:r>
      <w:r w:rsidR="00C06B47">
        <w:t xml:space="preserve">left Bank Rate unchanged </w:t>
      </w:r>
      <w:r w:rsidR="00793000">
        <w:t>at 3.75%</w:t>
      </w:r>
      <w:r w:rsidR="008A6A41">
        <w:t xml:space="preserve"> at </w:t>
      </w:r>
      <w:r w:rsidR="00DB6296">
        <w:t xml:space="preserve">its </w:t>
      </w:r>
      <w:hyperlink r:id="rId7" w:history="1">
        <w:r w:rsidR="00DB6296" w:rsidRPr="004957AD">
          <w:rPr>
            <w:rStyle w:val="Hyperlink"/>
          </w:rPr>
          <w:t>last meeting on April 30</w:t>
        </w:r>
      </w:hyperlink>
      <w:r w:rsidR="00DB6296">
        <w:t xml:space="preserve">. </w:t>
      </w:r>
      <w:r w:rsidR="00112D5E">
        <w:t xml:space="preserve">Although </w:t>
      </w:r>
      <w:r w:rsidR="006B1B4D">
        <w:t xml:space="preserve">the </w:t>
      </w:r>
      <w:r w:rsidR="00EA5D70">
        <w:t xml:space="preserve">meeting </w:t>
      </w:r>
      <w:r w:rsidR="006B1B4D">
        <w:t xml:space="preserve">minutes </w:t>
      </w:r>
      <w:r w:rsidR="00EA5D70">
        <w:t xml:space="preserve">and press conference accompanying </w:t>
      </w:r>
      <w:r w:rsidR="000D6027">
        <w:t xml:space="preserve">that </w:t>
      </w:r>
      <w:r w:rsidR="00EA5D70">
        <w:t xml:space="preserve">announcement </w:t>
      </w:r>
      <w:r w:rsidR="000D6027">
        <w:t xml:space="preserve">suggested the MPC </w:t>
      </w:r>
      <w:r w:rsidR="00BA2514">
        <w:t>is</w:t>
      </w:r>
      <w:r w:rsidR="000D6027">
        <w:t xml:space="preserve"> in no hurry </w:t>
      </w:r>
      <w:r w:rsidR="0019104A">
        <w:t xml:space="preserve">to </w:t>
      </w:r>
      <w:r w:rsidR="00742D37">
        <w:t>tighten policy in the near term</w:t>
      </w:r>
      <w:r w:rsidR="0019104A">
        <w:t xml:space="preserve">, </w:t>
      </w:r>
      <w:r w:rsidR="005A7715">
        <w:t>the committee</w:t>
      </w:r>
      <w:r w:rsidR="00C95A43">
        <w:t xml:space="preserve"> also</w:t>
      </w:r>
      <w:r w:rsidR="005A7715">
        <w:t xml:space="preserve"> made clear that the door </w:t>
      </w:r>
      <w:r w:rsidR="008D406C">
        <w:t xml:space="preserve">to </w:t>
      </w:r>
      <w:r w:rsidR="00502445">
        <w:t xml:space="preserve">lifting Bank Rate remained open should energy prices </w:t>
      </w:r>
      <w:r w:rsidR="004E1967">
        <w:t>stay elevated for a prolonged period</w:t>
      </w:r>
      <w:r w:rsidR="00D471B4">
        <w:t xml:space="preserve"> or </w:t>
      </w:r>
      <w:r w:rsidR="00C95A43">
        <w:t xml:space="preserve">strong evidence emerge that </w:t>
      </w:r>
      <w:r w:rsidR="00D177C2">
        <w:t xml:space="preserve">significant second-round effects from higher energy prices </w:t>
      </w:r>
      <w:r w:rsidR="008034AE">
        <w:t>were likely to form.</w:t>
      </w:r>
    </w:p>
    <w:p w14:paraId="2AD1566A" w14:textId="04FB623C" w:rsidR="00673B00" w:rsidRDefault="0074417E">
      <w:r>
        <w:t xml:space="preserve">Since then, </w:t>
      </w:r>
      <w:r w:rsidR="00061E5E">
        <w:t xml:space="preserve">shipping through the Strait of Hormuz </w:t>
      </w:r>
      <w:r w:rsidR="00A33A0F">
        <w:t>has remained</w:t>
      </w:r>
      <w:r w:rsidR="005F7DAA">
        <w:t xml:space="preserve"> severely disrupted, keeping </w:t>
      </w:r>
      <w:r w:rsidR="00E82922">
        <w:t>commodity prices elevated</w:t>
      </w:r>
      <w:r w:rsidR="00CA3A22">
        <w:t xml:space="preserve">. </w:t>
      </w:r>
      <w:r w:rsidR="00503477">
        <w:t xml:space="preserve">But the economic data </w:t>
      </w:r>
      <w:r w:rsidR="003D0EFC">
        <w:t xml:space="preserve">have </w:t>
      </w:r>
      <w:r w:rsidR="00503477">
        <w:t xml:space="preserve">come in slightly softer than </w:t>
      </w:r>
      <w:r w:rsidR="00B005ED">
        <w:t xml:space="preserve">the MPC </w:t>
      </w:r>
      <w:r w:rsidR="00503477">
        <w:t>expected</w:t>
      </w:r>
      <w:r w:rsidR="00B005ED">
        <w:t xml:space="preserve">, while </w:t>
      </w:r>
      <w:r w:rsidR="00A20D72">
        <w:t xml:space="preserve">the early warning signs </w:t>
      </w:r>
      <w:r w:rsidR="007C5516">
        <w:t xml:space="preserve">for </w:t>
      </w:r>
      <w:r w:rsidR="00AD171C">
        <w:t xml:space="preserve">indirect and </w:t>
      </w:r>
      <w:r w:rsidR="007C5516">
        <w:t>second</w:t>
      </w:r>
      <w:r w:rsidR="001A01D7">
        <w:t>-</w:t>
      </w:r>
      <w:r w:rsidR="007C5516">
        <w:t xml:space="preserve">round effects </w:t>
      </w:r>
      <w:r w:rsidR="007B23F1">
        <w:t>have remained benign</w:t>
      </w:r>
      <w:r w:rsidR="001F4D81">
        <w:t>. Against this backdrop, we expect the MPC to hold Bank Rate at 3.75% again</w:t>
      </w:r>
      <w:r w:rsidR="00646701">
        <w:t xml:space="preserve"> at the June meeting</w:t>
      </w:r>
      <w:r w:rsidR="00630B61">
        <w:t xml:space="preserve">, </w:t>
      </w:r>
      <w:r w:rsidR="001B5AEE">
        <w:t xml:space="preserve">but </w:t>
      </w:r>
      <w:r w:rsidR="00630B61">
        <w:t>with a slightly narrower vote split</w:t>
      </w:r>
      <w:r w:rsidR="00E03E3B">
        <w:t xml:space="preserve"> than in April</w:t>
      </w:r>
      <w:r w:rsidR="00C036EC">
        <w:t xml:space="preserve"> and </w:t>
      </w:r>
      <w:r w:rsidR="00B15A34">
        <w:t xml:space="preserve">with </w:t>
      </w:r>
      <w:r w:rsidR="00503EDF">
        <w:t xml:space="preserve">the </w:t>
      </w:r>
      <w:r w:rsidR="00EC6571">
        <w:t xml:space="preserve">minutes </w:t>
      </w:r>
      <w:r w:rsidR="00C036EC">
        <w:t>signalling</w:t>
      </w:r>
      <w:r w:rsidR="00EC6571">
        <w:t xml:space="preserve"> that </w:t>
      </w:r>
      <w:r w:rsidR="00C036EC">
        <w:t xml:space="preserve">most </w:t>
      </w:r>
      <w:r w:rsidR="003071A8">
        <w:t>members</w:t>
      </w:r>
      <w:r w:rsidR="00A02CCB">
        <w:t xml:space="preserve"> </w:t>
      </w:r>
      <w:r w:rsidR="00844F4E">
        <w:t>remain open to tightening policy if necessary</w:t>
      </w:r>
      <w:r w:rsidR="004E36CB">
        <w:t>.</w:t>
      </w:r>
    </w:p>
    <w:p w14:paraId="3BECEECF" w14:textId="7639B050" w:rsidR="00967CA2" w:rsidRDefault="00967CA2" w:rsidP="00967CA2">
      <w:pPr>
        <w:pStyle w:val="ExhibitTitle"/>
      </w:pPr>
      <w:bookmarkStart w:id="0" w:name="_Ref231827368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A50194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CE1950">
        <w:t>Oil and gas</w:t>
      </w:r>
      <w:r w:rsidR="00911FC6">
        <w:t xml:space="preserve"> futures prices </w:t>
      </w:r>
      <w:r w:rsidR="00333773">
        <w:t>lie between the BoE’s middle and benign scenarios</w:t>
      </w:r>
      <w:r w:rsidR="003E7982">
        <w:t xml:space="preserve"> from mid-2027 onwards</w:t>
      </w:r>
    </w:p>
    <w:p w14:paraId="0B924DEC" w14:textId="368381BE" w:rsidR="00967CA2" w:rsidRDefault="00936759" w:rsidP="00A50194">
      <w:pPr>
        <w:pStyle w:val="Chart"/>
      </w:pPr>
      <w:r>
        <w:rPr>
          <w:noProof/>
        </w:rPr>
        <w:drawing>
          <wp:inline distT="0" distB="0" distL="0" distR="0" wp14:anchorId="6E151A48" wp14:editId="2C9E8030">
            <wp:extent cx="6442710" cy="3108430"/>
            <wp:effectExtent l="0" t="0" r="0" b="0"/>
            <wp:docPr id="114473113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311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2389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497E" w14:textId="6AFA3C83" w:rsidR="00936759" w:rsidRDefault="00936759" w:rsidP="00936759">
      <w:pPr>
        <w:pStyle w:val="ExhibitSource"/>
      </w:pPr>
      <w:r>
        <w:t>Sources: Oxford Economics, Haver Analytics, Bank of England April 2026 Monetary Policy Report</w:t>
      </w:r>
    </w:p>
    <w:p w14:paraId="3864F189" w14:textId="3282C715" w:rsidR="00967CA2" w:rsidRDefault="00967CA2" w:rsidP="00967CA2">
      <w:pPr>
        <w:sectPr w:rsidR="00967CA2" w:rsidSect="00967CA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660" w:right="880" w:bottom="732" w:left="880" w:header="200" w:footer="300" w:gutter="0"/>
          <w:cols w:space="708"/>
          <w:titlePg/>
          <w:docGrid w:linePitch="360"/>
        </w:sectPr>
      </w:pPr>
    </w:p>
    <w:p w14:paraId="14DF61B2" w14:textId="6F322FDF" w:rsidR="00967CA2" w:rsidRDefault="00DB5FCD" w:rsidP="00EC069C">
      <w:pPr>
        <w:pStyle w:val="Heading2"/>
      </w:pPr>
      <w:r>
        <w:lastRenderedPageBreak/>
        <w:t>Recent data continue to</w:t>
      </w:r>
      <w:r w:rsidR="00216D48">
        <w:t xml:space="preserve"> </w:t>
      </w:r>
      <w:r w:rsidR="007E114C">
        <w:t xml:space="preserve">point to a transitory </w:t>
      </w:r>
      <w:r w:rsidR="00BD01C3">
        <w:t xml:space="preserve">energy </w:t>
      </w:r>
      <w:r w:rsidR="007E114C">
        <w:t>shock</w:t>
      </w:r>
    </w:p>
    <w:p w14:paraId="7E9E70DD" w14:textId="4E056A2B" w:rsidR="00B13D74" w:rsidRDefault="00601F99" w:rsidP="00967CA2">
      <w:r>
        <w:t xml:space="preserve">Key to the MPC will be monitoring </w:t>
      </w:r>
      <w:r w:rsidR="00087087">
        <w:t xml:space="preserve">how large the energy shock is likely to be, and what the implications for medium-term inflation </w:t>
      </w:r>
      <w:r w:rsidR="00B22787">
        <w:t>prospects are</w:t>
      </w:r>
      <w:r>
        <w:t>.</w:t>
      </w:r>
      <w:r w:rsidR="001C4AC3">
        <w:t xml:space="preserve"> On that score, </w:t>
      </w:r>
      <w:r w:rsidR="009C09DF">
        <w:t xml:space="preserve">from mid-2027 onwards, </w:t>
      </w:r>
      <w:r w:rsidR="00ED50E6">
        <w:t xml:space="preserve">oil and gas futures prices </w:t>
      </w:r>
      <w:r w:rsidR="008B22D6">
        <w:t xml:space="preserve">sit between </w:t>
      </w:r>
      <w:r w:rsidR="002031F9">
        <w:t xml:space="preserve">the low and middle </w:t>
      </w:r>
      <w:r w:rsidR="00824253">
        <w:t>scenarios set</w:t>
      </w:r>
      <w:r w:rsidR="00D32DC0">
        <w:t xml:space="preserve"> out in the BoE’s April Monetary Policy Report</w:t>
      </w:r>
      <w:r w:rsidR="009F28A1">
        <w:t xml:space="preserve"> (</w:t>
      </w:r>
      <w:r w:rsidR="009F28A1" w:rsidRPr="009F28A1">
        <w:rPr>
          <w:b/>
          <w:bCs/>
          <w:color w:val="003469"/>
        </w:rPr>
        <w:t>Chart 1</w:t>
      </w:r>
      <w:r w:rsidR="009F28A1">
        <w:t>)</w:t>
      </w:r>
      <w:r w:rsidR="009C09DF">
        <w:t xml:space="preserve">. </w:t>
      </w:r>
      <w:r w:rsidR="00156CBF">
        <w:t xml:space="preserve">Given most committee members </w:t>
      </w:r>
      <w:r w:rsidR="001508C9">
        <w:t xml:space="preserve">at the time </w:t>
      </w:r>
      <w:r w:rsidR="00156CBF">
        <w:t xml:space="preserve">suggested </w:t>
      </w:r>
      <w:r w:rsidR="005F11CD">
        <w:t xml:space="preserve">neither scenario </w:t>
      </w:r>
      <w:r w:rsidR="0096524C">
        <w:t xml:space="preserve">required </w:t>
      </w:r>
      <w:r w:rsidR="00F9476F">
        <w:t>higher interest rates</w:t>
      </w:r>
      <w:r w:rsidR="00CC3CB3">
        <w:t xml:space="preserve"> in response</w:t>
      </w:r>
      <w:r w:rsidR="00281A19">
        <w:t xml:space="preserve">, energy price developments </w:t>
      </w:r>
      <w:r w:rsidR="004F2EAE">
        <w:t xml:space="preserve">over the </w:t>
      </w:r>
      <w:r w:rsidR="00500A3C">
        <w:t>past</w:t>
      </w:r>
      <w:r w:rsidR="004F2EAE">
        <w:t xml:space="preserve"> six weeks </w:t>
      </w:r>
      <w:r w:rsidR="00281A19">
        <w:t xml:space="preserve">are unlikely to </w:t>
      </w:r>
      <w:r w:rsidR="004F2EAE">
        <w:t xml:space="preserve">have pushed </w:t>
      </w:r>
      <w:r w:rsidR="006E1BDE">
        <w:t xml:space="preserve">them </w:t>
      </w:r>
      <w:r w:rsidR="00CC3CB3">
        <w:t>towards a more hawkish stance.</w:t>
      </w:r>
    </w:p>
    <w:p w14:paraId="282CC878" w14:textId="3B32CD8D" w:rsidR="00DD6BE4" w:rsidRDefault="00863738" w:rsidP="00967CA2">
      <w:r>
        <w:t xml:space="preserve">The limited amount of </w:t>
      </w:r>
      <w:r w:rsidR="00BA2428">
        <w:t>hard economic data published since April</w:t>
      </w:r>
      <w:r w:rsidR="00A75B74">
        <w:t>’s</w:t>
      </w:r>
      <w:r>
        <w:t xml:space="preserve"> meeting has been relatively inconclusive</w:t>
      </w:r>
      <w:r w:rsidR="00A75B74">
        <w:t xml:space="preserve">. </w:t>
      </w:r>
      <w:hyperlink r:id="rId16" w:history="1">
        <w:r w:rsidR="00A75B74" w:rsidRPr="009F65E9">
          <w:rPr>
            <w:rStyle w:val="Hyperlink"/>
          </w:rPr>
          <w:t>CPI inflation</w:t>
        </w:r>
      </w:hyperlink>
      <w:r w:rsidR="00A75B74">
        <w:t xml:space="preserve"> undershot the BoE’s staff forecast in April, which reflected both temporary factors and a genuine cooling in underlying price pressures in the services sector. It’s a similar story with </w:t>
      </w:r>
      <w:hyperlink r:id="rId17" w:history="1">
        <w:r w:rsidR="00A75B74" w:rsidRPr="009F65E9">
          <w:rPr>
            <w:rStyle w:val="Hyperlink"/>
          </w:rPr>
          <w:t>April’s flash payrolls print</w:t>
        </w:r>
      </w:hyperlink>
      <w:r w:rsidR="00A75B74">
        <w:t xml:space="preserve">. HMRC’s initial estimate of payrolled employees </w:t>
      </w:r>
      <w:r w:rsidR="00CB017C">
        <w:t>dropped</w:t>
      </w:r>
      <w:r w:rsidR="00A75B74">
        <w:t xml:space="preserve"> </w:t>
      </w:r>
      <w:r w:rsidR="006E1BDE">
        <w:t xml:space="preserve">by </w:t>
      </w:r>
      <w:r w:rsidR="00A75B74">
        <w:t xml:space="preserve">100,000, but history suggests weak initial outturns for April tend </w:t>
      </w:r>
      <w:r w:rsidR="00A75B74" w:rsidRPr="00A13650">
        <w:t>to be revised smaller over time</w:t>
      </w:r>
      <w:r w:rsidR="00A75B74">
        <w:t>,</w:t>
      </w:r>
      <w:r w:rsidR="00A75B74" w:rsidRPr="00A13650">
        <w:t xml:space="preserve"> and BoE Governor Andrew</w:t>
      </w:r>
      <w:r w:rsidR="00A75B74">
        <w:t xml:space="preserve"> Bailey</w:t>
      </w:r>
      <w:r w:rsidR="00A75B74" w:rsidRPr="00A13650">
        <w:t xml:space="preserve"> </w:t>
      </w:r>
      <w:hyperlink r:id="rId18" w:history="1">
        <w:r w:rsidR="00A75B74" w:rsidRPr="00E166E9">
          <w:rPr>
            <w:rStyle w:val="Hyperlink"/>
          </w:rPr>
          <w:t>recently remarked</w:t>
        </w:r>
      </w:hyperlink>
      <w:r w:rsidR="00A75B74">
        <w:t xml:space="preserve"> that he places little weight on the flash payrolls estimates. Elsewhere, the latest pay data pointed to a further cooling in momentum, while </w:t>
      </w:r>
      <w:hyperlink r:id="rId19" w:history="1">
        <w:r w:rsidR="00A75B74" w:rsidRPr="00A84AE5">
          <w:rPr>
            <w:rStyle w:val="Hyperlink"/>
          </w:rPr>
          <w:t>May’s S&amp;P Global survey</w:t>
        </w:r>
      </w:hyperlink>
      <w:r w:rsidR="00A75B74" w:rsidRPr="00BA0FC3">
        <w:t xml:space="preserve"> suggested that</w:t>
      </w:r>
      <w:r w:rsidR="00A75B74">
        <w:t xml:space="preserve"> economic</w:t>
      </w:r>
      <w:r w:rsidR="00A75B74" w:rsidRPr="00BA0FC3">
        <w:t xml:space="preserve"> activity has started to weaken.</w:t>
      </w:r>
    </w:p>
    <w:p w14:paraId="5A6D49A8" w14:textId="57A8E79E" w:rsidR="002763A4" w:rsidRDefault="00723F22" w:rsidP="00967CA2">
      <w:r>
        <w:t xml:space="preserve">The degree to which firms are responding to </w:t>
      </w:r>
      <w:r w:rsidR="00D001EB">
        <w:t>higher</w:t>
      </w:r>
      <w:r>
        <w:t xml:space="preserve"> input costs by raising prices should become clearer </w:t>
      </w:r>
      <w:r w:rsidR="0010393E">
        <w:t xml:space="preserve">as </w:t>
      </w:r>
      <w:r w:rsidR="003C5F99">
        <w:t xml:space="preserve">we </w:t>
      </w:r>
      <w:r w:rsidR="0010393E">
        <w:t xml:space="preserve">move through H2 2026. But strong evidence on </w:t>
      </w:r>
      <w:r w:rsidR="00033C79">
        <w:t>the scale of second-round effects via higher wage growth is unlikely to arrive until next spring, when data on the early 2027</w:t>
      </w:r>
      <w:r w:rsidR="00086C8A">
        <w:t xml:space="preserve"> </w:t>
      </w:r>
      <w:r w:rsidR="00FD5837">
        <w:t xml:space="preserve">pay round </w:t>
      </w:r>
      <w:r w:rsidR="00086C8A">
        <w:t xml:space="preserve">is published. </w:t>
      </w:r>
      <w:r w:rsidR="00B3155A">
        <w:t>This</w:t>
      </w:r>
      <w:r w:rsidR="0098234A">
        <w:t xml:space="preserve"> time lag</w:t>
      </w:r>
      <w:r w:rsidR="00B3155A">
        <w:t xml:space="preserve"> leaves the MPC in a tricky position</w:t>
      </w:r>
      <w:r w:rsidR="00FF6621">
        <w:t>.</w:t>
      </w:r>
      <w:r w:rsidR="00B7511D">
        <w:t xml:space="preserve"> </w:t>
      </w:r>
      <w:r w:rsidR="007D578D">
        <w:t>As Bailey recentl</w:t>
      </w:r>
      <w:r w:rsidR="00387C40">
        <w:t>y remarked, t</w:t>
      </w:r>
      <w:r w:rsidR="00B7511D">
        <w:t xml:space="preserve">he committee can’t wait </w:t>
      </w:r>
      <w:r w:rsidR="002763A4">
        <w:t xml:space="preserve">for </w:t>
      </w:r>
      <w:r w:rsidR="00A44694">
        <w:t>hard evidence of second</w:t>
      </w:r>
      <w:r w:rsidR="001A01D7">
        <w:t>-</w:t>
      </w:r>
      <w:r w:rsidR="00A44694">
        <w:t>round effects to emerge before acting</w:t>
      </w:r>
      <w:r w:rsidR="00FF6621">
        <w:t xml:space="preserve">, so policy must </w:t>
      </w:r>
      <w:r w:rsidR="00FF4899">
        <w:t xml:space="preserve">instead </w:t>
      </w:r>
      <w:r w:rsidR="00FF6621">
        <w:t xml:space="preserve">be set based on </w:t>
      </w:r>
      <w:r w:rsidR="00FF6621" w:rsidRPr="00FF6621">
        <w:t>whether there</w:t>
      </w:r>
      <w:r w:rsidR="006E1BDE">
        <w:t>’</w:t>
      </w:r>
      <w:r w:rsidR="00FF4899">
        <w:t>s</w:t>
      </w:r>
      <w:r w:rsidR="00FF6621" w:rsidRPr="00FF6621">
        <w:t xml:space="preserve"> a sufficiently high chance of </w:t>
      </w:r>
      <w:r w:rsidR="00FF4899">
        <w:t>these conditions</w:t>
      </w:r>
      <w:r w:rsidR="00FF6621" w:rsidRPr="00FF6621">
        <w:t xml:space="preserve"> materialising</w:t>
      </w:r>
      <w:r w:rsidR="00FF6621">
        <w:t xml:space="preserve"> or not</w:t>
      </w:r>
      <w:r w:rsidR="00FF4899">
        <w:t>.</w:t>
      </w:r>
    </w:p>
    <w:p w14:paraId="353ECD04" w14:textId="0D960582" w:rsidR="004F4887" w:rsidRDefault="003B266C" w:rsidP="00967CA2">
      <w:r>
        <w:t xml:space="preserve">At this stage, </w:t>
      </w:r>
      <w:r w:rsidR="00BB1200">
        <w:t xml:space="preserve">most evidence suggests </w:t>
      </w:r>
      <w:r w:rsidR="004078A4">
        <w:t>that indirect and second</w:t>
      </w:r>
      <w:r w:rsidR="001A01D7">
        <w:t>-</w:t>
      </w:r>
      <w:r w:rsidR="004078A4">
        <w:t>round effects are likely to be relatively modest.</w:t>
      </w:r>
      <w:r w:rsidR="00002D86">
        <w:t xml:space="preserve"> </w:t>
      </w:r>
      <w:r w:rsidR="00F046EA">
        <w:t xml:space="preserve">Both the Citi/YouGov survey of household inflation expectations </w:t>
      </w:r>
      <w:r w:rsidR="00167D5F">
        <w:t>and the BoE’s Decision Maker Panel show that while year-ahead expectations rem</w:t>
      </w:r>
      <w:r w:rsidR="00C96865">
        <w:t xml:space="preserve">ain elevated, medium-term inflation expectations </w:t>
      </w:r>
      <w:r w:rsidR="00A52D4A">
        <w:t>are</w:t>
      </w:r>
      <w:r w:rsidR="0040541F">
        <w:t xml:space="preserve"> at similar levels to those seen before the Middle East conflict (</w:t>
      </w:r>
      <w:r w:rsidR="00D86DF0" w:rsidRPr="00D86DF0">
        <w:rPr>
          <w:b/>
          <w:bCs/>
          <w:color w:val="003469"/>
        </w:rPr>
        <w:fldChar w:fldCharType="begin"/>
      </w:r>
      <w:r w:rsidR="00D86DF0" w:rsidRPr="00D86DF0">
        <w:rPr>
          <w:b/>
          <w:color w:val="003469"/>
        </w:rPr>
        <w:instrText xml:space="preserve"> REF _Ref231827369 \h \* Charformat </w:instrText>
      </w:r>
      <w:r w:rsidR="00D86DF0" w:rsidRPr="00D86DF0">
        <w:rPr>
          <w:b/>
          <w:bCs/>
          <w:color w:val="003469"/>
        </w:rPr>
      </w:r>
      <w:r w:rsidR="00D86DF0" w:rsidRPr="00D86DF0">
        <w:rPr>
          <w:b/>
          <w:bCs/>
          <w:color w:val="003469"/>
        </w:rPr>
        <w:fldChar w:fldCharType="separate"/>
      </w:r>
      <w:r w:rsidR="00A50194" w:rsidRPr="00A50194">
        <w:rPr>
          <w:b/>
          <w:color w:val="003469"/>
        </w:rPr>
        <w:t>Chart 2</w:t>
      </w:r>
      <w:r w:rsidR="00D86DF0" w:rsidRPr="00D86DF0">
        <w:rPr>
          <w:b/>
          <w:bCs/>
          <w:color w:val="003469"/>
        </w:rPr>
        <w:fldChar w:fldCharType="end"/>
      </w:r>
      <w:r w:rsidR="0040541F">
        <w:t xml:space="preserve">). </w:t>
      </w:r>
      <w:r w:rsidR="00050723">
        <w:t xml:space="preserve">Firms’ year-ahead wage expectations are also little changed. </w:t>
      </w:r>
      <w:r w:rsidR="00A70460">
        <w:t>These results are consistent with</w:t>
      </w:r>
      <w:r w:rsidR="00A429AF">
        <w:t xml:space="preserve"> </w:t>
      </w:r>
      <w:r w:rsidR="0065185A">
        <w:t xml:space="preserve">the view that the </w:t>
      </w:r>
      <w:r w:rsidR="00825E08">
        <w:t xml:space="preserve">impact of the </w:t>
      </w:r>
      <w:r w:rsidR="0065185A">
        <w:t>energy shock is likely to be transitory, with</w:t>
      </w:r>
      <w:r w:rsidR="004F7294">
        <w:t xml:space="preserve"> only very limited</w:t>
      </w:r>
      <w:r w:rsidR="0065185A">
        <w:t xml:space="preserve"> </w:t>
      </w:r>
      <w:r w:rsidR="00DB0408">
        <w:t>upward pressure on</w:t>
      </w:r>
      <w:r w:rsidR="00B34E82">
        <w:t xml:space="preserve"> inflation at the policy-relevant horizon.</w:t>
      </w:r>
    </w:p>
    <w:p w14:paraId="58B39EC9" w14:textId="6C65BAA1" w:rsidR="00967CA2" w:rsidRDefault="00967CA2" w:rsidP="00967CA2">
      <w:pPr>
        <w:pStyle w:val="ExhibitTitle"/>
      </w:pPr>
      <w:bookmarkStart w:id="1" w:name="_Ref231827369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A50194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C23AE3">
        <w:t xml:space="preserve">Medium-term household and corporate inflation expectations </w:t>
      </w:r>
      <w:r w:rsidR="00BB773E">
        <w:t>remain close to pre-conflict levels</w:t>
      </w:r>
    </w:p>
    <w:p w14:paraId="7DDF7CE7" w14:textId="5466E499" w:rsidR="00967CA2" w:rsidRDefault="007318DE" w:rsidP="00A50194">
      <w:pPr>
        <w:pStyle w:val="Chart"/>
      </w:pPr>
      <w:r>
        <w:rPr>
          <w:noProof/>
        </w:rPr>
        <w:drawing>
          <wp:inline distT="0" distB="0" distL="0" distR="0" wp14:anchorId="0A5CAAC9" wp14:editId="79840E1F">
            <wp:extent cx="6442710" cy="3105335"/>
            <wp:effectExtent l="0" t="0" r="0" b="0"/>
            <wp:docPr id="1623739390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3939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b="2389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9A5F" w14:textId="40493249" w:rsidR="007318DE" w:rsidRDefault="007318DE" w:rsidP="007318DE">
      <w:pPr>
        <w:pStyle w:val="ExhibitSource"/>
      </w:pPr>
      <w:r>
        <w:t>Sources: Citi/YouGov survey of inflation expectations, Bank of England Decision Maker Panel</w:t>
      </w:r>
    </w:p>
    <w:p w14:paraId="063C9C14" w14:textId="2020A2BE" w:rsidR="00BA74A6" w:rsidRDefault="00D41D09" w:rsidP="00BA74A6">
      <w:r>
        <w:lastRenderedPageBreak/>
        <w:t xml:space="preserve">Recent </w:t>
      </w:r>
      <w:r w:rsidR="000D2182">
        <w:t xml:space="preserve">editions of the </w:t>
      </w:r>
      <w:r>
        <w:t xml:space="preserve">DMP survey </w:t>
      </w:r>
      <w:r w:rsidR="000D2182">
        <w:t>have also included an additional question</w:t>
      </w:r>
      <w:r w:rsidR="004C6C8A">
        <w:t xml:space="preserve"> asking companies how they expect to respond to higher energy prices </w:t>
      </w:r>
      <w:r w:rsidR="002D42A2">
        <w:t>due to the Iran conflict.</w:t>
      </w:r>
      <w:r w:rsidR="0015342D">
        <w:t xml:space="preserve"> </w:t>
      </w:r>
      <w:hyperlink r:id="rId22" w:history="1">
        <w:r w:rsidR="006451B4" w:rsidRPr="00B424E9">
          <w:rPr>
            <w:rStyle w:val="Hyperlink"/>
          </w:rPr>
          <w:t>May’s release</w:t>
        </w:r>
      </w:hyperlink>
      <w:r w:rsidR="006451B4">
        <w:t xml:space="preserve"> showed that corporates </w:t>
      </w:r>
      <w:r w:rsidR="00953A2C">
        <w:t>are overwhelmingly expecting more compressed profit margins</w:t>
      </w:r>
      <w:r w:rsidR="00EB5377">
        <w:t xml:space="preserve">, while only a relatively small percentage </w:t>
      </w:r>
      <w:r w:rsidR="00B940FB">
        <w:t xml:space="preserve">suggested they’re expecting to lift </w:t>
      </w:r>
      <w:r w:rsidR="00292C78">
        <w:t xml:space="preserve">wages </w:t>
      </w:r>
      <w:r w:rsidR="00A2691B">
        <w:t>over the next 12 months in response to the shock (</w:t>
      </w:r>
      <w:r w:rsidR="00D86DF0" w:rsidRPr="00D86DF0">
        <w:rPr>
          <w:b/>
          <w:bCs/>
          <w:color w:val="003469"/>
        </w:rPr>
        <w:fldChar w:fldCharType="begin"/>
      </w:r>
      <w:r w:rsidR="00D86DF0" w:rsidRPr="00D86DF0">
        <w:rPr>
          <w:b/>
          <w:color w:val="003469"/>
        </w:rPr>
        <w:instrText xml:space="preserve"> REF _Ref231827370 \h \* Charformat </w:instrText>
      </w:r>
      <w:r w:rsidR="00D86DF0" w:rsidRPr="00D86DF0">
        <w:rPr>
          <w:b/>
          <w:bCs/>
          <w:color w:val="003469"/>
        </w:rPr>
      </w:r>
      <w:r w:rsidR="00D86DF0" w:rsidRPr="00D86DF0">
        <w:rPr>
          <w:b/>
          <w:bCs/>
          <w:color w:val="003469"/>
        </w:rPr>
        <w:fldChar w:fldCharType="separate"/>
      </w:r>
      <w:r w:rsidR="00A50194" w:rsidRPr="00A50194">
        <w:rPr>
          <w:b/>
          <w:color w:val="003469"/>
        </w:rPr>
        <w:t>Chart 3</w:t>
      </w:r>
      <w:r w:rsidR="00D86DF0" w:rsidRPr="00D86DF0">
        <w:rPr>
          <w:b/>
          <w:bCs/>
          <w:color w:val="003469"/>
        </w:rPr>
        <w:fldChar w:fldCharType="end"/>
      </w:r>
      <w:r w:rsidR="00A2691B">
        <w:t>).</w:t>
      </w:r>
      <w:r w:rsidR="004A588D">
        <w:t xml:space="preserve"> </w:t>
      </w:r>
      <w:r w:rsidR="003F299B">
        <w:t xml:space="preserve">This should further ease the MPC’s concerns </w:t>
      </w:r>
      <w:r w:rsidR="00BF6D99">
        <w:t>that the initial price shock will morph into a more prolonged period of above-target inflation.</w:t>
      </w:r>
    </w:p>
    <w:p w14:paraId="39795E29" w14:textId="56C64DE6" w:rsidR="002D42A2" w:rsidRDefault="002D42A2" w:rsidP="002D42A2">
      <w:pPr>
        <w:pStyle w:val="ExhibitTitle"/>
      </w:pPr>
      <w:bookmarkStart w:id="2" w:name="_Ref231827370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A50194">
        <w:rPr>
          <w:noProof/>
        </w:rPr>
        <w:t>3</w:t>
      </w:r>
      <w:r>
        <w:fldChar w:fldCharType="end"/>
      </w:r>
      <w:bookmarkEnd w:id="2"/>
      <w:r>
        <w:t xml:space="preserve">: </w:t>
      </w:r>
      <w:r w:rsidR="006E0226">
        <w:t>Corporates overwhelmingly anticipate margin compression over the ne</w:t>
      </w:r>
      <w:r w:rsidR="00E42F17">
        <w:t>xt year</w:t>
      </w:r>
    </w:p>
    <w:p w14:paraId="57DA4ABB" w14:textId="2E6486F2" w:rsidR="003916E2" w:rsidRDefault="00D64598" w:rsidP="00A50194">
      <w:pPr>
        <w:pStyle w:val="Chart"/>
      </w:pPr>
      <w:r>
        <w:rPr>
          <w:noProof/>
        </w:rPr>
        <w:drawing>
          <wp:inline distT="0" distB="0" distL="0" distR="0" wp14:anchorId="6199C30F" wp14:editId="11549F5B">
            <wp:extent cx="6442710" cy="3111043"/>
            <wp:effectExtent l="0" t="0" r="0" b="0"/>
            <wp:docPr id="94084307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3070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2385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829" w14:textId="60761A4C" w:rsidR="00D64598" w:rsidRDefault="00D64598" w:rsidP="00D64598">
      <w:pPr>
        <w:pStyle w:val="ExhibitSource"/>
      </w:pPr>
      <w:r>
        <w:t>Sources: Bank of England Decision Maker Panel</w:t>
      </w:r>
    </w:p>
    <w:p w14:paraId="64DA7C86" w14:textId="0C9DEB7B" w:rsidR="00BA74A6" w:rsidRDefault="00547E8C" w:rsidP="00BA74A6">
      <w:pPr>
        <w:pStyle w:val="Heading2"/>
      </w:pPr>
      <w:r>
        <w:t xml:space="preserve">Divisions </w:t>
      </w:r>
      <w:r w:rsidR="008213CD">
        <w:t>withi</w:t>
      </w:r>
      <w:r>
        <w:t xml:space="preserve">n the MPC </w:t>
      </w:r>
      <w:r w:rsidR="00B301B7">
        <w:t>are rising, but the hawks don’t have the numbers</w:t>
      </w:r>
    </w:p>
    <w:p w14:paraId="14BB9A4E" w14:textId="5E832F41" w:rsidR="006470D5" w:rsidRDefault="00BA74A6" w:rsidP="00BA74A6">
      <w:r>
        <w:t>Every MPC member</w:t>
      </w:r>
      <w:r w:rsidR="003F5A94">
        <w:t>,</w:t>
      </w:r>
      <w:r>
        <w:t xml:space="preserve"> apart from Deputy Governors Clare Lombardelli and Dave Ramsden</w:t>
      </w:r>
      <w:r w:rsidR="003F5A94">
        <w:t>,</w:t>
      </w:r>
      <w:r>
        <w:t xml:space="preserve"> has made public comments since the April meeting to shed further light on their positions, but only one looks set to switch their vote</w:t>
      </w:r>
      <w:r w:rsidR="00195A99">
        <w:t xml:space="preserve">. </w:t>
      </w:r>
    </w:p>
    <w:p w14:paraId="135CABDE" w14:textId="1CE07713" w:rsidR="00BA74A6" w:rsidRDefault="00A14331" w:rsidP="00BA74A6">
      <w:r>
        <w:t xml:space="preserve">In a </w:t>
      </w:r>
      <w:hyperlink r:id="rId25" w:history="1">
        <w:r w:rsidRPr="00116340">
          <w:rPr>
            <w:rStyle w:val="Hyperlink"/>
          </w:rPr>
          <w:t>speech</w:t>
        </w:r>
      </w:hyperlink>
      <w:r>
        <w:t xml:space="preserve"> </w:t>
      </w:r>
      <w:r w:rsidR="00BD355C">
        <w:t xml:space="preserve">last week, external member Megan Greene </w:t>
      </w:r>
      <w:r w:rsidR="00617173">
        <w:t xml:space="preserve">dropped several strong hints that she will vote </w:t>
      </w:r>
      <w:r w:rsidR="00AB4467">
        <w:t>to raise Bank Rate at the June meeting.</w:t>
      </w:r>
      <w:r w:rsidR="007A21E1">
        <w:t xml:space="preserve"> </w:t>
      </w:r>
      <w:r w:rsidR="0036601D">
        <w:t xml:space="preserve">Greene </w:t>
      </w:r>
      <w:r w:rsidR="00406A70">
        <w:t>said she considered voting to hike in April but judged it would be a mistake if the conflict ended immediately.</w:t>
      </w:r>
      <w:r w:rsidR="007A21E1">
        <w:t xml:space="preserve"> </w:t>
      </w:r>
      <w:r w:rsidR="00386EE9">
        <w:t xml:space="preserve">She also argued that </w:t>
      </w:r>
      <w:r w:rsidR="0075656E">
        <w:t xml:space="preserve">it was most likely that </w:t>
      </w:r>
      <w:r w:rsidR="00EB1C26">
        <w:t xml:space="preserve">the scale of </w:t>
      </w:r>
      <w:r w:rsidR="0075656E">
        <w:t>second</w:t>
      </w:r>
      <w:r w:rsidR="00815E3E">
        <w:t xml:space="preserve">-round </w:t>
      </w:r>
      <w:r w:rsidR="003F537E">
        <w:t xml:space="preserve">effects </w:t>
      </w:r>
      <w:r w:rsidR="005B4457">
        <w:t xml:space="preserve">from the energy shock </w:t>
      </w:r>
      <w:r w:rsidR="00EB1C26">
        <w:t xml:space="preserve">will land somewhere between </w:t>
      </w:r>
      <w:r w:rsidR="0064585B">
        <w:t>the two higher inflation scenarios presented in April’s Monetary Policy Report</w:t>
      </w:r>
      <w:r w:rsidR="00E952FB">
        <w:t xml:space="preserve">, suggesting Bank Rate </w:t>
      </w:r>
      <w:r w:rsidR="002D72DD">
        <w:t xml:space="preserve">may need to rise by 75bps </w:t>
      </w:r>
      <w:r w:rsidR="00116340">
        <w:t>over the next 12 months.</w:t>
      </w:r>
      <w:r w:rsidR="00B8288C">
        <w:t xml:space="preserve"> </w:t>
      </w:r>
      <w:r w:rsidR="006470D5">
        <w:t xml:space="preserve">Her assessment </w:t>
      </w:r>
      <w:r w:rsidR="006131DB">
        <w:t xml:space="preserve">on second-round effects </w:t>
      </w:r>
      <w:r w:rsidR="006470D5" w:rsidRPr="006470D5">
        <w:t>revolves around analysis produced by BoE staff</w:t>
      </w:r>
      <w:r w:rsidR="003F5A94">
        <w:t>,</w:t>
      </w:r>
      <w:r w:rsidR="006470D5" w:rsidRPr="006470D5">
        <w:t xml:space="preserve"> which suggests that the impact of several</w:t>
      </w:r>
      <w:r w:rsidR="003D7688">
        <w:t xml:space="preserve"> recent</w:t>
      </w:r>
      <w:r w:rsidR="006470D5" w:rsidRPr="006470D5">
        <w:t xml:space="preserve"> negative supply shock</w:t>
      </w:r>
      <w:r w:rsidR="003D7688">
        <w:t>s</w:t>
      </w:r>
      <w:r w:rsidR="006470D5" w:rsidRPr="006470D5">
        <w:t xml:space="preserve"> has left households and companies more sensitive to rising inflation than in the past</w:t>
      </w:r>
      <w:r w:rsidR="003D7688">
        <w:t>,</w:t>
      </w:r>
      <w:r w:rsidR="006470D5" w:rsidRPr="006470D5">
        <w:t xml:space="preserve"> and longer-term inflation expectations more responsive to short-term inflation surprises</w:t>
      </w:r>
      <w:r w:rsidR="006470D5">
        <w:t xml:space="preserve">. </w:t>
      </w:r>
    </w:p>
    <w:p w14:paraId="7BB97767" w14:textId="02FDF5F4" w:rsidR="00D52F6C" w:rsidRDefault="00FB44F0" w:rsidP="00BA74A6">
      <w:r>
        <w:t xml:space="preserve">We expect Greene to join arch-hawk Huw Pill in voting for a 25bp rate rise at next week’s meeting. But </w:t>
      </w:r>
      <w:r w:rsidR="00DF5453">
        <w:t xml:space="preserve">the other seven committee </w:t>
      </w:r>
      <w:r w:rsidR="00F341B5">
        <w:t xml:space="preserve">members </w:t>
      </w:r>
      <w:r w:rsidR="00D02166">
        <w:t>don’t appear close to voting for tighter policy.</w:t>
      </w:r>
      <w:r w:rsidR="00B431B8">
        <w:t xml:space="preserve"> These members </w:t>
      </w:r>
      <w:r w:rsidR="004C69E5">
        <w:t xml:space="preserve">have argued that </w:t>
      </w:r>
      <w:r w:rsidR="006615D8">
        <w:t>the</w:t>
      </w:r>
      <w:r w:rsidR="00F15FDA">
        <w:t xml:space="preserve"> likelihood of significant second-round </w:t>
      </w:r>
      <w:r w:rsidR="00860719">
        <w:t>effects materialising remains relatively modest</w:t>
      </w:r>
      <w:r w:rsidR="00E24B11">
        <w:t>,</w:t>
      </w:r>
      <w:r w:rsidR="005F41EC">
        <w:t xml:space="preserve"> that</w:t>
      </w:r>
      <w:r w:rsidR="00E24B11">
        <w:t xml:space="preserve"> tighter financial conditions have already done some of the heavy lifting,</w:t>
      </w:r>
      <w:r w:rsidR="00860719">
        <w:t xml:space="preserve"> and that the</w:t>
      </w:r>
      <w:r w:rsidR="006615D8">
        <w:t xml:space="preserve"> weakness of the economy and labour market mean</w:t>
      </w:r>
      <w:r w:rsidR="00D2089D">
        <w:t>s</w:t>
      </w:r>
      <w:r w:rsidR="006615D8">
        <w:t xml:space="preserve"> the risks to </w:t>
      </w:r>
      <w:r w:rsidR="00094473">
        <w:t>medium-term</w:t>
      </w:r>
      <w:r w:rsidR="00401A5C">
        <w:t xml:space="preserve"> inflation</w:t>
      </w:r>
      <w:r w:rsidR="00094473">
        <w:t xml:space="preserve"> are more two</w:t>
      </w:r>
      <w:r w:rsidR="00D2089D">
        <w:t>-</w:t>
      </w:r>
      <w:r w:rsidR="00094473">
        <w:t xml:space="preserve">sided than Greene and Pill </w:t>
      </w:r>
      <w:r w:rsidR="003E41BA">
        <w:t xml:space="preserve">have </w:t>
      </w:r>
      <w:r w:rsidR="00094473">
        <w:t>suggest</w:t>
      </w:r>
      <w:r w:rsidR="003E41BA">
        <w:t>ed.</w:t>
      </w:r>
    </w:p>
    <w:p w14:paraId="3345ECA9" w14:textId="00266B1E" w:rsidR="00967CA2" w:rsidRDefault="00DE4368" w:rsidP="00967CA2">
      <w:r>
        <w:t xml:space="preserve">Indeed, </w:t>
      </w:r>
      <w:r w:rsidR="00F56084">
        <w:t xml:space="preserve">in a </w:t>
      </w:r>
      <w:hyperlink r:id="rId26" w:history="1">
        <w:r w:rsidR="00F56084" w:rsidRPr="009840C9">
          <w:rPr>
            <w:rStyle w:val="Hyperlink"/>
          </w:rPr>
          <w:t>recent speech</w:t>
        </w:r>
      </w:hyperlink>
      <w:r w:rsidR="00F56084">
        <w:t xml:space="preserve">, Bailey </w:t>
      </w:r>
      <w:r w:rsidR="009840C9">
        <w:t xml:space="preserve">said that </w:t>
      </w:r>
      <w:r w:rsidR="00D2089D">
        <w:t>he thinks</w:t>
      </w:r>
      <w:r w:rsidR="009840C9">
        <w:t xml:space="preserve"> “</w:t>
      </w:r>
      <w:r w:rsidR="00F56084">
        <w:t xml:space="preserve">tolerating </w:t>
      </w:r>
      <w:r w:rsidR="009840C9" w:rsidRPr="009840C9">
        <w:t>temporarily above</w:t>
      </w:r>
      <w:r w:rsidR="00053140">
        <w:t>-</w:t>
      </w:r>
      <w:r w:rsidR="009840C9" w:rsidRPr="009840C9">
        <w:t>target inflation to provide some support for the real economy is an appropriate approach</w:t>
      </w:r>
      <w:r w:rsidR="009840C9">
        <w:t>” to setting policy.</w:t>
      </w:r>
      <w:r w:rsidR="00D52F6C">
        <w:t xml:space="preserve"> </w:t>
      </w:r>
      <w:r w:rsidR="00053140">
        <w:t>These sentiments were</w:t>
      </w:r>
      <w:r w:rsidR="00855B2D">
        <w:t xml:space="preserve"> recently</w:t>
      </w:r>
      <w:r w:rsidR="00053140">
        <w:t xml:space="preserve"> echoed by external member Catherine Mann</w:t>
      </w:r>
      <w:r w:rsidR="00855B2D">
        <w:t xml:space="preserve">, who </w:t>
      </w:r>
      <w:hyperlink r:id="rId27" w:history="1">
        <w:r w:rsidR="00855B2D" w:rsidRPr="00B17E39">
          <w:rPr>
            <w:rStyle w:val="Hyperlink"/>
          </w:rPr>
          <w:t>noted</w:t>
        </w:r>
      </w:hyperlink>
      <w:r w:rsidR="00855B2D">
        <w:t xml:space="preserve"> that the MPC has “wiggle room”</w:t>
      </w:r>
      <w:r w:rsidR="000C2022">
        <w:t xml:space="preserve"> in balancing its aim to </w:t>
      </w:r>
      <w:r w:rsidR="000C2022">
        <w:lastRenderedPageBreak/>
        <w:t>keep inflation low while supporting the economy.</w:t>
      </w:r>
      <w:r w:rsidR="00E24B11">
        <w:t xml:space="preserve"> </w:t>
      </w:r>
      <w:r w:rsidR="00FE0845">
        <w:t xml:space="preserve">Meanwhile, </w:t>
      </w:r>
      <w:r w:rsidR="00BD3A0D">
        <w:t xml:space="preserve">public </w:t>
      </w:r>
      <w:r w:rsidR="0011422E">
        <w:t>remarks</w:t>
      </w:r>
      <w:r w:rsidR="00BD3A0D">
        <w:t xml:space="preserve"> from </w:t>
      </w:r>
      <w:hyperlink r:id="rId28" w:history="1">
        <w:r w:rsidR="00BD3A0D" w:rsidRPr="00B6583D">
          <w:rPr>
            <w:rStyle w:val="Hyperlink"/>
          </w:rPr>
          <w:t>Sarah Breeden</w:t>
        </w:r>
      </w:hyperlink>
      <w:r w:rsidR="00BD3A0D">
        <w:t xml:space="preserve">, </w:t>
      </w:r>
      <w:hyperlink r:id="rId29" w:history="1">
        <w:r w:rsidR="00BD3A0D" w:rsidRPr="00B6583D">
          <w:rPr>
            <w:rStyle w:val="Hyperlink"/>
          </w:rPr>
          <w:t>Swati Dhingra</w:t>
        </w:r>
      </w:hyperlink>
      <w:r w:rsidR="00BD3A0D">
        <w:t xml:space="preserve">, and </w:t>
      </w:r>
      <w:hyperlink r:id="rId30" w:history="1">
        <w:r w:rsidR="00BD3A0D" w:rsidRPr="00B6583D">
          <w:rPr>
            <w:rStyle w:val="Hyperlink"/>
          </w:rPr>
          <w:t>Alan Taylor</w:t>
        </w:r>
      </w:hyperlink>
      <w:r w:rsidR="0011422E">
        <w:t xml:space="preserve"> </w:t>
      </w:r>
      <w:r w:rsidR="00400E4B">
        <w:t xml:space="preserve">suggest they </w:t>
      </w:r>
      <w:r w:rsidR="00E72F48">
        <w:t xml:space="preserve">remain relatively sanguine </w:t>
      </w:r>
      <w:r w:rsidR="00815D82">
        <w:t xml:space="preserve">and that they view a strategy of holding Bank Rate </w:t>
      </w:r>
      <w:r w:rsidR="00E23B00">
        <w:t>at its current level as providing enough restrictiveness to keep a lid on inflationary pressures for now.</w:t>
      </w:r>
    </w:p>
    <w:p w14:paraId="013A921A" w14:textId="3CDB25F0" w:rsidR="00967CA2" w:rsidRDefault="00E13762" w:rsidP="007A57DC">
      <w:pPr>
        <w:pStyle w:val="Heading2"/>
      </w:pPr>
      <w:r>
        <w:t xml:space="preserve">We expect </w:t>
      </w:r>
      <w:r w:rsidR="00B301B7">
        <w:t xml:space="preserve">a </w:t>
      </w:r>
      <w:r>
        <w:t>hold in June</w:t>
      </w:r>
      <w:r w:rsidR="00043786">
        <w:t xml:space="preserve">, </w:t>
      </w:r>
      <w:r w:rsidR="00B301B7">
        <w:t xml:space="preserve">with the committee </w:t>
      </w:r>
      <w:r w:rsidR="00043786">
        <w:t>signal</w:t>
      </w:r>
      <w:r w:rsidR="00B301B7">
        <w:t>ling</w:t>
      </w:r>
      <w:r w:rsidR="00043786">
        <w:t xml:space="preserve"> </w:t>
      </w:r>
      <w:r w:rsidR="008213CD">
        <w:t xml:space="preserve">it </w:t>
      </w:r>
      <w:r w:rsidR="00644BC5">
        <w:t>remain</w:t>
      </w:r>
      <w:r w:rsidR="008213CD">
        <w:t>s</w:t>
      </w:r>
      <w:r w:rsidR="00644BC5">
        <w:t xml:space="preserve"> </w:t>
      </w:r>
      <w:r w:rsidR="00043786">
        <w:t>willing to act if necessary</w:t>
      </w:r>
    </w:p>
    <w:p w14:paraId="5B342D4A" w14:textId="22CA0BD7" w:rsidR="00D6643D" w:rsidRDefault="00E80778" w:rsidP="00967CA2">
      <w:r>
        <w:t>As of June 11</w:t>
      </w:r>
      <w:r w:rsidR="00CE2414">
        <w:t xml:space="preserve">, financial market pricing implies </w:t>
      </w:r>
      <w:r w:rsidR="00350166">
        <w:t xml:space="preserve">just </w:t>
      </w:r>
      <w:r w:rsidR="00CE2414">
        <w:t xml:space="preserve">a </w:t>
      </w:r>
      <w:r w:rsidR="00706A7A">
        <w:t>7</w:t>
      </w:r>
      <w:r w:rsidR="00CE2414">
        <w:t>% chance of a 25b</w:t>
      </w:r>
      <w:r w:rsidR="00350166">
        <w:t>p rate hike at the June meeting</w:t>
      </w:r>
      <w:r w:rsidR="004067CE">
        <w:t>. We agree</w:t>
      </w:r>
      <w:r w:rsidR="00433D7D">
        <w:t xml:space="preserve"> that</w:t>
      </w:r>
      <w:r w:rsidR="00B9642C">
        <w:t xml:space="preserve"> the </w:t>
      </w:r>
      <w:r w:rsidR="00BC50F3">
        <w:t>likelihood</w:t>
      </w:r>
      <w:r w:rsidR="00B9642C">
        <w:t xml:space="preserve"> of a hike next week</w:t>
      </w:r>
      <w:r w:rsidR="00BC50F3">
        <w:t xml:space="preserve"> looks low, given the balance </w:t>
      </w:r>
      <w:r w:rsidR="00400E4B">
        <w:t xml:space="preserve">of </w:t>
      </w:r>
      <w:r w:rsidR="00BC50F3">
        <w:t>views on</w:t>
      </w:r>
      <w:r w:rsidR="00430CF5">
        <w:t xml:space="preserve"> the committee and </w:t>
      </w:r>
      <w:r w:rsidR="002107B5">
        <w:t xml:space="preserve">that </w:t>
      </w:r>
      <w:r w:rsidR="00247CDD">
        <w:t>none of</w:t>
      </w:r>
      <w:r w:rsidR="00F23CF4">
        <w:t xml:space="preserve"> the data </w:t>
      </w:r>
      <w:r w:rsidR="00247CDD">
        <w:t xml:space="preserve">published </w:t>
      </w:r>
      <w:r w:rsidR="00906393">
        <w:t xml:space="preserve">since April’s decision </w:t>
      </w:r>
      <w:r w:rsidR="0094296C">
        <w:t>is likely to have pushed members in a more hawkish direction</w:t>
      </w:r>
      <w:r w:rsidR="00E67341">
        <w:t xml:space="preserve">. </w:t>
      </w:r>
      <w:r w:rsidR="00B116B2">
        <w:t xml:space="preserve">Therefore, we expect </w:t>
      </w:r>
      <w:r w:rsidR="00D6643D">
        <w:t xml:space="preserve">the MPC </w:t>
      </w:r>
      <w:r w:rsidR="006E1BDE">
        <w:t xml:space="preserve">to </w:t>
      </w:r>
      <w:r w:rsidR="00D6643D">
        <w:t xml:space="preserve">vote 7-2 to hold Bank Rate at 3.75% </w:t>
      </w:r>
      <w:r w:rsidR="00852B19">
        <w:t xml:space="preserve">in June, with Greene joining Pill in </w:t>
      </w:r>
      <w:r w:rsidR="00315A41">
        <w:t>preferring</w:t>
      </w:r>
      <w:r w:rsidR="00852B19">
        <w:t xml:space="preserve"> a 25bp </w:t>
      </w:r>
      <w:r w:rsidR="00636508">
        <w:t>increase</w:t>
      </w:r>
      <w:r w:rsidR="00852B19">
        <w:t>.</w:t>
      </w:r>
    </w:p>
    <w:p w14:paraId="0F3DB96F" w14:textId="2FC3823F" w:rsidR="001F14DE" w:rsidRDefault="003B2607" w:rsidP="00967CA2">
      <w:r>
        <w:t xml:space="preserve">Nevertheless, </w:t>
      </w:r>
      <w:r w:rsidR="00887CF1">
        <w:t>we think those advocating for a hold at next week’s meeting will</w:t>
      </w:r>
      <w:r w:rsidR="00B464CF">
        <w:t xml:space="preserve"> signal that </w:t>
      </w:r>
      <w:r w:rsidR="005B541D">
        <w:t>they</w:t>
      </w:r>
      <w:r w:rsidR="0028782D">
        <w:t xml:space="preserve"> remain </w:t>
      </w:r>
      <w:r w:rsidR="005B541D">
        <w:t xml:space="preserve">open to </w:t>
      </w:r>
      <w:r w:rsidR="0028782D">
        <w:t>tighten</w:t>
      </w:r>
      <w:r w:rsidR="005B541D">
        <w:t>ing</w:t>
      </w:r>
      <w:r w:rsidR="0028782D">
        <w:t xml:space="preserve"> policy later this year should energy price</w:t>
      </w:r>
      <w:r w:rsidR="00354C40">
        <w:t>s</w:t>
      </w:r>
      <w:r w:rsidR="0028782D">
        <w:t xml:space="preserve"> remain </w:t>
      </w:r>
      <w:r w:rsidR="00354C40">
        <w:t>high for a prolonged period</w:t>
      </w:r>
      <w:r w:rsidR="00E433EA">
        <w:t xml:space="preserve">, or if </w:t>
      </w:r>
      <w:r w:rsidR="005F340A">
        <w:t>it looks more likel</w:t>
      </w:r>
      <w:r w:rsidR="00A7641D">
        <w:t xml:space="preserve">y that </w:t>
      </w:r>
      <w:r w:rsidR="0014121C">
        <w:t xml:space="preserve">strong second-round effects </w:t>
      </w:r>
      <w:r w:rsidR="00A7641D">
        <w:t>will</w:t>
      </w:r>
      <w:r w:rsidR="003F0E74">
        <w:t xml:space="preserve"> emerge.</w:t>
      </w:r>
      <w:r w:rsidR="00150F7A">
        <w:t xml:space="preserve"> </w:t>
      </w:r>
      <w:r w:rsidR="00164C34">
        <w:t>So</w:t>
      </w:r>
      <w:r w:rsidR="006E1BDE">
        <w:t>,</w:t>
      </w:r>
      <w:r w:rsidR="00164C34">
        <w:t xml:space="preserve"> although our baseline forecast </w:t>
      </w:r>
      <w:r w:rsidR="00BA589A">
        <w:t xml:space="preserve">assumes Bank Rate will remain on hold for the rest of this year, </w:t>
      </w:r>
      <w:r w:rsidR="00FA2907">
        <w:t xml:space="preserve">risks are skewed towards </w:t>
      </w:r>
      <w:r w:rsidR="004E51B6">
        <w:t xml:space="preserve">tighter policy. In our view, </w:t>
      </w:r>
      <w:r w:rsidR="008E5649">
        <w:t xml:space="preserve">current market pricing </w:t>
      </w:r>
      <w:r w:rsidR="004E51B6">
        <w:t>reflects this balance of risks</w:t>
      </w:r>
      <w:r w:rsidR="005E343F">
        <w:t xml:space="preserve"> (</w:t>
      </w:r>
      <w:r w:rsidR="00D86DF0" w:rsidRPr="00D86DF0">
        <w:rPr>
          <w:b/>
          <w:bCs/>
          <w:color w:val="003469"/>
        </w:rPr>
        <w:fldChar w:fldCharType="begin"/>
      </w:r>
      <w:r w:rsidR="00D86DF0" w:rsidRPr="00D86DF0">
        <w:rPr>
          <w:b/>
          <w:color w:val="003469"/>
        </w:rPr>
        <w:instrText xml:space="preserve"> REF _Ref231827371 \h \* Charformat </w:instrText>
      </w:r>
      <w:r w:rsidR="00D86DF0" w:rsidRPr="00D86DF0">
        <w:rPr>
          <w:b/>
          <w:bCs/>
          <w:color w:val="003469"/>
        </w:rPr>
      </w:r>
      <w:r w:rsidR="00D86DF0" w:rsidRPr="00D86DF0">
        <w:rPr>
          <w:b/>
          <w:bCs/>
          <w:color w:val="003469"/>
        </w:rPr>
        <w:fldChar w:fldCharType="separate"/>
      </w:r>
      <w:r w:rsidR="00A50194" w:rsidRPr="00A50194">
        <w:rPr>
          <w:b/>
          <w:color w:val="003469"/>
        </w:rPr>
        <w:t>Chart 4</w:t>
      </w:r>
      <w:r w:rsidR="00D86DF0" w:rsidRPr="00D86DF0">
        <w:rPr>
          <w:b/>
          <w:bCs/>
          <w:color w:val="003469"/>
        </w:rPr>
        <w:fldChar w:fldCharType="end"/>
      </w:r>
      <w:r w:rsidR="005E343F">
        <w:t>).</w:t>
      </w:r>
    </w:p>
    <w:p w14:paraId="2407716C" w14:textId="0AC2F86B" w:rsidR="00494CF2" w:rsidRDefault="00494CF2" w:rsidP="00494CF2">
      <w:pPr>
        <w:pStyle w:val="ExhibitTitle"/>
      </w:pPr>
      <w:bookmarkStart w:id="3" w:name="_Ref231827371"/>
      <w:r>
        <w:t xml:space="preserve">Chart </w:t>
      </w:r>
      <w:r w:rsidR="00D86DF0">
        <w:fldChar w:fldCharType="begin"/>
      </w:r>
      <w:r w:rsidR="00790A63">
        <w:instrText>SEQ CHART</w:instrText>
      </w:r>
      <w:r w:rsidR="00D86DF0">
        <w:fldChar w:fldCharType="separate"/>
      </w:r>
      <w:r w:rsidR="00A50194">
        <w:rPr>
          <w:noProof/>
        </w:rPr>
        <w:t>4</w:t>
      </w:r>
      <w:r w:rsidR="00D86DF0">
        <w:fldChar w:fldCharType="end"/>
      </w:r>
      <w:bookmarkEnd w:id="3"/>
      <w:r>
        <w:t xml:space="preserve">: </w:t>
      </w:r>
      <w:r w:rsidR="003A66A4">
        <w:t xml:space="preserve">Market pricing </w:t>
      </w:r>
      <w:r w:rsidR="007D33BD">
        <w:t>implies a June hold is a near</w:t>
      </w:r>
      <w:r w:rsidR="008213CD">
        <w:t xml:space="preserve"> </w:t>
      </w:r>
      <w:r w:rsidR="007D33BD">
        <w:t>certainty, but some tightening later</w:t>
      </w:r>
      <w:r w:rsidR="00F01685">
        <w:t xml:space="preserve"> this year</w:t>
      </w:r>
      <w:r w:rsidR="007D33BD">
        <w:t xml:space="preserve"> </w:t>
      </w:r>
      <w:r w:rsidR="0037001A">
        <w:t>is still</w:t>
      </w:r>
      <w:r w:rsidR="007D33BD">
        <w:t xml:space="preserve"> a </w:t>
      </w:r>
      <w:r w:rsidR="00F01685">
        <w:t>risk</w:t>
      </w:r>
    </w:p>
    <w:p w14:paraId="2EDEAF1B" w14:textId="44E7DAC3" w:rsidR="00967CA2" w:rsidRDefault="00D93534" w:rsidP="00A50194">
      <w:pPr>
        <w:pStyle w:val="Chart"/>
      </w:pPr>
      <w:r>
        <w:rPr>
          <w:noProof/>
        </w:rPr>
        <w:drawing>
          <wp:inline distT="0" distB="0" distL="0" distR="0" wp14:anchorId="0DC04DAC" wp14:editId="0144D9E3">
            <wp:extent cx="6442710" cy="3128189"/>
            <wp:effectExtent l="0" t="0" r="0" b="0"/>
            <wp:docPr id="6714131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3121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rcRect b="1671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8F98" w14:textId="4B25E984" w:rsidR="00D93534" w:rsidRDefault="00D93534" w:rsidP="00D93534">
      <w:pPr>
        <w:pStyle w:val="ExhibitSource"/>
      </w:pPr>
      <w:r>
        <w:t>Source: Oxford Economics calculations using data from Haver Analytics</w:t>
      </w:r>
    </w:p>
    <w:p w14:paraId="573D171A" w14:textId="731580F1" w:rsidR="00967CA2" w:rsidRDefault="00967CA2" w:rsidP="00C141D1">
      <w:pPr>
        <w:pStyle w:val="ExhibitSource"/>
      </w:pPr>
    </w:p>
    <w:sectPr w:rsidR="00967CA2" w:rsidSect="00967CA2">
      <w:pgSz w:w="11906" w:h="16838"/>
      <w:pgMar w:top="1420" w:right="880" w:bottom="1000" w:left="880" w:header="20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4DF7" w14:textId="77777777" w:rsidR="00840602" w:rsidRDefault="00840602" w:rsidP="00967CA2">
      <w:pPr>
        <w:spacing w:before="0" w:after="0"/>
      </w:pPr>
      <w:r>
        <w:separator/>
      </w:r>
    </w:p>
  </w:endnote>
  <w:endnote w:type="continuationSeparator" w:id="0">
    <w:p w14:paraId="4A29FCAA" w14:textId="77777777" w:rsidR="00840602" w:rsidRDefault="00840602" w:rsidP="00967CA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123D" w14:textId="77777777" w:rsidR="00316C87" w:rsidRDefault="00316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E514" w14:textId="77777777" w:rsidR="00967CA2" w:rsidRPr="00967CA2" w:rsidRDefault="00967CA2" w:rsidP="00967CA2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107D1482" wp14:editId="2988795F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53883098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830981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CA2">
      <w:rPr>
        <w:rFonts w:ascii="Poppins Medium" w:hAnsi="Poppins Medium" w:cs="Poppins Medium"/>
      </w:rPr>
      <w:t xml:space="preserve">Edward Allenby </w:t>
    </w:r>
    <w:r>
      <w:t xml:space="preserve">| Senior UK Economist | eallenby@oxfordeconomics.com </w:t>
    </w:r>
    <w:r>
      <w:tab/>
    </w:r>
    <w:r w:rsidRPr="00967CA2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4A6E" w14:textId="77777777" w:rsidR="00967CA2" w:rsidRPr="00967CA2" w:rsidRDefault="00967CA2" w:rsidP="00967CA2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702BAD0E" wp14:editId="569AE7F2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83267455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2674557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0FC1247B" wp14:editId="7FA135EE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65917889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178899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CA2">
      <w:rPr>
        <w:rFonts w:ascii="Poppins Medium" w:hAnsi="Poppins Medium" w:cs="Poppins Medium"/>
      </w:rPr>
      <w:t xml:space="preserve">Edward Allenby </w:t>
    </w:r>
    <w:r>
      <w:t>| Senior UK Economist | 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993EF" w14:textId="77777777" w:rsidR="00840602" w:rsidRDefault="00840602" w:rsidP="00967CA2">
      <w:pPr>
        <w:spacing w:before="0" w:after="0"/>
      </w:pPr>
      <w:r>
        <w:separator/>
      </w:r>
    </w:p>
  </w:footnote>
  <w:footnote w:type="continuationSeparator" w:id="0">
    <w:p w14:paraId="5A8BC50C" w14:textId="77777777" w:rsidR="00840602" w:rsidRDefault="00840602" w:rsidP="00967CA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D2775" w14:textId="77777777" w:rsidR="00316C87" w:rsidRDefault="00316C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9379" w14:textId="39979F12" w:rsidR="00967CA2" w:rsidRPr="00967CA2" w:rsidRDefault="00967CA2" w:rsidP="00967CA2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7C2EDFF1" wp14:editId="2D5221F4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1501984641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1984641" name="Graphic 1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42ED5BCA" wp14:editId="26E73F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1950074148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074148" name="Picture 1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</w:rPr>
      <w:t>RESEARCH BRIEFING</w:t>
    </w:r>
    <w:r w:rsidRPr="00967CA2">
      <w:rPr>
        <w:rFonts w:ascii="Poppins Medium" w:hAnsi="Poppins Medium" w:cs="Poppins Medium"/>
      </w:rPr>
      <w:t xml:space="preserve"> | </w:t>
    </w:r>
    <w:r>
      <w:rPr>
        <w:rFonts w:ascii="Poppins Medium" w:hAnsi="Poppins Medium" w:cs="Poppins Medium"/>
      </w:rPr>
      <w:t>UK</w:t>
    </w:r>
  </w:p>
  <w:p w14:paraId="73853FA7" w14:textId="41676FE2" w:rsidR="00967CA2" w:rsidRPr="00967CA2" w:rsidRDefault="00D56ADD" w:rsidP="00D56ADD">
    <w:pPr>
      <w:pStyle w:val="RepeatingHeader"/>
    </w:pPr>
    <w:r w:rsidRPr="00D56ADD">
      <w:t xml:space="preserve">MPC preview – Another hold, but the door </w:t>
    </w:r>
    <w:r w:rsidR="001C6385">
      <w:t xml:space="preserve">will be kept </w:t>
    </w:r>
    <w:r w:rsidRPr="00D56ADD">
      <w:t>open to hikes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3D19" w14:textId="77777777" w:rsidR="00967CA2" w:rsidRDefault="00967CA2" w:rsidP="00967CA2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73A5098D" wp14:editId="1D6C5079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531375125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375125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5F57FB4F" wp14:editId="4D50FF3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53881690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816903" name="Picture 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75C6C1A" wp14:editId="6FABE9F9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568175674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1439100470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6-11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8BA3F38" w14:textId="449710FD" w:rsidR="00967CA2" w:rsidRDefault="00967CA2" w:rsidP="00967CA2">
                              <w:pPr>
                                <w:pStyle w:val="PublishDate"/>
                              </w:pPr>
                              <w:r>
                                <w:t>11 June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C6C1A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1439100470"/>
                      <w:lock w:val="sdtLocked"/>
                      <w:placeholder>
                        <w:docPart w:val="DefaultPlaceholder_-1854013437"/>
                      </w:placeholder>
                      <w:date w:fullDate="2026-06-11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78BA3F38" w14:textId="449710FD" w:rsidR="00967CA2" w:rsidRDefault="00967CA2" w:rsidP="00967CA2">
                        <w:pPr>
                          <w:pStyle w:val="PublishDate"/>
                        </w:pPr>
                        <w:r>
                          <w:t>11 June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13BEF11" wp14:editId="634F3185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1209305438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313B022" w14:textId="0ADD3DF8" w:rsidR="00967CA2" w:rsidRPr="00967CA2" w:rsidRDefault="00967CA2" w:rsidP="00967CA2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Research Briefing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BEF11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2313B022" w14:textId="0ADD3DF8" w:rsidR="00967CA2" w:rsidRPr="00967CA2" w:rsidRDefault="00967CA2" w:rsidP="00967CA2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Research Briefing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40CB21C" w14:textId="77777777" w:rsidR="00967CA2" w:rsidRDefault="00967CA2" w:rsidP="00967CA2"/>
  <w:p w14:paraId="0619C7B3" w14:textId="1F150708" w:rsidR="00967CA2" w:rsidRPr="00967CA2" w:rsidRDefault="00967CA2" w:rsidP="00967CA2">
    <w:pPr>
      <w:pStyle w:val="Headline"/>
    </w:pPr>
    <w:r w:rsidRPr="00967CA2">
      <w:t xml:space="preserve">MPC preview – </w:t>
    </w:r>
    <w:r w:rsidR="00CF1856">
      <w:t xml:space="preserve">Another hold, but the door </w:t>
    </w:r>
    <w:r w:rsidR="001C6385">
      <w:t xml:space="preserve">will be kept </w:t>
    </w:r>
    <w:r w:rsidR="00CF1856">
      <w:t>open to hikes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A2"/>
    <w:rsid w:val="00002D86"/>
    <w:rsid w:val="00010444"/>
    <w:rsid w:val="00021545"/>
    <w:rsid w:val="00021ECB"/>
    <w:rsid w:val="000325D8"/>
    <w:rsid w:val="000338D1"/>
    <w:rsid w:val="00033C79"/>
    <w:rsid w:val="00036858"/>
    <w:rsid w:val="000375D9"/>
    <w:rsid w:val="0004159F"/>
    <w:rsid w:val="00041A73"/>
    <w:rsid w:val="000432B4"/>
    <w:rsid w:val="00043786"/>
    <w:rsid w:val="00050723"/>
    <w:rsid w:val="0005251F"/>
    <w:rsid w:val="00053140"/>
    <w:rsid w:val="00061E5E"/>
    <w:rsid w:val="000641DE"/>
    <w:rsid w:val="00072275"/>
    <w:rsid w:val="000768A5"/>
    <w:rsid w:val="0007754C"/>
    <w:rsid w:val="00077D9A"/>
    <w:rsid w:val="00081CBB"/>
    <w:rsid w:val="00086C8A"/>
    <w:rsid w:val="00087087"/>
    <w:rsid w:val="0009407F"/>
    <w:rsid w:val="00094473"/>
    <w:rsid w:val="000B0B3A"/>
    <w:rsid w:val="000B2873"/>
    <w:rsid w:val="000B58BB"/>
    <w:rsid w:val="000C070D"/>
    <w:rsid w:val="000C179A"/>
    <w:rsid w:val="000C2022"/>
    <w:rsid w:val="000C2115"/>
    <w:rsid w:val="000C2AC1"/>
    <w:rsid w:val="000C54F7"/>
    <w:rsid w:val="000D0F90"/>
    <w:rsid w:val="000D2182"/>
    <w:rsid w:val="000D4383"/>
    <w:rsid w:val="000D6027"/>
    <w:rsid w:val="000F0ED1"/>
    <w:rsid w:val="000F6034"/>
    <w:rsid w:val="0010393E"/>
    <w:rsid w:val="0010610A"/>
    <w:rsid w:val="001063D6"/>
    <w:rsid w:val="00111791"/>
    <w:rsid w:val="00112D5E"/>
    <w:rsid w:val="0011422E"/>
    <w:rsid w:val="00116340"/>
    <w:rsid w:val="0012041B"/>
    <w:rsid w:val="00133F65"/>
    <w:rsid w:val="0014121C"/>
    <w:rsid w:val="0014504F"/>
    <w:rsid w:val="0014629D"/>
    <w:rsid w:val="001464FE"/>
    <w:rsid w:val="00147BAF"/>
    <w:rsid w:val="001508C9"/>
    <w:rsid w:val="00150F7A"/>
    <w:rsid w:val="0015342D"/>
    <w:rsid w:val="00156CBF"/>
    <w:rsid w:val="00160370"/>
    <w:rsid w:val="00164631"/>
    <w:rsid w:val="00164955"/>
    <w:rsid w:val="00164C34"/>
    <w:rsid w:val="00167D5F"/>
    <w:rsid w:val="0018227A"/>
    <w:rsid w:val="001839E9"/>
    <w:rsid w:val="00183DD7"/>
    <w:rsid w:val="00184251"/>
    <w:rsid w:val="001848CD"/>
    <w:rsid w:val="001879BE"/>
    <w:rsid w:val="0019104A"/>
    <w:rsid w:val="00192675"/>
    <w:rsid w:val="00195A99"/>
    <w:rsid w:val="001A01D7"/>
    <w:rsid w:val="001A169F"/>
    <w:rsid w:val="001A49A8"/>
    <w:rsid w:val="001A6BFE"/>
    <w:rsid w:val="001B5AEE"/>
    <w:rsid w:val="001B78F7"/>
    <w:rsid w:val="001C2F8E"/>
    <w:rsid w:val="001C4AC3"/>
    <w:rsid w:val="001C6385"/>
    <w:rsid w:val="001C67B2"/>
    <w:rsid w:val="001D4A13"/>
    <w:rsid w:val="001D7489"/>
    <w:rsid w:val="001F14DE"/>
    <w:rsid w:val="001F2F7F"/>
    <w:rsid w:val="001F3965"/>
    <w:rsid w:val="001F4D81"/>
    <w:rsid w:val="00201B1C"/>
    <w:rsid w:val="002031F9"/>
    <w:rsid w:val="00205CF0"/>
    <w:rsid w:val="002064EE"/>
    <w:rsid w:val="002107B5"/>
    <w:rsid w:val="00212CA5"/>
    <w:rsid w:val="0021373F"/>
    <w:rsid w:val="00216D48"/>
    <w:rsid w:val="0022177E"/>
    <w:rsid w:val="00224D8E"/>
    <w:rsid w:val="00226340"/>
    <w:rsid w:val="00227E5E"/>
    <w:rsid w:val="002315EE"/>
    <w:rsid w:val="00235C14"/>
    <w:rsid w:val="0024195C"/>
    <w:rsid w:val="002443BE"/>
    <w:rsid w:val="0024482D"/>
    <w:rsid w:val="00246AD3"/>
    <w:rsid w:val="002471D3"/>
    <w:rsid w:val="00247CDD"/>
    <w:rsid w:val="00250156"/>
    <w:rsid w:val="00252156"/>
    <w:rsid w:val="002679F4"/>
    <w:rsid w:val="00272383"/>
    <w:rsid w:val="00274C93"/>
    <w:rsid w:val="002763A4"/>
    <w:rsid w:val="00280530"/>
    <w:rsid w:val="00281A19"/>
    <w:rsid w:val="00281BF9"/>
    <w:rsid w:val="0028782D"/>
    <w:rsid w:val="00292640"/>
    <w:rsid w:val="00292C78"/>
    <w:rsid w:val="002A2078"/>
    <w:rsid w:val="002A4864"/>
    <w:rsid w:val="002A58D7"/>
    <w:rsid w:val="002B0443"/>
    <w:rsid w:val="002B0BFE"/>
    <w:rsid w:val="002B1379"/>
    <w:rsid w:val="002B60B5"/>
    <w:rsid w:val="002D3498"/>
    <w:rsid w:val="002D42A2"/>
    <w:rsid w:val="002D5E97"/>
    <w:rsid w:val="002D72DD"/>
    <w:rsid w:val="002E086C"/>
    <w:rsid w:val="002E1A29"/>
    <w:rsid w:val="002E1C99"/>
    <w:rsid w:val="002E6BE5"/>
    <w:rsid w:val="00306CEE"/>
    <w:rsid w:val="003071A8"/>
    <w:rsid w:val="003101CC"/>
    <w:rsid w:val="00311F24"/>
    <w:rsid w:val="00312DAA"/>
    <w:rsid w:val="00313E3C"/>
    <w:rsid w:val="00315A41"/>
    <w:rsid w:val="00316C87"/>
    <w:rsid w:val="003174AE"/>
    <w:rsid w:val="00322088"/>
    <w:rsid w:val="00333773"/>
    <w:rsid w:val="0033408E"/>
    <w:rsid w:val="00343A60"/>
    <w:rsid w:val="00346593"/>
    <w:rsid w:val="00350166"/>
    <w:rsid w:val="00354C40"/>
    <w:rsid w:val="00354E66"/>
    <w:rsid w:val="00362052"/>
    <w:rsid w:val="0036601D"/>
    <w:rsid w:val="0036700C"/>
    <w:rsid w:val="0037001A"/>
    <w:rsid w:val="003735BC"/>
    <w:rsid w:val="00377C2D"/>
    <w:rsid w:val="00382B91"/>
    <w:rsid w:val="00386EE9"/>
    <w:rsid w:val="00387C40"/>
    <w:rsid w:val="003916E2"/>
    <w:rsid w:val="003A433F"/>
    <w:rsid w:val="003A4800"/>
    <w:rsid w:val="003A66A4"/>
    <w:rsid w:val="003A765C"/>
    <w:rsid w:val="003B2607"/>
    <w:rsid w:val="003B266C"/>
    <w:rsid w:val="003B38C2"/>
    <w:rsid w:val="003B5959"/>
    <w:rsid w:val="003C08BF"/>
    <w:rsid w:val="003C4DE1"/>
    <w:rsid w:val="003C5CF8"/>
    <w:rsid w:val="003C5F99"/>
    <w:rsid w:val="003C7665"/>
    <w:rsid w:val="003D0EFC"/>
    <w:rsid w:val="003D15CC"/>
    <w:rsid w:val="003D6A25"/>
    <w:rsid w:val="003D7688"/>
    <w:rsid w:val="003E221A"/>
    <w:rsid w:val="003E37D1"/>
    <w:rsid w:val="003E41BA"/>
    <w:rsid w:val="003E4207"/>
    <w:rsid w:val="003E7982"/>
    <w:rsid w:val="003F0E74"/>
    <w:rsid w:val="003F299B"/>
    <w:rsid w:val="003F3ACB"/>
    <w:rsid w:val="003F537E"/>
    <w:rsid w:val="003F5A94"/>
    <w:rsid w:val="00400E4B"/>
    <w:rsid w:val="00401A5C"/>
    <w:rsid w:val="0040541F"/>
    <w:rsid w:val="004067CE"/>
    <w:rsid w:val="00406A70"/>
    <w:rsid w:val="00406BB3"/>
    <w:rsid w:val="004078A4"/>
    <w:rsid w:val="004140CF"/>
    <w:rsid w:val="00417784"/>
    <w:rsid w:val="00421733"/>
    <w:rsid w:val="00430CF5"/>
    <w:rsid w:val="00433D7D"/>
    <w:rsid w:val="00440163"/>
    <w:rsid w:val="00441032"/>
    <w:rsid w:val="0044776C"/>
    <w:rsid w:val="00450831"/>
    <w:rsid w:val="00450AE6"/>
    <w:rsid w:val="00461E44"/>
    <w:rsid w:val="00463D1B"/>
    <w:rsid w:val="00465AB6"/>
    <w:rsid w:val="00472948"/>
    <w:rsid w:val="00482F40"/>
    <w:rsid w:val="00485BBA"/>
    <w:rsid w:val="0048605B"/>
    <w:rsid w:val="00490722"/>
    <w:rsid w:val="0049228B"/>
    <w:rsid w:val="0049496C"/>
    <w:rsid w:val="00494CF2"/>
    <w:rsid w:val="004957AD"/>
    <w:rsid w:val="00496EC6"/>
    <w:rsid w:val="004A155D"/>
    <w:rsid w:val="004A588D"/>
    <w:rsid w:val="004A5A6D"/>
    <w:rsid w:val="004A5C17"/>
    <w:rsid w:val="004A7A9E"/>
    <w:rsid w:val="004B23F9"/>
    <w:rsid w:val="004B3BCE"/>
    <w:rsid w:val="004C69E5"/>
    <w:rsid w:val="004C6C8A"/>
    <w:rsid w:val="004D117A"/>
    <w:rsid w:val="004E1967"/>
    <w:rsid w:val="004E36CB"/>
    <w:rsid w:val="004E3F4E"/>
    <w:rsid w:val="004E51B6"/>
    <w:rsid w:val="004F1316"/>
    <w:rsid w:val="004F2EAE"/>
    <w:rsid w:val="004F4206"/>
    <w:rsid w:val="004F4887"/>
    <w:rsid w:val="004F7294"/>
    <w:rsid w:val="00500A3C"/>
    <w:rsid w:val="00502445"/>
    <w:rsid w:val="00503477"/>
    <w:rsid w:val="00503EDF"/>
    <w:rsid w:val="00507D35"/>
    <w:rsid w:val="005126D5"/>
    <w:rsid w:val="00513DAA"/>
    <w:rsid w:val="00525DB3"/>
    <w:rsid w:val="00530935"/>
    <w:rsid w:val="005326AE"/>
    <w:rsid w:val="00536688"/>
    <w:rsid w:val="00543ED6"/>
    <w:rsid w:val="00547E8C"/>
    <w:rsid w:val="00550B1B"/>
    <w:rsid w:val="00553AFC"/>
    <w:rsid w:val="00554147"/>
    <w:rsid w:val="00561C43"/>
    <w:rsid w:val="00573D78"/>
    <w:rsid w:val="00575847"/>
    <w:rsid w:val="005770D0"/>
    <w:rsid w:val="005802F4"/>
    <w:rsid w:val="00584137"/>
    <w:rsid w:val="00586F30"/>
    <w:rsid w:val="00592C98"/>
    <w:rsid w:val="00594695"/>
    <w:rsid w:val="005A1CC3"/>
    <w:rsid w:val="005A2CFE"/>
    <w:rsid w:val="005A3F79"/>
    <w:rsid w:val="005A6E9D"/>
    <w:rsid w:val="005A7715"/>
    <w:rsid w:val="005B4457"/>
    <w:rsid w:val="005B541D"/>
    <w:rsid w:val="005C2554"/>
    <w:rsid w:val="005D0067"/>
    <w:rsid w:val="005D212E"/>
    <w:rsid w:val="005D705D"/>
    <w:rsid w:val="005D7DE4"/>
    <w:rsid w:val="005E2A02"/>
    <w:rsid w:val="005E343F"/>
    <w:rsid w:val="005E3BFC"/>
    <w:rsid w:val="005E3C9C"/>
    <w:rsid w:val="005E3D32"/>
    <w:rsid w:val="005F11CD"/>
    <w:rsid w:val="005F1310"/>
    <w:rsid w:val="005F253A"/>
    <w:rsid w:val="005F3154"/>
    <w:rsid w:val="005F340A"/>
    <w:rsid w:val="005F41EC"/>
    <w:rsid w:val="005F7DAA"/>
    <w:rsid w:val="006012C1"/>
    <w:rsid w:val="00601F99"/>
    <w:rsid w:val="00607B69"/>
    <w:rsid w:val="00610076"/>
    <w:rsid w:val="00610238"/>
    <w:rsid w:val="00610F18"/>
    <w:rsid w:val="00611ED2"/>
    <w:rsid w:val="00612811"/>
    <w:rsid w:val="006131DB"/>
    <w:rsid w:val="0061377E"/>
    <w:rsid w:val="00614C0D"/>
    <w:rsid w:val="0061573F"/>
    <w:rsid w:val="00616CFF"/>
    <w:rsid w:val="00617173"/>
    <w:rsid w:val="0062478B"/>
    <w:rsid w:val="006261E9"/>
    <w:rsid w:val="006303B1"/>
    <w:rsid w:val="00630B61"/>
    <w:rsid w:val="0063454D"/>
    <w:rsid w:val="00635182"/>
    <w:rsid w:val="0063643D"/>
    <w:rsid w:val="00636508"/>
    <w:rsid w:val="00643430"/>
    <w:rsid w:val="00644BC5"/>
    <w:rsid w:val="006451B4"/>
    <w:rsid w:val="0064585B"/>
    <w:rsid w:val="00645B23"/>
    <w:rsid w:val="00646701"/>
    <w:rsid w:val="0064701C"/>
    <w:rsid w:val="006470D5"/>
    <w:rsid w:val="0065185A"/>
    <w:rsid w:val="00652008"/>
    <w:rsid w:val="00660F72"/>
    <w:rsid w:val="006615D8"/>
    <w:rsid w:val="00665296"/>
    <w:rsid w:val="00665454"/>
    <w:rsid w:val="0066615A"/>
    <w:rsid w:val="00673B00"/>
    <w:rsid w:val="00676B9B"/>
    <w:rsid w:val="0068267C"/>
    <w:rsid w:val="00690249"/>
    <w:rsid w:val="00690AD8"/>
    <w:rsid w:val="00695FEE"/>
    <w:rsid w:val="006969FE"/>
    <w:rsid w:val="0069716B"/>
    <w:rsid w:val="006A0DF5"/>
    <w:rsid w:val="006A2C73"/>
    <w:rsid w:val="006A4D3E"/>
    <w:rsid w:val="006B043A"/>
    <w:rsid w:val="006B1B4D"/>
    <w:rsid w:val="006B3670"/>
    <w:rsid w:val="006D24AF"/>
    <w:rsid w:val="006D791B"/>
    <w:rsid w:val="006E0226"/>
    <w:rsid w:val="006E1BDE"/>
    <w:rsid w:val="006F612E"/>
    <w:rsid w:val="00706A7A"/>
    <w:rsid w:val="0071244F"/>
    <w:rsid w:val="00715922"/>
    <w:rsid w:val="007203A0"/>
    <w:rsid w:val="00723F22"/>
    <w:rsid w:val="0072604D"/>
    <w:rsid w:val="007262E9"/>
    <w:rsid w:val="0073019F"/>
    <w:rsid w:val="007318DE"/>
    <w:rsid w:val="00734383"/>
    <w:rsid w:val="007357E7"/>
    <w:rsid w:val="007367FA"/>
    <w:rsid w:val="00737ABC"/>
    <w:rsid w:val="00742D37"/>
    <w:rsid w:val="00743713"/>
    <w:rsid w:val="0074417E"/>
    <w:rsid w:val="00745CB7"/>
    <w:rsid w:val="00751D3B"/>
    <w:rsid w:val="00753614"/>
    <w:rsid w:val="0075369F"/>
    <w:rsid w:val="00753ACE"/>
    <w:rsid w:val="00754663"/>
    <w:rsid w:val="0075656E"/>
    <w:rsid w:val="00773302"/>
    <w:rsid w:val="007830C5"/>
    <w:rsid w:val="007844C8"/>
    <w:rsid w:val="007848D6"/>
    <w:rsid w:val="00790A63"/>
    <w:rsid w:val="00791638"/>
    <w:rsid w:val="00793000"/>
    <w:rsid w:val="00793B87"/>
    <w:rsid w:val="007A120C"/>
    <w:rsid w:val="007A175C"/>
    <w:rsid w:val="007A21E1"/>
    <w:rsid w:val="007A4AA4"/>
    <w:rsid w:val="007A5068"/>
    <w:rsid w:val="007A57DC"/>
    <w:rsid w:val="007A5836"/>
    <w:rsid w:val="007B148C"/>
    <w:rsid w:val="007B23F1"/>
    <w:rsid w:val="007B3356"/>
    <w:rsid w:val="007B456F"/>
    <w:rsid w:val="007C2100"/>
    <w:rsid w:val="007C2A1D"/>
    <w:rsid w:val="007C5516"/>
    <w:rsid w:val="007D33BD"/>
    <w:rsid w:val="007D4137"/>
    <w:rsid w:val="007D4E55"/>
    <w:rsid w:val="007D578D"/>
    <w:rsid w:val="007D7567"/>
    <w:rsid w:val="007E09ED"/>
    <w:rsid w:val="007E114C"/>
    <w:rsid w:val="007E3B7E"/>
    <w:rsid w:val="008034AE"/>
    <w:rsid w:val="00804E68"/>
    <w:rsid w:val="00815D82"/>
    <w:rsid w:val="00815E3E"/>
    <w:rsid w:val="008165FF"/>
    <w:rsid w:val="008168BF"/>
    <w:rsid w:val="008175AB"/>
    <w:rsid w:val="008213CD"/>
    <w:rsid w:val="00822314"/>
    <w:rsid w:val="00824253"/>
    <w:rsid w:val="00825E08"/>
    <w:rsid w:val="008271EF"/>
    <w:rsid w:val="0083205E"/>
    <w:rsid w:val="008342E2"/>
    <w:rsid w:val="00836014"/>
    <w:rsid w:val="0083794E"/>
    <w:rsid w:val="00840602"/>
    <w:rsid w:val="00844F4E"/>
    <w:rsid w:val="00852B19"/>
    <w:rsid w:val="00853392"/>
    <w:rsid w:val="00855B2D"/>
    <w:rsid w:val="00857604"/>
    <w:rsid w:val="00857C34"/>
    <w:rsid w:val="00860719"/>
    <w:rsid w:val="00863738"/>
    <w:rsid w:val="00866487"/>
    <w:rsid w:val="00873862"/>
    <w:rsid w:val="008864B5"/>
    <w:rsid w:val="00887CF1"/>
    <w:rsid w:val="0089338E"/>
    <w:rsid w:val="00893A92"/>
    <w:rsid w:val="00897054"/>
    <w:rsid w:val="008A6A41"/>
    <w:rsid w:val="008B22D6"/>
    <w:rsid w:val="008B3515"/>
    <w:rsid w:val="008B64F7"/>
    <w:rsid w:val="008C7792"/>
    <w:rsid w:val="008C7C24"/>
    <w:rsid w:val="008D406C"/>
    <w:rsid w:val="008E26C0"/>
    <w:rsid w:val="008E299E"/>
    <w:rsid w:val="008E5649"/>
    <w:rsid w:val="008F6D56"/>
    <w:rsid w:val="008F7CF6"/>
    <w:rsid w:val="00906393"/>
    <w:rsid w:val="009068C8"/>
    <w:rsid w:val="00906994"/>
    <w:rsid w:val="00911FC6"/>
    <w:rsid w:val="00913142"/>
    <w:rsid w:val="0091509A"/>
    <w:rsid w:val="009255DD"/>
    <w:rsid w:val="00926809"/>
    <w:rsid w:val="00930470"/>
    <w:rsid w:val="00932D92"/>
    <w:rsid w:val="00933279"/>
    <w:rsid w:val="009335D4"/>
    <w:rsid w:val="00934C84"/>
    <w:rsid w:val="00936759"/>
    <w:rsid w:val="0094296C"/>
    <w:rsid w:val="00947442"/>
    <w:rsid w:val="00953A2C"/>
    <w:rsid w:val="00955E09"/>
    <w:rsid w:val="009644F8"/>
    <w:rsid w:val="0096524C"/>
    <w:rsid w:val="00966FBD"/>
    <w:rsid w:val="00967CA2"/>
    <w:rsid w:val="00967D96"/>
    <w:rsid w:val="00971D61"/>
    <w:rsid w:val="0098234A"/>
    <w:rsid w:val="00982816"/>
    <w:rsid w:val="009840C9"/>
    <w:rsid w:val="00987BCE"/>
    <w:rsid w:val="00992E64"/>
    <w:rsid w:val="0099324A"/>
    <w:rsid w:val="009A5091"/>
    <w:rsid w:val="009A7D63"/>
    <w:rsid w:val="009B28B0"/>
    <w:rsid w:val="009C09DF"/>
    <w:rsid w:val="009C5767"/>
    <w:rsid w:val="009D309D"/>
    <w:rsid w:val="009D7557"/>
    <w:rsid w:val="009E3692"/>
    <w:rsid w:val="009E65D3"/>
    <w:rsid w:val="009F05F0"/>
    <w:rsid w:val="009F1AF4"/>
    <w:rsid w:val="009F28A1"/>
    <w:rsid w:val="009F65E9"/>
    <w:rsid w:val="00A006B9"/>
    <w:rsid w:val="00A02CCB"/>
    <w:rsid w:val="00A039FE"/>
    <w:rsid w:val="00A071CC"/>
    <w:rsid w:val="00A07840"/>
    <w:rsid w:val="00A1254D"/>
    <w:rsid w:val="00A13650"/>
    <w:rsid w:val="00A14331"/>
    <w:rsid w:val="00A145A9"/>
    <w:rsid w:val="00A16608"/>
    <w:rsid w:val="00A179C7"/>
    <w:rsid w:val="00A17FD0"/>
    <w:rsid w:val="00A20D72"/>
    <w:rsid w:val="00A23CFA"/>
    <w:rsid w:val="00A2691B"/>
    <w:rsid w:val="00A2713B"/>
    <w:rsid w:val="00A27511"/>
    <w:rsid w:val="00A33A0F"/>
    <w:rsid w:val="00A40534"/>
    <w:rsid w:val="00A40F4C"/>
    <w:rsid w:val="00A429AF"/>
    <w:rsid w:val="00A44694"/>
    <w:rsid w:val="00A45AA2"/>
    <w:rsid w:val="00A47084"/>
    <w:rsid w:val="00A50194"/>
    <w:rsid w:val="00A52D4A"/>
    <w:rsid w:val="00A5469C"/>
    <w:rsid w:val="00A57430"/>
    <w:rsid w:val="00A600A6"/>
    <w:rsid w:val="00A616FB"/>
    <w:rsid w:val="00A635FC"/>
    <w:rsid w:val="00A640B9"/>
    <w:rsid w:val="00A65A18"/>
    <w:rsid w:val="00A70460"/>
    <w:rsid w:val="00A75B74"/>
    <w:rsid w:val="00A75FF2"/>
    <w:rsid w:val="00A7641D"/>
    <w:rsid w:val="00A7788A"/>
    <w:rsid w:val="00A778E1"/>
    <w:rsid w:val="00A84AE5"/>
    <w:rsid w:val="00A86AEE"/>
    <w:rsid w:val="00A92F1B"/>
    <w:rsid w:val="00A958FF"/>
    <w:rsid w:val="00AA75C4"/>
    <w:rsid w:val="00AB4467"/>
    <w:rsid w:val="00AB6566"/>
    <w:rsid w:val="00AB6FD2"/>
    <w:rsid w:val="00AC6BBF"/>
    <w:rsid w:val="00AD10E9"/>
    <w:rsid w:val="00AD171C"/>
    <w:rsid w:val="00AE2BE2"/>
    <w:rsid w:val="00B005ED"/>
    <w:rsid w:val="00B116B2"/>
    <w:rsid w:val="00B13D74"/>
    <w:rsid w:val="00B15A34"/>
    <w:rsid w:val="00B17E39"/>
    <w:rsid w:val="00B22787"/>
    <w:rsid w:val="00B23C84"/>
    <w:rsid w:val="00B24907"/>
    <w:rsid w:val="00B26F17"/>
    <w:rsid w:val="00B274E4"/>
    <w:rsid w:val="00B301B7"/>
    <w:rsid w:val="00B3155A"/>
    <w:rsid w:val="00B32735"/>
    <w:rsid w:val="00B34E82"/>
    <w:rsid w:val="00B36715"/>
    <w:rsid w:val="00B42425"/>
    <w:rsid w:val="00B424E9"/>
    <w:rsid w:val="00B431B8"/>
    <w:rsid w:val="00B43C6E"/>
    <w:rsid w:val="00B464CF"/>
    <w:rsid w:val="00B50C17"/>
    <w:rsid w:val="00B6583D"/>
    <w:rsid w:val="00B706A3"/>
    <w:rsid w:val="00B73D84"/>
    <w:rsid w:val="00B7511D"/>
    <w:rsid w:val="00B826A9"/>
    <w:rsid w:val="00B8288C"/>
    <w:rsid w:val="00B84ABC"/>
    <w:rsid w:val="00B90A85"/>
    <w:rsid w:val="00B9270D"/>
    <w:rsid w:val="00B940FB"/>
    <w:rsid w:val="00B9642C"/>
    <w:rsid w:val="00BA0FC3"/>
    <w:rsid w:val="00BA2428"/>
    <w:rsid w:val="00BA2514"/>
    <w:rsid w:val="00BA2770"/>
    <w:rsid w:val="00BA428D"/>
    <w:rsid w:val="00BA589A"/>
    <w:rsid w:val="00BA5DD6"/>
    <w:rsid w:val="00BA6289"/>
    <w:rsid w:val="00BA74A6"/>
    <w:rsid w:val="00BB1200"/>
    <w:rsid w:val="00BB6225"/>
    <w:rsid w:val="00BB653C"/>
    <w:rsid w:val="00BB773E"/>
    <w:rsid w:val="00BC17C1"/>
    <w:rsid w:val="00BC2A44"/>
    <w:rsid w:val="00BC416C"/>
    <w:rsid w:val="00BC4E63"/>
    <w:rsid w:val="00BC50F3"/>
    <w:rsid w:val="00BC7825"/>
    <w:rsid w:val="00BD01C3"/>
    <w:rsid w:val="00BD355C"/>
    <w:rsid w:val="00BD3A0D"/>
    <w:rsid w:val="00BE636A"/>
    <w:rsid w:val="00BF00D9"/>
    <w:rsid w:val="00BF2DF2"/>
    <w:rsid w:val="00BF636F"/>
    <w:rsid w:val="00BF6817"/>
    <w:rsid w:val="00BF6D99"/>
    <w:rsid w:val="00C036EC"/>
    <w:rsid w:val="00C044A1"/>
    <w:rsid w:val="00C05FFB"/>
    <w:rsid w:val="00C06383"/>
    <w:rsid w:val="00C06B47"/>
    <w:rsid w:val="00C1109B"/>
    <w:rsid w:val="00C141D1"/>
    <w:rsid w:val="00C174B6"/>
    <w:rsid w:val="00C23AE3"/>
    <w:rsid w:val="00C30A25"/>
    <w:rsid w:val="00C3110D"/>
    <w:rsid w:val="00C338BB"/>
    <w:rsid w:val="00C33CB6"/>
    <w:rsid w:val="00C34123"/>
    <w:rsid w:val="00C3536D"/>
    <w:rsid w:val="00C41206"/>
    <w:rsid w:val="00C4375E"/>
    <w:rsid w:val="00C45FF7"/>
    <w:rsid w:val="00C47256"/>
    <w:rsid w:val="00C4727C"/>
    <w:rsid w:val="00C5261D"/>
    <w:rsid w:val="00C536EE"/>
    <w:rsid w:val="00C62F11"/>
    <w:rsid w:val="00C65D10"/>
    <w:rsid w:val="00C71862"/>
    <w:rsid w:val="00C727A5"/>
    <w:rsid w:val="00C73DC0"/>
    <w:rsid w:val="00C92A29"/>
    <w:rsid w:val="00C95A43"/>
    <w:rsid w:val="00C96865"/>
    <w:rsid w:val="00CA3A22"/>
    <w:rsid w:val="00CB017C"/>
    <w:rsid w:val="00CC3CB3"/>
    <w:rsid w:val="00CC444F"/>
    <w:rsid w:val="00CD2915"/>
    <w:rsid w:val="00CD611C"/>
    <w:rsid w:val="00CD6A4C"/>
    <w:rsid w:val="00CD702E"/>
    <w:rsid w:val="00CE0CCD"/>
    <w:rsid w:val="00CE1950"/>
    <w:rsid w:val="00CE2414"/>
    <w:rsid w:val="00CE51F8"/>
    <w:rsid w:val="00CF1856"/>
    <w:rsid w:val="00D001EB"/>
    <w:rsid w:val="00D02166"/>
    <w:rsid w:val="00D15770"/>
    <w:rsid w:val="00D177C2"/>
    <w:rsid w:val="00D17E53"/>
    <w:rsid w:val="00D2089D"/>
    <w:rsid w:val="00D23CD5"/>
    <w:rsid w:val="00D25766"/>
    <w:rsid w:val="00D32DC0"/>
    <w:rsid w:val="00D36DF8"/>
    <w:rsid w:val="00D4153F"/>
    <w:rsid w:val="00D41D09"/>
    <w:rsid w:val="00D4240F"/>
    <w:rsid w:val="00D4391A"/>
    <w:rsid w:val="00D471B4"/>
    <w:rsid w:val="00D524C4"/>
    <w:rsid w:val="00D52F6C"/>
    <w:rsid w:val="00D56ADD"/>
    <w:rsid w:val="00D60617"/>
    <w:rsid w:val="00D64598"/>
    <w:rsid w:val="00D64F81"/>
    <w:rsid w:val="00D6643D"/>
    <w:rsid w:val="00D730AA"/>
    <w:rsid w:val="00D73BE3"/>
    <w:rsid w:val="00D77A0D"/>
    <w:rsid w:val="00D77A3F"/>
    <w:rsid w:val="00D80034"/>
    <w:rsid w:val="00D86DF0"/>
    <w:rsid w:val="00D93534"/>
    <w:rsid w:val="00DA17C4"/>
    <w:rsid w:val="00DA3083"/>
    <w:rsid w:val="00DA4F69"/>
    <w:rsid w:val="00DA74D2"/>
    <w:rsid w:val="00DB0096"/>
    <w:rsid w:val="00DB0408"/>
    <w:rsid w:val="00DB07DB"/>
    <w:rsid w:val="00DB5FCD"/>
    <w:rsid w:val="00DB6296"/>
    <w:rsid w:val="00DC424F"/>
    <w:rsid w:val="00DC7C9D"/>
    <w:rsid w:val="00DD4AAD"/>
    <w:rsid w:val="00DD6BE4"/>
    <w:rsid w:val="00DE4368"/>
    <w:rsid w:val="00DE4B74"/>
    <w:rsid w:val="00DE5D2E"/>
    <w:rsid w:val="00DF10AA"/>
    <w:rsid w:val="00DF1794"/>
    <w:rsid w:val="00DF275C"/>
    <w:rsid w:val="00DF5453"/>
    <w:rsid w:val="00E030E3"/>
    <w:rsid w:val="00E03E3B"/>
    <w:rsid w:val="00E06F9E"/>
    <w:rsid w:val="00E07527"/>
    <w:rsid w:val="00E100E1"/>
    <w:rsid w:val="00E13762"/>
    <w:rsid w:val="00E15347"/>
    <w:rsid w:val="00E166E9"/>
    <w:rsid w:val="00E20350"/>
    <w:rsid w:val="00E23B00"/>
    <w:rsid w:val="00E24B11"/>
    <w:rsid w:val="00E32A5B"/>
    <w:rsid w:val="00E33665"/>
    <w:rsid w:val="00E42F17"/>
    <w:rsid w:val="00E433EA"/>
    <w:rsid w:val="00E43E12"/>
    <w:rsid w:val="00E46D89"/>
    <w:rsid w:val="00E53FF3"/>
    <w:rsid w:val="00E5590C"/>
    <w:rsid w:val="00E65922"/>
    <w:rsid w:val="00E67341"/>
    <w:rsid w:val="00E720E4"/>
    <w:rsid w:val="00E72F48"/>
    <w:rsid w:val="00E803C9"/>
    <w:rsid w:val="00E80778"/>
    <w:rsid w:val="00E82922"/>
    <w:rsid w:val="00E83C39"/>
    <w:rsid w:val="00E85F8C"/>
    <w:rsid w:val="00E8773E"/>
    <w:rsid w:val="00E903BB"/>
    <w:rsid w:val="00E94432"/>
    <w:rsid w:val="00E952FB"/>
    <w:rsid w:val="00E95A86"/>
    <w:rsid w:val="00EA5D70"/>
    <w:rsid w:val="00EB1C26"/>
    <w:rsid w:val="00EB4F01"/>
    <w:rsid w:val="00EB5377"/>
    <w:rsid w:val="00EC069C"/>
    <w:rsid w:val="00EC6571"/>
    <w:rsid w:val="00EC69C5"/>
    <w:rsid w:val="00EC78C8"/>
    <w:rsid w:val="00ED2AD0"/>
    <w:rsid w:val="00ED471F"/>
    <w:rsid w:val="00ED50E6"/>
    <w:rsid w:val="00EE3E61"/>
    <w:rsid w:val="00EF2158"/>
    <w:rsid w:val="00EF2387"/>
    <w:rsid w:val="00F01685"/>
    <w:rsid w:val="00F032F6"/>
    <w:rsid w:val="00F046EA"/>
    <w:rsid w:val="00F07252"/>
    <w:rsid w:val="00F13CEF"/>
    <w:rsid w:val="00F14BB4"/>
    <w:rsid w:val="00F15FDA"/>
    <w:rsid w:val="00F23CF4"/>
    <w:rsid w:val="00F25B41"/>
    <w:rsid w:val="00F27FD3"/>
    <w:rsid w:val="00F341B5"/>
    <w:rsid w:val="00F4400F"/>
    <w:rsid w:val="00F4729F"/>
    <w:rsid w:val="00F47DBB"/>
    <w:rsid w:val="00F54F7E"/>
    <w:rsid w:val="00F56084"/>
    <w:rsid w:val="00F5722A"/>
    <w:rsid w:val="00F672A5"/>
    <w:rsid w:val="00F75BA0"/>
    <w:rsid w:val="00F75D47"/>
    <w:rsid w:val="00F9476F"/>
    <w:rsid w:val="00F96B55"/>
    <w:rsid w:val="00FA2907"/>
    <w:rsid w:val="00FA371E"/>
    <w:rsid w:val="00FB3F84"/>
    <w:rsid w:val="00FB44F0"/>
    <w:rsid w:val="00FB45D6"/>
    <w:rsid w:val="00FB4B75"/>
    <w:rsid w:val="00FC0B56"/>
    <w:rsid w:val="00FC6B17"/>
    <w:rsid w:val="00FD0BC8"/>
    <w:rsid w:val="00FD1DD7"/>
    <w:rsid w:val="00FD3A06"/>
    <w:rsid w:val="00FD5837"/>
    <w:rsid w:val="00FE0845"/>
    <w:rsid w:val="00FE23EE"/>
    <w:rsid w:val="00FE3796"/>
    <w:rsid w:val="00FE4396"/>
    <w:rsid w:val="00FF4899"/>
    <w:rsid w:val="00FF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D6FEF6"/>
  <w15:chartTrackingRefBased/>
  <w15:docId w15:val="{88C63FFF-BF2C-48E0-BEB9-3E89D312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B74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CA2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967CA2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CA2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CA2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967CA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967CA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67C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67C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67C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CA2"/>
    <w:rPr>
      <w:rFonts w:ascii="Poppins Medium" w:eastAsiaTheme="majorEastAsia" w:hAnsi="Poppins Medium" w:cs="Poppins Medium"/>
      <w:bCs/>
      <w:caps/>
      <w:color w:val="455055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7CA2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7CA2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67CA2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67CA2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CA2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CA2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CA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CA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967CA2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C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967CA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67CA2"/>
    <w:rPr>
      <w:rFonts w:eastAsiaTheme="minorEastAsia"/>
      <w:color w:val="5A5A5A" w:themeColor="text1" w:themeTint="A5"/>
      <w:spacing w:val="15"/>
      <w:kern w:val="0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7CA2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CA2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967CA2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967CA2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967CA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CA2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967CA2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967CA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CA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967CA2"/>
    <w:rPr>
      <w:noProof w:val="0"/>
    </w:rPr>
  </w:style>
  <w:style w:type="character" w:styleId="Hyperlink">
    <w:name w:val="Hyperlink"/>
    <w:basedOn w:val="DefaultParagraphFont"/>
    <w:uiPriority w:val="99"/>
    <w:unhideWhenUsed/>
    <w:rsid w:val="00967CA2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967CA2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967CA2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967CA2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967CA2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967CA2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967CA2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967CA2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967CA2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967CA2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967CA2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967CA2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967CA2"/>
    <w:pPr>
      <w:numPr>
        <w:numId w:val="1"/>
      </w:numPr>
      <w:ind w:left="0" w:firstLine="0"/>
    </w:pPr>
    <w:rPr>
      <w:rFonts w:ascii="Poppins" w:hAnsi="Poppins" w:cs="Poppins"/>
      <w:kern w:val="2"/>
      <w:sz w:val="22"/>
      <w:szCs w:val="22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967CA2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967CA2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967CA2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967CA2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967CA2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967CA2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967CA2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67CA2"/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967CA2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967CA2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967CA2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967CA2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967CA2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967CA2"/>
    <w:rPr>
      <w:b/>
      <w:bCs/>
      <w:noProof w:val="0"/>
    </w:rPr>
  </w:style>
  <w:style w:type="character" w:customStyle="1" w:styleId="Italics">
    <w:name w:val="Italics"/>
    <w:uiPriority w:val="1"/>
    <w:qFormat/>
    <w:rsid w:val="00967CA2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967CA2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967CA2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967CA2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967CA2"/>
  </w:style>
  <w:style w:type="paragraph" w:styleId="BlockText">
    <w:name w:val="Block Text"/>
    <w:basedOn w:val="Normal"/>
    <w:uiPriority w:val="99"/>
    <w:semiHidden/>
    <w:unhideWhenUsed/>
    <w:locked/>
    <w:rsid w:val="00967CA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967C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967CA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967CA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967CA2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967CA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967CA2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967CA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967CA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967CA2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967CA2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967CA2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967CA2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967CA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7CA2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967C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CA2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967CA2"/>
  </w:style>
  <w:style w:type="character" w:customStyle="1" w:styleId="DateChar">
    <w:name w:val="Date Char"/>
    <w:basedOn w:val="DefaultParagraphFont"/>
    <w:link w:val="Date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967CA2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967CA2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967CA2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967CA2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967CA2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967CA2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967CA2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967CA2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967CA2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967CA2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967CA2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967CA2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967CA2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67CA2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967CA2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967CA2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967CA2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967CA2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967CA2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CA2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967CA2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967CA2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967CA2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967CA2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967CA2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967CA2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967CA2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967CA2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967CA2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967CA2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967CA2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967CA2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967CA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967CA2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967CA2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967CA2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967CA2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967CA2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967CA2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967CA2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967CA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967CA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967CA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967CA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967CA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967CA2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967CA2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967CA2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967CA2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967CA2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967CA2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967CA2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967CA2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967CA2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967CA2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967CA2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967CA2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967CA2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967CA2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967CA2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967CA2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967CA2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967CA2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967CA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67CA2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967CA2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967C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967CA2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967CA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67CA2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shd w:val="pct20" w:color="auto" w:fill="auto"/>
      <w14:ligatures w14:val="none"/>
    </w:rPr>
  </w:style>
  <w:style w:type="paragraph" w:styleId="NoSpacing">
    <w:name w:val="No Spacing"/>
    <w:uiPriority w:val="1"/>
    <w:locked/>
    <w:rsid w:val="00967CA2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967CA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967CA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967CA2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967CA2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67CA2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967CA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967CA2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967CA2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967CA2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967CA2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967CA2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967CA2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967CA2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967CA2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967CA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967CA2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967CA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967CA2"/>
  </w:style>
  <w:style w:type="paragraph" w:styleId="TOC2">
    <w:name w:val="toc 2"/>
    <w:basedOn w:val="Normal"/>
    <w:next w:val="Normal"/>
    <w:uiPriority w:val="39"/>
    <w:semiHidden/>
    <w:unhideWhenUsed/>
    <w:locked/>
    <w:rsid w:val="00967CA2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967CA2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967CA2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967CA2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967CA2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967CA2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967CA2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967CA2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967CA2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967CA2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967CA2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967CA2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967CA2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967CA2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967CA2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committees.parliament.uk/oralevidence/17654/pdf/" TargetMode="External"/><Relationship Id="rId26" Type="http://schemas.openxmlformats.org/officeDocument/2006/relationships/hyperlink" Target="https://www.bankofengland.co.uk/speech/2026/may/andrew-bailey-speech-at-the-reykjavik-2026-economic-conferenc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svg"/><Relationship Id="rId34" Type="http://schemas.openxmlformats.org/officeDocument/2006/relationships/glossaryDocument" Target="glossary/document.xml"/><Relationship Id="rId7" Type="http://schemas.openxmlformats.org/officeDocument/2006/relationships/hyperlink" Target="https://my.oxfordeconomics.com/reports/83fc823-9b19-49ee-9241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my.oxfordeconomics.com/reports/13b3cc1-8e66-4d7e-b832" TargetMode="External"/><Relationship Id="rId25" Type="http://schemas.openxmlformats.org/officeDocument/2006/relationships/hyperlink" Target="https://www.bankofengland.co.uk/speech/2026/june/megan-greene-speech-at-university-of-derby-business-schoo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y.oxfordeconomics.com/reports/26468d6-5073-47a0-9e15" TargetMode="External"/><Relationship Id="rId20" Type="http://schemas.openxmlformats.org/officeDocument/2006/relationships/image" Target="media/image10.png"/><Relationship Id="rId29" Type="http://schemas.openxmlformats.org/officeDocument/2006/relationships/hyperlink" Target="https://www.reuters.com/business/energy/hard-give-rate-guidance-due-oil-price-uncertainty-boes-dhingra-says-2026-06-05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3.svg"/><Relationship Id="rId32" Type="http://schemas.openxmlformats.org/officeDocument/2006/relationships/image" Target="media/image15.sv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2.png"/><Relationship Id="rId28" Type="http://schemas.openxmlformats.org/officeDocument/2006/relationships/hyperlink" Target="https://www.ft.com/content/95a51a35-950f-4143-a20b-088f7c42b4ff?syn-25a6b1a6=1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my.oxfordeconomics.com/reportaction/01b1f27-c0fb-4307-9bf6/Toc" TargetMode="Externa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header" Target="header3.xml"/><Relationship Id="rId22" Type="http://schemas.openxmlformats.org/officeDocument/2006/relationships/hyperlink" Target="https://www.bankofengland.co.uk/decision-maker-panel/2026/may-2026" TargetMode="External"/><Relationship Id="rId27" Type="http://schemas.openxmlformats.org/officeDocument/2006/relationships/hyperlink" Target="https://www.bloomberg.com/news/articles/2026-05-30/boe-s-mann-warns-good-luck-of-low-inflation-era-has-run-out" TargetMode="External"/><Relationship Id="rId30" Type="http://schemas.openxmlformats.org/officeDocument/2006/relationships/hyperlink" Target="https://www.bloomberg.com/news/articles/2026-05-21/boe-s-taylor-says-rate-rises-only-needed-in-worst-case-scenario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4D731-983A-4FEB-8633-4D913AB459E9}"/>
      </w:docPartPr>
      <w:docPartBody>
        <w:p w:rsidR="00D04A0B" w:rsidRDefault="00D04A0B">
          <w:r w:rsidRPr="00F8742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0B"/>
    <w:rsid w:val="000338D1"/>
    <w:rsid w:val="000B2873"/>
    <w:rsid w:val="00214C94"/>
    <w:rsid w:val="002D3498"/>
    <w:rsid w:val="003D15CC"/>
    <w:rsid w:val="00532459"/>
    <w:rsid w:val="005F3154"/>
    <w:rsid w:val="00853392"/>
    <w:rsid w:val="00A40F4C"/>
    <w:rsid w:val="00C05FFB"/>
    <w:rsid w:val="00CD6A4C"/>
    <w:rsid w:val="00D0294B"/>
    <w:rsid w:val="00D04A0B"/>
    <w:rsid w:val="00DA17C4"/>
    <w:rsid w:val="00E33665"/>
    <w:rsid w:val="00FE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4A0B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22</cp:revision>
  <dcterms:created xsi:type="dcterms:W3CDTF">2026-06-10T18:25:00Z</dcterms:created>
  <dcterms:modified xsi:type="dcterms:W3CDTF">2026-06-11T08:42:00Z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2026-06-05T10:43:00.208Z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0.0.3.5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Edward Allenby</vt:lpwstr>
  </property>
  <property fmtid="{D5CDD505-2E9C-101B-9397-08002B2CF9AE}" pid="10" name="OEP_ANALYST_JOBTITLE">
    <vt:lpwstr>Senior UK Economist</vt:lpwstr>
  </property>
  <property fmtid="{D5CDD505-2E9C-101B-9397-08002B2CF9AE}" pid="11" name="OEP_ANALYST_EMAIL">
    <vt:lpwstr>eallenby@oxfordeconomics.com</vt:lpwstr>
  </property>
  <property fmtid="{D5CDD505-2E9C-101B-9397-08002B2CF9AE}" pid="12" name="OEP_CATEGORIES">
    <vt:lpwstr>AnalysisbyRegion-Europe-UnitedKingdom, Macro-ResearchBriefings-UnitedKingdom</vt:lpwstr>
  </property>
  <property fmtid="{D5CDD505-2E9C-101B-9397-08002B2CF9AE}" pid="13" name="OEP_KEY_THEMES">
    <vt:lpwstr>monetary policy, interest rates</vt:lpwstr>
  </property>
  <property fmtid="{D5CDD505-2E9C-101B-9397-08002B2CF9AE}" pid="14" name="OEP_TAGS">
    <vt:lpwstr>Key Themes:monetary policy, interest rates</vt:lpwstr>
  </property>
  <property fmtid="{D5CDD505-2E9C-101B-9397-08002B2CF9AE}" pid="15" name="OEP_CHART 1">
    <vt:lpwstr>C:\Users\Edward Allenby\OneDrive - Oxford Economics\Documents\2026-06\MPC preview RB\Copy of 20260611 RB UK MPC preview - Energy charts.xlsx,Oil scenario_panel</vt:lpwstr>
  </property>
  <property fmtid="{D5CDD505-2E9C-101B-9397-08002B2CF9AE}" pid="16" name="OEP_CHART 2">
    <vt:lpwstr>C:\Users\Edward Allenby\OneDrive - Oxford Economics\Documents\2026-06\MPC preview RB\20260611 RB UK MPC preview - Charts.xlsx,Chart - Household exp_panel</vt:lpwstr>
  </property>
  <property fmtid="{D5CDD505-2E9C-101B-9397-08002B2CF9AE}" pid="17" name="OEP_CHART 3">
    <vt:lpwstr>C:\Users\Edward Allenby\OneDrive - Oxford Economics\Documents\2026-06\MPC preview RB\20260611 RB UK MPC preview - Charts.xlsx,Chart - DMP energy response</vt:lpwstr>
  </property>
  <property fmtid="{D5CDD505-2E9C-101B-9397-08002B2CF9AE}" pid="18" name="OEP_CHART 4">
    <vt:lpwstr>Z:\UK Team\Data\Market interest rate expectations.xlsx,Chart - Market by meeting</vt:lpwstr>
  </property>
  <property fmtid="{D5CDD505-2E9C-101B-9397-08002B2CF9AE}" pid="19" name="GrammarlyDocumentId">
    <vt:lpwstr>878974d5-9b78-4b0d-8b71-54c970143c6a</vt:lpwstr>
  </property>
  <property fmtid="{D5CDD505-2E9C-101B-9397-08002B2CF9AE}" pid="20" name="OEP_PRODUCT_TYPE">
    <vt:lpwstr>Briefing</vt:lpwstr>
  </property>
  <property fmtid="{D5CDD505-2E9C-101B-9397-08002B2CF9AE}" pid="21" name="OEP_PRODUCT_CODE">
    <vt:lpwstr>baddb52-ef83-4c1e-b750</vt:lpwstr>
  </property>
</Properties>
</file>