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F066" w14:textId="671DCAE8" w:rsidR="00C502F3" w:rsidRDefault="000D6486" w:rsidP="00C502F3">
      <w:pPr>
        <w:pStyle w:val="Bullet"/>
      </w:pPr>
      <w:r>
        <w:t>The Budget on November 26 will be a key test of market confidence in the UK government's fiscal approach</w:t>
      </w:r>
      <w:r w:rsidR="00C502F3">
        <w:t>.</w:t>
      </w:r>
      <w:r>
        <w:t xml:space="preserve"> If the government </w:t>
      </w:r>
      <w:r w:rsidR="005E173E">
        <w:t xml:space="preserve">missteps </w:t>
      </w:r>
      <w:r w:rsidR="00CD670E">
        <w:t xml:space="preserve">and markets take fright, </w:t>
      </w:r>
      <w:r w:rsidR="005E173E">
        <w:t xml:space="preserve">we </w:t>
      </w:r>
      <w:r w:rsidR="00645409">
        <w:t>think that</w:t>
      </w:r>
      <w:r w:rsidR="005E173E">
        <w:t xml:space="preserve"> </w:t>
      </w:r>
      <w:r w:rsidR="005A5B0E">
        <w:t xml:space="preserve">sterling depreciation would accompany </w:t>
      </w:r>
      <w:r w:rsidR="005E173E">
        <w:t>higher gilt yields.</w:t>
      </w:r>
    </w:p>
    <w:p w14:paraId="5AE9DEC9" w14:textId="25BDDD17" w:rsidR="00657C0C" w:rsidRDefault="00CD670E" w:rsidP="00C502F3">
      <w:pPr>
        <w:pStyle w:val="Bullet"/>
      </w:pPr>
      <w:r>
        <w:t xml:space="preserve">We've used our Global Economic Model to </w:t>
      </w:r>
      <w:r w:rsidR="00657C0C">
        <w:t>construct</w:t>
      </w:r>
      <w:r>
        <w:t xml:space="preserve"> a scenario where markets re</w:t>
      </w:r>
      <w:r w:rsidR="00657C0C">
        <w:t xml:space="preserve">act </w:t>
      </w:r>
      <w:r>
        <w:t xml:space="preserve">negatively to the Budget. </w:t>
      </w:r>
      <w:r w:rsidR="009A67BA">
        <w:t>A weaker pound would exacerbate the UK's inflation problem</w:t>
      </w:r>
      <w:r w:rsidR="001B135D">
        <w:t>s</w:t>
      </w:r>
      <w:r w:rsidR="009A67BA">
        <w:t xml:space="preserve"> and discourage the Monetary Policy Committee from resuming rate cuts in </w:t>
      </w:r>
      <w:r w:rsidR="00CA7690">
        <w:t>early 2026</w:t>
      </w:r>
      <w:r w:rsidR="009A67BA">
        <w:t xml:space="preserve">. </w:t>
      </w:r>
      <w:r w:rsidR="00657C0C">
        <w:t xml:space="preserve">We think the government would </w:t>
      </w:r>
      <w:r w:rsidR="005A5B0E">
        <w:t xml:space="preserve">then </w:t>
      </w:r>
      <w:r w:rsidR="00657C0C">
        <w:t>belatedly change its fiscal approach, cutting spending to try to restore confidence.</w:t>
      </w:r>
    </w:p>
    <w:p w14:paraId="6EF92A7F" w14:textId="183E0DCA" w:rsidR="00C502F3" w:rsidRDefault="00657C0C" w:rsidP="00C502F3">
      <w:pPr>
        <w:pStyle w:val="Bullet"/>
      </w:pPr>
      <w:r>
        <w:t xml:space="preserve">Under </w:t>
      </w:r>
      <w:r w:rsidR="005A5B0E">
        <w:t xml:space="preserve">this </w:t>
      </w:r>
      <w:r>
        <w:t xml:space="preserve">scenario, </w:t>
      </w:r>
      <w:r w:rsidR="009A67BA">
        <w:t xml:space="preserve">GDP would </w:t>
      </w:r>
      <w:r>
        <w:t>be 0.</w:t>
      </w:r>
      <w:r w:rsidR="00716280">
        <w:t>6</w:t>
      </w:r>
      <w:r>
        <w:t xml:space="preserve">ppts below our baseline forecast by the end of 2027. Consumers would be hit hard, with higher inflation adding to the squeeze on spending power. But </w:t>
      </w:r>
      <w:r w:rsidR="005A5B0E">
        <w:t xml:space="preserve">the impact of a weaker pound on net trade would mitigate the </w:t>
      </w:r>
      <w:r>
        <w:t>hit to GDP.</w:t>
      </w:r>
    </w:p>
    <w:p w14:paraId="615C0315" w14:textId="5EEB6ED2" w:rsidR="00C502F3" w:rsidRDefault="00CD670E" w:rsidP="00C502F3">
      <w:pPr>
        <w:pStyle w:val="Bullet"/>
      </w:pPr>
      <w:r>
        <w:t>The UK's fragile fiscal situation is a function of its high deficits, high inflation, and low growth</w:t>
      </w:r>
      <w:r w:rsidR="00C502F3">
        <w:t>.</w:t>
      </w:r>
      <w:r>
        <w:t xml:space="preserve"> The government's reliance on tax rises to lower borrowing is a key risk factor. Historically, revenue-based consolidations have a low success rate</w:t>
      </w:r>
      <w:r w:rsidR="005E3792">
        <w:t>. T</w:t>
      </w:r>
      <w:r w:rsidR="009A67BA">
        <w:t xml:space="preserve">rying to raise large amounts of extra revenue from smaller taxes may </w:t>
      </w:r>
      <w:r w:rsidR="005E3792">
        <w:t xml:space="preserve">also </w:t>
      </w:r>
      <w:r w:rsidR="009A67BA">
        <w:t>undermine the credibility of the government's plan.</w:t>
      </w:r>
    </w:p>
    <w:p w14:paraId="12A5CAFA" w14:textId="6F683E93" w:rsidR="004F3A0A" w:rsidRDefault="00F4476F" w:rsidP="00C502F3">
      <w:r w:rsidRPr="00F4476F">
        <w:t xml:space="preserve">Recent </w:t>
      </w:r>
      <w:hyperlink r:id="rId7" w:history="1">
        <w:r w:rsidRPr="004F3A0A">
          <w:rPr>
            <w:rStyle w:val="Hyperlink"/>
          </w:rPr>
          <w:t>media speculation</w:t>
        </w:r>
      </w:hyperlink>
      <w:r w:rsidRPr="00F4476F">
        <w:t xml:space="preserve"> that the UK could face a repeat of the 1970s International Monetary Fund bailout exaggerates the scale of the UK's fiscal problems. But</w:t>
      </w:r>
      <w:r w:rsidR="004F3A0A">
        <w:t xml:space="preserve"> as the volatility in bond yields over the past year demonstrates, markets are concerned about the fragility of the UK fiscal outlook.</w:t>
      </w:r>
    </w:p>
    <w:p w14:paraId="4C90B9A8" w14:textId="5625377E" w:rsidR="004F3A0A" w:rsidRDefault="004F3A0A" w:rsidP="00C502F3">
      <w:r>
        <w:t xml:space="preserve">Our baseline forecast assumes that the government muddles through. </w:t>
      </w:r>
      <w:hyperlink r:id="rId8" w:history="1">
        <w:r w:rsidRPr="009205AA">
          <w:rPr>
            <w:rStyle w:val="Hyperlink"/>
          </w:rPr>
          <w:t>We expect</w:t>
        </w:r>
      </w:hyperlink>
      <w:r>
        <w:t xml:space="preserve"> </w:t>
      </w:r>
      <w:r w:rsidR="00A17BAB">
        <w:t>£20bn-</w:t>
      </w:r>
      <w:r w:rsidR="00A609EA">
        <w:t xml:space="preserve">£30bn of </w:t>
      </w:r>
      <w:r w:rsidR="00A17BAB">
        <w:t>fiscal tightening</w:t>
      </w:r>
      <w:r w:rsidR="00A609EA">
        <w:t xml:space="preserve"> in t</w:t>
      </w:r>
      <w:r>
        <w:t xml:space="preserve">he Budget on November 26. </w:t>
      </w:r>
      <w:r w:rsidR="007C0CF8">
        <w:t>T</w:t>
      </w:r>
      <w:r>
        <w:t xml:space="preserve">he reduction in borrowing </w:t>
      </w:r>
      <w:r w:rsidR="00852BDA">
        <w:t xml:space="preserve">is likely to </w:t>
      </w:r>
      <w:r>
        <w:t xml:space="preserve">prove slower than the Office for Budget Responsibility anticipates, </w:t>
      </w:r>
      <w:r w:rsidR="007C0CF8">
        <w:t xml:space="preserve">but </w:t>
      </w:r>
      <w:r>
        <w:t xml:space="preserve">we expect the government </w:t>
      </w:r>
      <w:r w:rsidR="007C0CF8">
        <w:t xml:space="preserve">largely </w:t>
      </w:r>
      <w:r>
        <w:t>to keep markets onside.</w:t>
      </w:r>
    </w:p>
    <w:p w14:paraId="0175A61A" w14:textId="77777777" w:rsidR="005A1F1E" w:rsidRDefault="007C0CF8" w:rsidP="00C502F3">
      <w:r>
        <w:t xml:space="preserve">However, </w:t>
      </w:r>
      <w:r w:rsidR="00852BDA">
        <w:t>with</w:t>
      </w:r>
      <w:r w:rsidR="0039740C">
        <w:t xml:space="preserve"> markets effectively giving the UK the benefit of the doubt, sentiment could turn rapidly, particularly if the government m</w:t>
      </w:r>
      <w:r w:rsidR="00BE4C4B">
        <w:t>issteps.</w:t>
      </w:r>
      <w:r w:rsidR="0039740C">
        <w:t xml:space="preserve"> In this note</w:t>
      </w:r>
      <w:r>
        <w:t>,</w:t>
      </w:r>
      <w:r w:rsidR="0039740C">
        <w:t xml:space="preserve"> we set out </w:t>
      </w:r>
      <w:r w:rsidR="007A0F54">
        <w:t>how a scenario</w:t>
      </w:r>
      <w:r w:rsidR="00985CFB">
        <w:t xml:space="preserve"> where markets lose confidence in the UK's fiscal approach</w:t>
      </w:r>
      <w:r w:rsidR="007A0F54">
        <w:t xml:space="preserve"> might play out.</w:t>
      </w:r>
    </w:p>
    <w:p w14:paraId="1298F0AB" w14:textId="2DD6FA51" w:rsidR="00C502F3" w:rsidRDefault="00C502F3" w:rsidP="005A1F1E">
      <w:pPr>
        <w:pStyle w:val="ExhibitTitle"/>
        <w:jc w:val="center"/>
      </w:pPr>
      <w:bookmarkStart w:id="0" w:name="_Ref210134343"/>
      <w:r>
        <w:t xml:space="preserve">Chart </w:t>
      </w:r>
      <w:r>
        <w:fldChar w:fldCharType="begin"/>
      </w:r>
      <w:r w:rsidR="005A1F1E">
        <w:instrText>SEQ CHART</w:instrText>
      </w:r>
      <w:r>
        <w:fldChar w:fldCharType="separate"/>
      </w:r>
      <w:r w:rsidR="007973DB">
        <w:rPr>
          <w:noProof/>
        </w:rPr>
        <w:t>1</w:t>
      </w:r>
      <w:r>
        <w:fldChar w:fldCharType="end"/>
      </w:r>
      <w:bookmarkEnd w:id="0"/>
      <w:r>
        <w:t xml:space="preserve">: </w:t>
      </w:r>
      <w:r w:rsidR="00CC1D1F">
        <w:t xml:space="preserve">The UK's debt dynamics are weaker than </w:t>
      </w:r>
      <w:r w:rsidR="007C0CF8">
        <w:t xml:space="preserve">those of </w:t>
      </w:r>
      <w:r w:rsidR="00CC1D1F">
        <w:t>most other advanced economies</w:t>
      </w:r>
    </w:p>
    <w:p w14:paraId="456A7D5D" w14:textId="4FB4D4A2" w:rsidR="005A1F1E" w:rsidRDefault="005A1F1E" w:rsidP="005A1F1E">
      <w:pPr>
        <w:spacing w:after="0"/>
        <w:jc w:val="center"/>
        <w:rPr>
          <w:noProof/>
        </w:rPr>
      </w:pPr>
      <w:r>
        <w:rPr>
          <w:noProof/>
        </w:rPr>
        <w:drawing>
          <wp:inline distT="0" distB="0" distL="0" distR="0" wp14:anchorId="674E2583" wp14:editId="27CD0301">
            <wp:extent cx="4006964" cy="3140642"/>
            <wp:effectExtent l="0" t="0" r="0" b="3175"/>
            <wp:docPr id="192848337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3378" name=""/>
                    <pic:cNvPicPr/>
                  </pic:nvPicPr>
                  <pic:blipFill>
                    <a:blip r:embed="rId9">
                      <a:extLst>
                        <a:ext uri="{96DAC541-7B7A-43D3-8B79-37D633B846F1}">
                          <asvg:svgBlip xmlns:asvg="http://schemas.microsoft.com/office/drawing/2016/SVG/main" r:embed="rId10"/>
                        </a:ext>
                      </a:extLst>
                    </a:blip>
                    <a:srcRect b="1886"/>
                    <a:stretch>
                      <a:fillRect/>
                    </a:stretch>
                  </pic:blipFill>
                  <pic:spPr>
                    <a:xfrm>
                      <a:off x="0" y="0"/>
                      <a:ext cx="4006964" cy="3140642"/>
                    </a:xfrm>
                    <a:prstGeom prst="rect">
                      <a:avLst/>
                    </a:prstGeom>
                  </pic:spPr>
                </pic:pic>
              </a:graphicData>
            </a:graphic>
          </wp:inline>
        </w:drawing>
      </w:r>
    </w:p>
    <w:p w14:paraId="72012696" w14:textId="257BA1AE" w:rsidR="00C502F3" w:rsidRDefault="005A1F1E" w:rsidP="005A1F1E">
      <w:pPr>
        <w:pStyle w:val="ExhibitSource"/>
        <w:jc w:val="center"/>
      </w:pPr>
      <w:r>
        <w:t>Source: Oxford Economics</w:t>
      </w:r>
    </w:p>
    <w:p w14:paraId="75873C57" w14:textId="2880D892" w:rsidR="00C502F3" w:rsidRDefault="00C502F3" w:rsidP="00C502F3">
      <w:pPr>
        <w:pStyle w:val="ExhibitSource"/>
        <w:jc w:val="center"/>
        <w:sectPr w:rsidR="00C502F3" w:rsidSect="005A1F1E">
          <w:headerReference w:type="even" r:id="rId11"/>
          <w:headerReference w:type="default" r:id="rId12"/>
          <w:footerReference w:type="default" r:id="rId13"/>
          <w:headerReference w:type="first" r:id="rId14"/>
          <w:footerReference w:type="first" r:id="rId15"/>
          <w:pgSz w:w="11906" w:h="16838"/>
          <w:pgMar w:top="1417" w:right="1276" w:bottom="838" w:left="1134" w:header="708" w:footer="300" w:gutter="0"/>
          <w:cols w:space="708"/>
          <w:titlePg/>
          <w:docGrid w:linePitch="360"/>
        </w:sectPr>
      </w:pPr>
    </w:p>
    <w:p w14:paraId="59D3AB7A" w14:textId="7D859336" w:rsidR="00E24F5F" w:rsidRDefault="00E24F5F" w:rsidP="005F19FE">
      <w:pPr>
        <w:pStyle w:val="Heading3"/>
      </w:pPr>
      <w:r>
        <w:lastRenderedPageBreak/>
        <w:t>High deficits</w:t>
      </w:r>
      <w:r w:rsidR="00ED5450">
        <w:t>, high inflation,</w:t>
      </w:r>
      <w:r>
        <w:t xml:space="preserve"> </w:t>
      </w:r>
      <w:r w:rsidR="00ED5450">
        <w:t>and weak growth make the UK vulnerable</w:t>
      </w:r>
    </w:p>
    <w:p w14:paraId="4E5ADB8E" w14:textId="3A7D255F" w:rsidR="00FB4A92" w:rsidRDefault="00FB4A92" w:rsidP="004F3A0A">
      <w:r>
        <w:t>Of the G7 countries, only Germany has a lower level of gross government debt than the UK</w:t>
      </w:r>
      <w:r w:rsidR="00407AA2">
        <w:t xml:space="preserve"> (</w:t>
      </w:r>
      <w:r w:rsidR="00A534A6" w:rsidRPr="005F19FE">
        <w:rPr>
          <w:b/>
          <w:color w:val="003469"/>
        </w:rPr>
        <w:fldChar w:fldCharType="begin"/>
      </w:r>
      <w:r w:rsidR="005F19FE" w:rsidRPr="005F19FE">
        <w:rPr>
          <w:b/>
          <w:color w:val="003469"/>
        </w:rPr>
        <w:instrText xml:space="preserve">REF _Ref210134340 \h \* Charformat </w:instrText>
      </w:r>
      <w:r w:rsidR="005F19FE" w:rsidRPr="005F19FE">
        <w:rPr>
          <w:b/>
          <w:color w:val="003469"/>
        </w:rPr>
      </w:r>
      <w:r w:rsidR="00A534A6" w:rsidRPr="005F19FE">
        <w:rPr>
          <w:b/>
          <w:color w:val="003469"/>
        </w:rPr>
        <w:fldChar w:fldCharType="separate"/>
      </w:r>
      <w:r w:rsidR="005F19FE" w:rsidRPr="005F19FE">
        <w:rPr>
          <w:b/>
          <w:color w:val="003469"/>
        </w:rPr>
        <w:t>Chart 2</w:t>
      </w:r>
      <w:r w:rsidR="00A534A6" w:rsidRPr="005F19FE">
        <w:rPr>
          <w:b/>
          <w:color w:val="003469"/>
        </w:rPr>
        <w:fldChar w:fldCharType="end"/>
      </w:r>
      <w:r w:rsidR="00407AA2">
        <w:t>)</w:t>
      </w:r>
      <w:r>
        <w:t>. But countries with much higher levels of debt can take advantage of structural benefits that the UK doesn't share</w:t>
      </w:r>
      <w:r w:rsidR="007C0CF8">
        <w:t xml:space="preserve">: domestic </w:t>
      </w:r>
      <w:r>
        <w:t>savers provide strong demand for Japanese government debt</w:t>
      </w:r>
      <w:r w:rsidR="007C0CF8">
        <w:t>; t</w:t>
      </w:r>
      <w:r>
        <w:t>he European Central Bank effectively a</w:t>
      </w:r>
      <w:r w:rsidR="00907910">
        <w:t>c</w:t>
      </w:r>
      <w:r>
        <w:t>ts as a backstop for Eurozone countries</w:t>
      </w:r>
      <w:r w:rsidR="007C0CF8">
        <w:t>; a</w:t>
      </w:r>
      <w:r>
        <w:t xml:space="preserve">nd the US </w:t>
      </w:r>
      <w:r w:rsidR="00907910">
        <w:t>has</w:t>
      </w:r>
      <w:r>
        <w:t xml:space="preserve"> the world's reserve currency.</w:t>
      </w:r>
      <w:r w:rsidR="00B34979">
        <w:t xml:space="preserve"> By contrast, a greater proportion of UK government debt is held by foreign investors than </w:t>
      </w:r>
      <w:r w:rsidR="007C0CF8">
        <w:t>is the case in</w:t>
      </w:r>
      <w:r w:rsidR="00B34979">
        <w:t xml:space="preserve"> </w:t>
      </w:r>
      <w:r w:rsidR="00367966">
        <w:t xml:space="preserve">most </w:t>
      </w:r>
      <w:r w:rsidR="00B34979">
        <w:t>other countries</w:t>
      </w:r>
      <w:r w:rsidR="00C91A71">
        <w:t xml:space="preserve">, leaving the UK more reliant on </w:t>
      </w:r>
      <w:r w:rsidR="00680BFC">
        <w:t>'</w:t>
      </w:r>
      <w:r w:rsidR="00C91A71">
        <w:t>the kindness of strangers</w:t>
      </w:r>
      <w:r w:rsidR="00680BFC">
        <w:t>'</w:t>
      </w:r>
      <w:r w:rsidR="00B34979">
        <w:t>.</w:t>
      </w:r>
    </w:p>
    <w:p w14:paraId="4EE9843F" w14:textId="5DE8673F" w:rsidR="00C502F3" w:rsidRDefault="00C502F3" w:rsidP="005F19FE">
      <w:pPr>
        <w:pStyle w:val="ExhibitTitle"/>
      </w:pPr>
      <w:bookmarkStart w:id="1" w:name="_Ref210134340"/>
      <w:r>
        <w:t xml:space="preserve">Chart </w:t>
      </w:r>
      <w:r>
        <w:fldChar w:fldCharType="begin"/>
      </w:r>
      <w:r w:rsidR="00762260">
        <w:instrText>SEQ CHART</w:instrText>
      </w:r>
      <w:r>
        <w:fldChar w:fldCharType="separate"/>
      </w:r>
      <w:r w:rsidR="007973DB">
        <w:rPr>
          <w:noProof/>
        </w:rPr>
        <w:t>2</w:t>
      </w:r>
      <w:r>
        <w:fldChar w:fldCharType="end"/>
      </w:r>
      <w:bookmarkEnd w:id="1"/>
      <w:r>
        <w:t xml:space="preserve">: </w:t>
      </w:r>
      <w:r w:rsidR="003137EE">
        <w:t>High deficits are the most pressing concern for the UK</w:t>
      </w:r>
    </w:p>
    <w:p w14:paraId="7BF71DA2" w14:textId="66D7CEBF" w:rsidR="00762260" w:rsidRDefault="00762260" w:rsidP="005F19FE">
      <w:pPr>
        <w:spacing w:after="0"/>
        <w:rPr>
          <w:noProof/>
        </w:rPr>
      </w:pPr>
      <w:r>
        <w:rPr>
          <w:noProof/>
        </w:rPr>
        <w:drawing>
          <wp:inline distT="0" distB="0" distL="0" distR="0" wp14:anchorId="00236A94" wp14:editId="33FF02F2">
            <wp:extent cx="3250933" cy="2548068"/>
            <wp:effectExtent l="0" t="0" r="6985" b="5080"/>
            <wp:docPr id="13625460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46079" name=""/>
                    <pic:cNvPicPr/>
                  </pic:nvPicPr>
                  <pic:blipFill>
                    <a:blip r:embed="rId16">
                      <a:extLst>
                        <a:ext uri="{96DAC541-7B7A-43D3-8B79-37D633B846F1}">
                          <asvg:svgBlip xmlns:asvg="http://schemas.microsoft.com/office/drawing/2016/SVG/main" r:embed="rId17"/>
                        </a:ext>
                      </a:extLst>
                    </a:blip>
                    <a:srcRect b="1886"/>
                    <a:stretch>
                      <a:fillRect/>
                    </a:stretch>
                  </pic:blipFill>
                  <pic:spPr>
                    <a:xfrm>
                      <a:off x="0" y="0"/>
                      <a:ext cx="3250933" cy="2548068"/>
                    </a:xfrm>
                    <a:prstGeom prst="rect">
                      <a:avLst/>
                    </a:prstGeom>
                  </pic:spPr>
                </pic:pic>
              </a:graphicData>
            </a:graphic>
          </wp:inline>
        </w:drawing>
      </w:r>
    </w:p>
    <w:p w14:paraId="601A4018" w14:textId="130E9815" w:rsidR="00C502F3" w:rsidRDefault="00762260" w:rsidP="005F19FE">
      <w:pPr>
        <w:pStyle w:val="ExhibitSource"/>
      </w:pPr>
      <w:r>
        <w:t>Sources: Oxford Economics, Haver Analytics</w:t>
      </w:r>
    </w:p>
    <w:p w14:paraId="29776A74" w14:textId="2C5341C8" w:rsidR="00407AA2" w:rsidRDefault="000937C4" w:rsidP="00407AA2">
      <w:r>
        <w:t xml:space="preserve">The UK also has one of the </w:t>
      </w:r>
      <w:r w:rsidR="007C0CF8">
        <w:t>highest</w:t>
      </w:r>
      <w:r w:rsidR="007C0CF8" w:rsidRPr="00F4476F">
        <w:t xml:space="preserve"> </w:t>
      </w:r>
      <w:r w:rsidR="00407AA2" w:rsidRPr="00F4476F">
        <w:t xml:space="preserve">budget deficits in the G7 and, </w:t>
      </w:r>
      <w:r w:rsidR="007C0CF8">
        <w:t>al</w:t>
      </w:r>
      <w:r w:rsidR="00407AA2" w:rsidRPr="00F4476F">
        <w:t xml:space="preserve">though it has a plan to reduce borrowing, </w:t>
      </w:r>
      <w:hyperlink r:id="rId18" w:history="1">
        <w:r w:rsidR="00407AA2" w:rsidRPr="00F4476F">
          <w:rPr>
            <w:rStyle w:val="Hyperlink"/>
          </w:rPr>
          <w:t>history suggests</w:t>
        </w:r>
      </w:hyperlink>
      <w:r w:rsidR="00407AA2" w:rsidRPr="00F4476F">
        <w:t xml:space="preserve"> tax-based consolidations have a high failure rate.</w:t>
      </w:r>
      <w:r w:rsidR="008D7046">
        <w:t xml:space="preserve"> That government borrowing outturns have consistently come in above the Office for Budget Responsibility's </w:t>
      </w:r>
      <w:r w:rsidR="00F4616B">
        <w:t xml:space="preserve">(OBR) </w:t>
      </w:r>
      <w:r w:rsidR="008D7046">
        <w:t>forecasts in the fiscal year to date has reinforced concerns that the government's deficit</w:t>
      </w:r>
      <w:r w:rsidR="007C0CF8">
        <w:t>-</w:t>
      </w:r>
      <w:r w:rsidR="008D7046">
        <w:t>reduction plan may not be successful.</w:t>
      </w:r>
    </w:p>
    <w:p w14:paraId="08E6966C" w14:textId="59084C2D" w:rsidR="000937C4" w:rsidRDefault="0061585D" w:rsidP="00407AA2">
      <w:r>
        <w:t>Term premi</w:t>
      </w:r>
      <w:r w:rsidR="00564DAA">
        <w:t>a</w:t>
      </w:r>
      <w:r>
        <w:t xml:space="preserve"> ha</w:t>
      </w:r>
      <w:r w:rsidR="00564DAA">
        <w:t>ve</w:t>
      </w:r>
      <w:r>
        <w:t xml:space="preserve"> risen across the world. But the increase has been particularly steep for the UK, which likely reflects a l</w:t>
      </w:r>
      <w:r w:rsidR="00EA7E19">
        <w:t xml:space="preserve">ack of confidence in the UK's fiscal approach </w:t>
      </w:r>
      <w:r w:rsidR="008B7595">
        <w:t>(</w:t>
      </w:r>
      <w:r w:rsidR="00A534A6" w:rsidRPr="005F19FE">
        <w:rPr>
          <w:b/>
          <w:color w:val="003469"/>
        </w:rPr>
        <w:fldChar w:fldCharType="begin"/>
      </w:r>
      <w:r w:rsidR="005F19FE" w:rsidRPr="005F19FE">
        <w:rPr>
          <w:b/>
          <w:color w:val="003469"/>
        </w:rPr>
        <w:instrText xml:space="preserve">REF _Ref210134342 \h \* Charformat </w:instrText>
      </w:r>
      <w:r w:rsidR="005F19FE" w:rsidRPr="005F19FE">
        <w:rPr>
          <w:b/>
          <w:color w:val="003469"/>
        </w:rPr>
      </w:r>
      <w:r w:rsidR="00A534A6" w:rsidRPr="005F19FE">
        <w:rPr>
          <w:b/>
          <w:color w:val="003469"/>
        </w:rPr>
        <w:fldChar w:fldCharType="separate"/>
      </w:r>
      <w:r w:rsidR="005F19FE" w:rsidRPr="005F19FE">
        <w:rPr>
          <w:b/>
          <w:color w:val="003469"/>
        </w:rPr>
        <w:t>Chart 3</w:t>
      </w:r>
      <w:r w:rsidR="00A534A6" w:rsidRPr="005F19FE">
        <w:rPr>
          <w:b/>
          <w:color w:val="003469"/>
        </w:rPr>
        <w:fldChar w:fldCharType="end"/>
      </w:r>
      <w:r w:rsidR="008B7595">
        <w:t xml:space="preserve">). </w:t>
      </w:r>
      <w:r w:rsidR="00944795">
        <w:t xml:space="preserve">Concern that the government will be unable to orchestrate a recovery from the UK's dismal productivity performance is also a factor. Despite putting faster economic growth at the centre of its policy aims, the policies it has unveiled to date have been </w:t>
      </w:r>
      <w:hyperlink r:id="rId19" w:history="1">
        <w:r w:rsidR="00944795" w:rsidRPr="00944795">
          <w:rPr>
            <w:rStyle w:val="Hyperlink"/>
          </w:rPr>
          <w:t>unconvincing</w:t>
        </w:r>
      </w:hyperlink>
      <w:r w:rsidR="00944795">
        <w:t>.</w:t>
      </w:r>
    </w:p>
    <w:p w14:paraId="7B2A1EAF" w14:textId="5FFF96C4" w:rsidR="00EA7E19" w:rsidRDefault="00EA7E19" w:rsidP="005F19FE">
      <w:pPr>
        <w:pStyle w:val="ExhibitTitle"/>
      </w:pPr>
      <w:bookmarkStart w:id="2" w:name="_Ref210134342"/>
      <w:r>
        <w:t xml:space="preserve">Chart </w:t>
      </w:r>
      <w:r>
        <w:fldChar w:fldCharType="begin"/>
      </w:r>
      <w:r w:rsidR="00762260">
        <w:instrText>SEQ CHART</w:instrText>
      </w:r>
      <w:r>
        <w:fldChar w:fldCharType="separate"/>
      </w:r>
      <w:r w:rsidR="007973DB">
        <w:rPr>
          <w:noProof/>
        </w:rPr>
        <w:t>3</w:t>
      </w:r>
      <w:r>
        <w:fldChar w:fldCharType="end"/>
      </w:r>
      <w:bookmarkEnd w:id="2"/>
      <w:r>
        <w:t xml:space="preserve">: </w:t>
      </w:r>
      <w:r w:rsidR="007C5A22">
        <w:t>UK term premium has risen sharply over the past couple of years</w:t>
      </w:r>
    </w:p>
    <w:p w14:paraId="3CB98E91" w14:textId="383CE3F6" w:rsidR="00762260" w:rsidRDefault="00762260" w:rsidP="005F19FE">
      <w:pPr>
        <w:spacing w:after="0"/>
        <w:rPr>
          <w:noProof/>
        </w:rPr>
      </w:pPr>
      <w:r>
        <w:rPr>
          <w:noProof/>
        </w:rPr>
        <w:drawing>
          <wp:inline distT="0" distB="0" distL="0" distR="0" wp14:anchorId="13021482" wp14:editId="58D17D83">
            <wp:extent cx="3250933" cy="2548068"/>
            <wp:effectExtent l="0" t="0" r="6985" b="5080"/>
            <wp:docPr id="15609946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4645" name=""/>
                    <pic:cNvPicPr/>
                  </pic:nvPicPr>
                  <pic:blipFill>
                    <a:blip r:embed="rId20">
                      <a:extLs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665C1D06" w14:textId="770814B5" w:rsidR="00EA7E19" w:rsidRDefault="00762260" w:rsidP="005F19FE">
      <w:pPr>
        <w:pStyle w:val="ExhibitSource"/>
      </w:pPr>
      <w:r>
        <w:t>Source: Oxford Economics calculations using data from Haver Analytics</w:t>
      </w:r>
    </w:p>
    <w:p w14:paraId="4254D8E1" w14:textId="7102A4DF" w:rsidR="00EA7E19" w:rsidRDefault="00614AA2" w:rsidP="00407AA2">
      <w:r>
        <w:lastRenderedPageBreak/>
        <w:t xml:space="preserve">There's also been upward pressure </w:t>
      </w:r>
      <w:r w:rsidR="007C0CF8">
        <w:t xml:space="preserve">at </w:t>
      </w:r>
      <w:r>
        <w:t xml:space="preserve">the shorter end of the curve. </w:t>
      </w:r>
      <w:r w:rsidR="00081108">
        <w:t xml:space="preserve">Sticky inflation has meant that markets </w:t>
      </w:r>
      <w:r w:rsidR="00EE204C">
        <w:t xml:space="preserve">think the Bank of England </w:t>
      </w:r>
      <w:r w:rsidR="00F4616B">
        <w:t xml:space="preserve">(BoE) </w:t>
      </w:r>
      <w:r w:rsidR="00EE204C">
        <w:t>is already close to the end of its rate</w:t>
      </w:r>
      <w:r w:rsidR="007C0CF8">
        <w:t>-</w:t>
      </w:r>
      <w:r w:rsidR="00EE204C">
        <w:t xml:space="preserve">cutting cycle. </w:t>
      </w:r>
      <w:hyperlink r:id="rId22" w:history="1">
        <w:r w:rsidR="001F2D7A" w:rsidRPr="00C12862">
          <w:rPr>
            <w:rStyle w:val="Hyperlink"/>
          </w:rPr>
          <w:t>We think</w:t>
        </w:r>
      </w:hyperlink>
      <w:r w:rsidR="001F2D7A">
        <w:t xml:space="preserve"> the BoE is underestimating the role played by the increase in employers' national insurance contribution</w:t>
      </w:r>
      <w:r w:rsidR="00E31CD8">
        <w:t>s</w:t>
      </w:r>
      <w:r w:rsidR="001F2D7A">
        <w:t xml:space="preserve"> in keeping inflation high. We also expect GDP growth to undershoot the BoE's expectations. But </w:t>
      </w:r>
      <w:r w:rsidR="007C0CF8">
        <w:t xml:space="preserve">although </w:t>
      </w:r>
      <w:r w:rsidR="001F2D7A">
        <w:t xml:space="preserve">this should mean that the Monetary Policy Committee </w:t>
      </w:r>
      <w:r w:rsidR="008F24CC">
        <w:t>resumes</w:t>
      </w:r>
      <w:r w:rsidR="001F2D7A">
        <w:t xml:space="preserve"> loosen</w:t>
      </w:r>
      <w:r w:rsidR="008F24CC">
        <w:t>ing</w:t>
      </w:r>
      <w:r w:rsidR="001F2D7A">
        <w:t xml:space="preserve"> policy</w:t>
      </w:r>
      <w:r w:rsidR="008F24CC">
        <w:t xml:space="preserve"> next year</w:t>
      </w:r>
      <w:r w:rsidR="001F2D7A">
        <w:t xml:space="preserve">, we expect it to take a very cautious approach, limiting any fall </w:t>
      </w:r>
      <w:r w:rsidR="007C0CF8">
        <w:t xml:space="preserve">at </w:t>
      </w:r>
      <w:r w:rsidR="001F2D7A">
        <w:t>the shorter end of the curve.</w:t>
      </w:r>
    </w:p>
    <w:p w14:paraId="2DDB9562" w14:textId="4C2AFDCA" w:rsidR="007974D8" w:rsidRDefault="00614AA2" w:rsidP="007974D8">
      <w:r>
        <w:t xml:space="preserve">As a result, </w:t>
      </w:r>
      <w:r w:rsidR="005A5B0E">
        <w:t xml:space="preserve">the UK's debt dynamics look poor </w:t>
      </w:r>
      <w:r>
        <w:t>even under our baseline assumptions</w:t>
      </w:r>
      <w:r w:rsidR="005A5B0E">
        <w:t xml:space="preserve"> – </w:t>
      </w:r>
      <w:r>
        <w:t>where the UK muddles through</w:t>
      </w:r>
      <w:r w:rsidR="001F2D7A">
        <w:t xml:space="preserve"> with the term premium remaining close to current levels</w:t>
      </w:r>
      <w:r>
        <w:t>. We expect debt servicing costs to be slightly higher than nominal GDP growth over the next five years</w:t>
      </w:r>
      <w:r w:rsidR="005A5B0E">
        <w:t>, with</w:t>
      </w:r>
      <w:r w:rsidR="007C0CF8">
        <w:t xml:space="preserve"> o</w:t>
      </w:r>
      <w:r>
        <w:t xml:space="preserve">nly Italy </w:t>
      </w:r>
      <w:r w:rsidR="005A5B0E">
        <w:t xml:space="preserve">having </w:t>
      </w:r>
      <w:r>
        <w:t>worse debt dynamics among the advanced economies (</w:t>
      </w:r>
      <w:r w:rsidR="00A534A6" w:rsidRPr="005F19FE">
        <w:rPr>
          <w:b/>
          <w:color w:val="003469"/>
        </w:rPr>
        <w:fldChar w:fldCharType="begin"/>
      </w:r>
      <w:r w:rsidR="005F19FE" w:rsidRPr="005F19FE">
        <w:rPr>
          <w:b/>
          <w:color w:val="003469"/>
        </w:rPr>
        <w:instrText xml:space="preserve">REF _Ref210134343 \h \* Charformat </w:instrText>
      </w:r>
      <w:r w:rsidR="005F19FE" w:rsidRPr="005F19FE">
        <w:rPr>
          <w:b/>
          <w:color w:val="003469"/>
        </w:rPr>
      </w:r>
      <w:r w:rsidR="00A534A6" w:rsidRPr="005F19FE">
        <w:rPr>
          <w:b/>
          <w:color w:val="003469"/>
        </w:rPr>
        <w:fldChar w:fldCharType="separate"/>
      </w:r>
      <w:r w:rsidR="005F19FE" w:rsidRPr="005F19FE">
        <w:rPr>
          <w:b/>
          <w:color w:val="003469"/>
        </w:rPr>
        <w:t>Chart 1</w:t>
      </w:r>
      <w:r w:rsidR="00A534A6" w:rsidRPr="005F19FE">
        <w:rPr>
          <w:b/>
          <w:color w:val="003469"/>
        </w:rPr>
        <w:fldChar w:fldCharType="end"/>
      </w:r>
      <w:r>
        <w:t>).</w:t>
      </w:r>
      <w:r w:rsidR="007974D8" w:rsidRPr="007974D8">
        <w:t xml:space="preserve"> </w:t>
      </w:r>
      <w:r w:rsidR="007974D8" w:rsidRPr="00F4476F">
        <w:t xml:space="preserve">This leaves the UK vulnerable to additional swings in market sentiment, </w:t>
      </w:r>
      <w:r w:rsidR="005A5B0E">
        <w:t xml:space="preserve">so </w:t>
      </w:r>
      <w:r w:rsidR="007974D8">
        <w:t xml:space="preserve">it's crucial that the government maintains </w:t>
      </w:r>
      <w:r w:rsidR="007C0CF8">
        <w:t xml:space="preserve">the </w:t>
      </w:r>
      <w:r w:rsidR="007974D8">
        <w:t xml:space="preserve">confidence </w:t>
      </w:r>
      <w:r w:rsidR="007C0CF8">
        <w:t xml:space="preserve">of markets </w:t>
      </w:r>
      <w:r w:rsidR="007974D8">
        <w:t>in its deficit</w:t>
      </w:r>
      <w:r w:rsidR="007C0CF8">
        <w:t>-</w:t>
      </w:r>
      <w:r w:rsidR="007974D8">
        <w:t>reduction plan.</w:t>
      </w:r>
    </w:p>
    <w:p w14:paraId="33D1A990" w14:textId="1D9308F7" w:rsidR="00614AA2" w:rsidRDefault="007974D8" w:rsidP="005F19FE">
      <w:pPr>
        <w:pStyle w:val="Heading3"/>
      </w:pPr>
      <w:r>
        <w:t>The Budget is the obvious trigger for a loss of confidence</w:t>
      </w:r>
    </w:p>
    <w:p w14:paraId="3421EB29" w14:textId="17223128" w:rsidR="00C502F3" w:rsidRDefault="0068702C" w:rsidP="00C502F3">
      <w:r>
        <w:t>T</w:t>
      </w:r>
      <w:r w:rsidR="00F6370A">
        <w:t xml:space="preserve">he Budget on November 26 will be </w:t>
      </w:r>
      <w:r w:rsidR="00E16A43">
        <w:t>the</w:t>
      </w:r>
      <w:r w:rsidR="00F6370A">
        <w:t xml:space="preserve"> key </w:t>
      </w:r>
      <w:r w:rsidR="00E16A43">
        <w:t xml:space="preserve">test of the government's ability to sustain </w:t>
      </w:r>
      <w:r>
        <w:t xml:space="preserve">market </w:t>
      </w:r>
      <w:r w:rsidR="00E16A43">
        <w:t>confidence.</w:t>
      </w:r>
      <w:r w:rsidR="00DD744E">
        <w:t xml:space="preserve"> </w:t>
      </w:r>
      <w:r w:rsidR="00F4616B">
        <w:t>And l</w:t>
      </w:r>
      <w:r w:rsidR="00DD744E">
        <w:t xml:space="preserve">ast year's </w:t>
      </w:r>
      <w:r w:rsidR="00F4616B">
        <w:t xml:space="preserve">edition </w:t>
      </w:r>
      <w:r w:rsidR="00DD744E">
        <w:t xml:space="preserve">provides a warning of the potential pitfalls. Gilt yields rose sharply </w:t>
      </w:r>
      <w:hyperlink r:id="rId23" w:history="1">
        <w:r w:rsidR="00DD744E" w:rsidRPr="008A3948">
          <w:rPr>
            <w:rStyle w:val="Hyperlink"/>
          </w:rPr>
          <w:t>because</w:t>
        </w:r>
      </w:hyperlink>
      <w:r w:rsidR="00DD744E">
        <w:t xml:space="preserve"> the government delivered a package that was different to what it had led markets to expect</w:t>
      </w:r>
      <w:r w:rsidR="008A3948">
        <w:t>, involving extra borrowing to fund day-to-day spending and leaving little headroom against future shocks.</w:t>
      </w:r>
    </w:p>
    <w:p w14:paraId="2F2AB5D3" w14:textId="5A5C7990" w:rsidR="008A3948" w:rsidRDefault="00280443" w:rsidP="00C502F3">
      <w:r>
        <w:t>This time, there's broad agreement that OBR forecast revisions are likely to require the government to tighten policy by £20bn-£30bn to remain compliant with its fiscal rules with a similarly</w:t>
      </w:r>
      <w:r w:rsidR="00021C56">
        <w:t xml:space="preserve"> slim degree of headroom. It's inconceivable that the government will present a Budget that the OBR judges is</w:t>
      </w:r>
      <w:r w:rsidR="00F4616B">
        <w:t>n't</w:t>
      </w:r>
      <w:r w:rsidR="00021C56">
        <w:t xml:space="preserve"> consistent with the fiscal rules. But the choice of measures and their credibility will be very important for markets</w:t>
      </w:r>
      <w:r w:rsidR="00B274BA">
        <w:t>. T</w:t>
      </w:r>
      <w:r w:rsidR="00BD1733">
        <w:t xml:space="preserve">he likelihood that </w:t>
      </w:r>
      <w:r w:rsidR="00F4616B">
        <w:t xml:space="preserve">Chancellor of the Exchequer Rachel Reeves </w:t>
      </w:r>
      <w:r w:rsidR="00BD1733">
        <w:t>again leaves a small margin</w:t>
      </w:r>
      <w:r w:rsidR="00F4616B">
        <w:t xml:space="preserve"> </w:t>
      </w:r>
      <w:r w:rsidR="00BD1733">
        <w:t>for</w:t>
      </w:r>
      <w:r w:rsidR="00F4616B">
        <w:t xml:space="preserve"> </w:t>
      </w:r>
      <w:r w:rsidR="00BD1733">
        <w:t>error mak</w:t>
      </w:r>
      <w:r w:rsidR="003E0738">
        <w:t>es</w:t>
      </w:r>
      <w:r w:rsidR="00BD1733">
        <w:t xml:space="preserve"> it even more important that she can convince markets that the policies will </w:t>
      </w:r>
      <w:r w:rsidR="00B274BA">
        <w:t xml:space="preserve">succeed in </w:t>
      </w:r>
      <w:r w:rsidR="005A5B0E">
        <w:t xml:space="preserve">lowering </w:t>
      </w:r>
      <w:r w:rsidR="00BD1733">
        <w:t>borrowing</w:t>
      </w:r>
      <w:r w:rsidR="00021C56">
        <w:t>.</w:t>
      </w:r>
    </w:p>
    <w:p w14:paraId="7DCF113C" w14:textId="49125E15" w:rsidR="00021C56" w:rsidRDefault="0068702C" w:rsidP="00C502F3">
      <w:r>
        <w:t xml:space="preserve">We </w:t>
      </w:r>
      <w:r w:rsidR="00601984">
        <w:t>laid</w:t>
      </w:r>
      <w:r>
        <w:t xml:space="preserve"> out our expectations </w:t>
      </w:r>
      <w:r w:rsidR="003E0738">
        <w:t xml:space="preserve">of </w:t>
      </w:r>
      <w:r>
        <w:t xml:space="preserve">what the government </w:t>
      </w:r>
      <w:r w:rsidR="007A3EF5">
        <w:t>will</w:t>
      </w:r>
      <w:r>
        <w:t xml:space="preserve"> do in </w:t>
      </w:r>
      <w:r w:rsidR="00601984">
        <w:t xml:space="preserve">a </w:t>
      </w:r>
      <w:hyperlink r:id="rId24" w:history="1">
        <w:r w:rsidR="00601984" w:rsidRPr="00601984">
          <w:rPr>
            <w:rStyle w:val="Hyperlink"/>
          </w:rPr>
          <w:t>recent</w:t>
        </w:r>
        <w:r w:rsidRPr="00601984">
          <w:rPr>
            <w:rStyle w:val="Hyperlink"/>
          </w:rPr>
          <w:t xml:space="preserve"> note</w:t>
        </w:r>
      </w:hyperlink>
      <w:r>
        <w:t xml:space="preserve">. </w:t>
      </w:r>
      <w:r w:rsidR="00576591">
        <w:t xml:space="preserve">As we've already argued, revenue-heavy consolidations have a high failure rate, so </w:t>
      </w:r>
      <w:r>
        <w:t>the like</w:t>
      </w:r>
      <w:r w:rsidR="00576591">
        <w:t xml:space="preserve">lihood </w:t>
      </w:r>
      <w:r w:rsidR="003B2ECE">
        <w:t xml:space="preserve">that </w:t>
      </w:r>
      <w:r w:rsidR="00576591">
        <w:t xml:space="preserve">the </w:t>
      </w:r>
      <w:r w:rsidR="00F4616B">
        <w:t>c</w:t>
      </w:r>
      <w:r w:rsidR="00576591">
        <w:t>hancellor will rely</w:t>
      </w:r>
      <w:r>
        <w:t xml:space="preserve"> on </w:t>
      </w:r>
      <w:r w:rsidR="00576591">
        <w:t xml:space="preserve">further </w:t>
      </w:r>
      <w:r>
        <w:t>tax increases to plug most of the fiscal hole</w:t>
      </w:r>
      <w:r w:rsidR="00B31BC1">
        <w:t xml:space="preserve"> is a </w:t>
      </w:r>
      <w:r w:rsidR="00576591">
        <w:t xml:space="preserve">big credibility </w:t>
      </w:r>
      <w:r w:rsidR="00B31BC1">
        <w:t xml:space="preserve">risk. </w:t>
      </w:r>
      <w:r w:rsidR="00647A6F">
        <w:t xml:space="preserve">The choice of tax rises will likely </w:t>
      </w:r>
      <w:r w:rsidR="003E0738">
        <w:t xml:space="preserve">further </w:t>
      </w:r>
      <w:r w:rsidR="00647A6F">
        <w:t xml:space="preserve">increase the risk of failure. As well as extending the freeze on most tax allowances and thresholds, we expect the government to repeat last year's ploy of targeting large increases in revenue from a series of smaller taxes. </w:t>
      </w:r>
      <w:r w:rsidR="00647A6F" w:rsidRPr="00647A6F">
        <w:t xml:space="preserve">But </w:t>
      </w:r>
      <w:r w:rsidR="00421380" w:rsidRPr="00421380">
        <w:t xml:space="preserve">the success of this approach is uncertain. The behavioural responses from large tax changes may prove greater than expected, and </w:t>
      </w:r>
      <w:r w:rsidR="00421380">
        <w:t>–</w:t>
      </w:r>
      <w:r w:rsidR="00421380" w:rsidRPr="00421380">
        <w:t xml:space="preserve"> because those facing large tax hikes may complain vociferously </w:t>
      </w:r>
      <w:r w:rsidR="00421380">
        <w:t>–</w:t>
      </w:r>
      <w:r w:rsidR="00421380" w:rsidRPr="00421380">
        <w:t xml:space="preserve"> this strategy may </w:t>
      </w:r>
      <w:r w:rsidR="005A5B0E" w:rsidRPr="00421380">
        <w:t xml:space="preserve">also </w:t>
      </w:r>
      <w:r w:rsidR="00421380" w:rsidRPr="00421380">
        <w:t>not be politically viable</w:t>
      </w:r>
      <w:r w:rsidR="00421380">
        <w:t>. T</w:t>
      </w:r>
      <w:r w:rsidR="00647A6F" w:rsidRPr="00647A6F">
        <w:t>here's a risk that markets will be similarly unconvinced</w:t>
      </w:r>
      <w:r w:rsidR="00647A6F">
        <w:t>.</w:t>
      </w:r>
    </w:p>
    <w:p w14:paraId="43EBA434" w14:textId="751250AA" w:rsidR="00E8260D" w:rsidRDefault="00E8260D" w:rsidP="00C502F3">
      <w:r>
        <w:t xml:space="preserve">In addition, the </w:t>
      </w:r>
      <w:r w:rsidR="00F4616B">
        <w:t xml:space="preserve">chancellor </w:t>
      </w:r>
      <w:r>
        <w:t xml:space="preserve">has </w:t>
      </w:r>
      <w:hyperlink r:id="rId25" w:history="1">
        <w:r w:rsidR="00B34979" w:rsidRPr="00B34979">
          <w:rPr>
            <w:rStyle w:val="Hyperlink"/>
          </w:rPr>
          <w:t>raised the prospect</w:t>
        </w:r>
      </w:hyperlink>
      <w:r w:rsidR="00B34979">
        <w:t xml:space="preserve"> of switching from two OBR forecasts a year to one. </w:t>
      </w:r>
      <w:r w:rsidR="0086425F">
        <w:t>T</w:t>
      </w:r>
      <w:r w:rsidR="00B34979">
        <w:t xml:space="preserve">his </w:t>
      </w:r>
      <w:r w:rsidR="000D4D1D">
        <w:t>would be consistent with her aim to have only one fiscal set-piece event a year</w:t>
      </w:r>
      <w:r w:rsidR="0086425F">
        <w:t xml:space="preserve">. But given the government is starting from a position of weakness, </w:t>
      </w:r>
      <w:r w:rsidR="000D4D1D">
        <w:t xml:space="preserve">announcing this plan at the Budget would be a risk. As with the </w:t>
      </w:r>
      <w:hyperlink r:id="rId26" w:history="1">
        <w:r w:rsidR="000D4D1D" w:rsidRPr="000D4D1D">
          <w:rPr>
            <w:rStyle w:val="Hyperlink"/>
          </w:rPr>
          <w:t>sell-off that followed the September 2022 mini-Budget</w:t>
        </w:r>
      </w:hyperlink>
      <w:r w:rsidR="000D4D1D">
        <w:t>, markets could perceive this as an attempt to reduce expert scrutiny of the government's fiscal plans.</w:t>
      </w:r>
    </w:p>
    <w:p w14:paraId="15343550" w14:textId="29AE207D" w:rsidR="00C33F42" w:rsidRDefault="006279D3" w:rsidP="005F19FE">
      <w:pPr>
        <w:pStyle w:val="Heading3"/>
      </w:pPr>
      <w:r>
        <w:t xml:space="preserve">If markets lose faith, how would this </w:t>
      </w:r>
      <w:r w:rsidR="00C33F42">
        <w:t>scenario play out?</w:t>
      </w:r>
    </w:p>
    <w:p w14:paraId="43869E95" w14:textId="7DE9C484" w:rsidR="00621A17" w:rsidRDefault="00761144" w:rsidP="00C502F3">
      <w:r>
        <w:t xml:space="preserve">The experience </w:t>
      </w:r>
      <w:r w:rsidR="005A5B0E">
        <w:t xml:space="preserve">of former Prime Minister Liz Truss </w:t>
      </w:r>
      <w:r>
        <w:t>could provide a template for the initial reaction if markets decide that the Budget does</w:t>
      </w:r>
      <w:r w:rsidR="005A5B0E">
        <w:t>n't</w:t>
      </w:r>
      <w:r>
        <w:t xml:space="preserve"> offer a credible </w:t>
      </w:r>
      <w:r w:rsidR="008E5422">
        <w:t>deficit</w:t>
      </w:r>
      <w:r w:rsidR="007C0CF8">
        <w:t>-</w:t>
      </w:r>
      <w:r w:rsidR="008E5422">
        <w:t xml:space="preserve">reduction plan. </w:t>
      </w:r>
      <w:r w:rsidR="0097276A">
        <w:t xml:space="preserve">In the immediate aftermath of the </w:t>
      </w:r>
      <w:r w:rsidR="00F551ED">
        <w:t xml:space="preserve">2022 </w:t>
      </w:r>
      <w:r w:rsidR="0097276A">
        <w:t>mini-Budget, gilt yields rose and sterling weakened.</w:t>
      </w:r>
    </w:p>
    <w:p w14:paraId="3447A7C3" w14:textId="62FD016D" w:rsidR="00C33F42" w:rsidRDefault="0097276A" w:rsidP="00C502F3">
      <w:r>
        <w:t xml:space="preserve">As we argued in </w:t>
      </w:r>
      <w:hyperlink r:id="rId27" w:history="1">
        <w:r w:rsidRPr="0097276A">
          <w:rPr>
            <w:rStyle w:val="Hyperlink"/>
          </w:rPr>
          <w:t>a recent note</w:t>
        </w:r>
      </w:hyperlink>
      <w:r>
        <w:t xml:space="preserve">, the UK is particularly vulnerable to depreciation against the dollar </w:t>
      </w:r>
      <w:r w:rsidR="00947CBE">
        <w:t xml:space="preserve">now </w:t>
      </w:r>
      <w:r>
        <w:t>because its recent strength has largely been due to dollar weakness</w:t>
      </w:r>
      <w:r w:rsidR="005A5B0E">
        <w:t>,</w:t>
      </w:r>
      <w:r>
        <w:t xml:space="preserve"> and </w:t>
      </w:r>
      <w:r w:rsidR="00F64E85" w:rsidRPr="00F64E85">
        <w:t>our strategy team's suite of long-term FX models suggest sterling is trading meaningfully above fair value against the dollar</w:t>
      </w:r>
      <w:r w:rsidR="00F64E85">
        <w:t>.</w:t>
      </w:r>
      <w:r w:rsidR="00656163">
        <w:t xml:space="preserve"> In our alternative scenario, sterling quickly falls to $1.2</w:t>
      </w:r>
      <w:r w:rsidR="00993585">
        <w:t>0</w:t>
      </w:r>
      <w:r w:rsidR="00656163">
        <w:t xml:space="preserve"> and remains there throughout </w:t>
      </w:r>
      <w:r w:rsidR="003847E6">
        <w:t>2026</w:t>
      </w:r>
      <w:r w:rsidR="00656163">
        <w:t xml:space="preserve"> (baseline: $1.3</w:t>
      </w:r>
      <w:r w:rsidR="005C1DEB">
        <w:t>4</w:t>
      </w:r>
      <w:r w:rsidR="00656163">
        <w:t>).</w:t>
      </w:r>
    </w:p>
    <w:p w14:paraId="4FCF1349" w14:textId="3B1D66C6" w:rsidR="007A7DB3" w:rsidRDefault="00473FFB" w:rsidP="00C502F3">
      <w:r>
        <w:t>Regarding</w:t>
      </w:r>
      <w:r w:rsidR="00A262C2">
        <w:t xml:space="preserve"> gilt yields, </w:t>
      </w:r>
      <w:r w:rsidR="005A5B0E">
        <w:t xml:space="preserve">a </w:t>
      </w:r>
      <w:r w:rsidR="00A262C2">
        <w:t xml:space="preserve">lack of confidence </w:t>
      </w:r>
      <w:r w:rsidR="005A5B0E">
        <w:t xml:space="preserve">among market participants </w:t>
      </w:r>
      <w:r w:rsidR="00A262C2">
        <w:t xml:space="preserve">that the tax rises will yield the uplift in revenue </w:t>
      </w:r>
      <w:r w:rsidR="005A5B0E">
        <w:t xml:space="preserve">that the OBR </w:t>
      </w:r>
      <w:r w:rsidR="00A262C2">
        <w:t>anticipate</w:t>
      </w:r>
      <w:r w:rsidR="005A5B0E">
        <w:t>s</w:t>
      </w:r>
      <w:r w:rsidR="00A262C2">
        <w:t xml:space="preserve"> would cause the term premium to rise further.</w:t>
      </w:r>
    </w:p>
    <w:p w14:paraId="15B4C426" w14:textId="2F555468" w:rsidR="00473FFB" w:rsidRDefault="00D40EB2" w:rsidP="00C502F3">
      <w:r>
        <w:t xml:space="preserve">The sterling depreciation would exacerbate the UK's existing problem with sticky inflation. </w:t>
      </w:r>
      <w:r w:rsidR="002F351F">
        <w:t>U</w:t>
      </w:r>
      <w:r>
        <w:t>nder our baseline forecast, we expect the Monetary Policy Committee to resume rate cuts in early</w:t>
      </w:r>
      <w:r w:rsidR="007C0CF8">
        <w:t xml:space="preserve"> </w:t>
      </w:r>
      <w:r>
        <w:t>2026</w:t>
      </w:r>
      <w:r w:rsidR="002F351F">
        <w:t xml:space="preserve">. But </w:t>
      </w:r>
      <w:r>
        <w:t xml:space="preserve">in this </w:t>
      </w:r>
      <w:r>
        <w:lastRenderedPageBreak/>
        <w:t>scenario</w:t>
      </w:r>
      <w:r w:rsidR="002F351F">
        <w:t>, headline inflation would stay higher for longer</w:t>
      </w:r>
      <w:r w:rsidR="00B07DC0">
        <w:t>, leaving the MPC reluctant to cut for fear of stoking inflation. So</w:t>
      </w:r>
      <w:r w:rsidR="005A5B0E">
        <w:t>,</w:t>
      </w:r>
      <w:r w:rsidR="00B07DC0">
        <w:t xml:space="preserve"> Bank Rate would stay at 4% throughout 2026, rather than dropping to 3.5%.</w:t>
      </w:r>
    </w:p>
    <w:p w14:paraId="7F539860" w14:textId="0D9AD7CF" w:rsidR="002A44FA" w:rsidRDefault="00F41AAD" w:rsidP="00C502F3">
      <w:r>
        <w:t xml:space="preserve">The combination of upward pressure at the shorter end of the curve and a more elevated term premium would </w:t>
      </w:r>
      <w:r w:rsidR="00FA6B7D">
        <w:t>see</w:t>
      </w:r>
      <w:r>
        <w:t xml:space="preserve"> the 10-year gilt yield </w:t>
      </w:r>
      <w:r w:rsidR="00FA6B7D">
        <w:t>average</w:t>
      </w:r>
      <w:r w:rsidR="008F6A4D">
        <w:t xml:space="preserve"> </w:t>
      </w:r>
      <w:r w:rsidR="00993585">
        <w:t>4.9</w:t>
      </w:r>
      <w:r w:rsidR="008F6A4D">
        <w:t>%</w:t>
      </w:r>
      <w:r>
        <w:t xml:space="preserve"> over the next six months</w:t>
      </w:r>
      <w:r w:rsidR="00F70915">
        <w:t xml:space="preserve"> (</w:t>
      </w:r>
      <w:r w:rsidR="00004380" w:rsidRPr="005F19FE">
        <w:rPr>
          <w:b/>
          <w:color w:val="003469"/>
        </w:rPr>
        <w:fldChar w:fldCharType="begin"/>
      </w:r>
      <w:r w:rsidR="005F19FE" w:rsidRPr="005F19FE">
        <w:rPr>
          <w:b/>
          <w:color w:val="003469"/>
        </w:rPr>
        <w:instrText xml:space="preserve">REF _Ref210143238 \h \* Charformat </w:instrText>
      </w:r>
      <w:r w:rsidR="005F19FE" w:rsidRPr="005F19FE">
        <w:rPr>
          <w:b/>
          <w:color w:val="003469"/>
        </w:rPr>
      </w:r>
      <w:r w:rsidR="00004380" w:rsidRPr="005F19FE">
        <w:rPr>
          <w:b/>
          <w:color w:val="003469"/>
        </w:rPr>
        <w:fldChar w:fldCharType="separate"/>
      </w:r>
      <w:r w:rsidR="005F19FE" w:rsidRPr="005F19FE">
        <w:rPr>
          <w:b/>
          <w:color w:val="003469"/>
        </w:rPr>
        <w:t>Chart 4</w:t>
      </w:r>
      <w:r w:rsidR="00004380" w:rsidRPr="005F19FE">
        <w:rPr>
          <w:b/>
          <w:color w:val="003469"/>
        </w:rPr>
        <w:fldChar w:fldCharType="end"/>
      </w:r>
      <w:r w:rsidR="00F70915">
        <w:t>)</w:t>
      </w:r>
      <w:r>
        <w:t xml:space="preserve">. </w:t>
      </w:r>
      <w:r w:rsidR="00421380" w:rsidRPr="00421380">
        <w:t>We do</w:t>
      </w:r>
      <w:r w:rsidR="005A5B0E">
        <w:t>n't</w:t>
      </w:r>
      <w:r w:rsidR="00421380" w:rsidRPr="00421380">
        <w:t xml:space="preserve"> expect this would trigger a 2022-style rescue from the BoE, because the decline in leveraged </w:t>
      </w:r>
      <w:r w:rsidR="00EE349D">
        <w:t>liability-driven investment</w:t>
      </w:r>
      <w:r w:rsidR="00EE349D" w:rsidRPr="00421380">
        <w:t xml:space="preserve"> </w:t>
      </w:r>
      <w:r w:rsidR="00421380" w:rsidRPr="00421380">
        <w:t xml:space="preserve">since then reduces </w:t>
      </w:r>
      <w:r w:rsidR="00EE349D">
        <w:t xml:space="preserve">the </w:t>
      </w:r>
      <w:r w:rsidR="00421380" w:rsidRPr="00421380">
        <w:t xml:space="preserve">risk that rising yields </w:t>
      </w:r>
      <w:r w:rsidR="00EE349D">
        <w:t xml:space="preserve">would </w:t>
      </w:r>
      <w:r w:rsidR="00421380" w:rsidRPr="00421380">
        <w:t>trigger aggressive forced selling and resultant financial instability</w:t>
      </w:r>
      <w:r w:rsidR="00421380">
        <w:t>. Still, t</w:t>
      </w:r>
      <w:r w:rsidR="00693143">
        <w:t>his</w:t>
      </w:r>
      <w:r w:rsidR="00421380">
        <w:t xml:space="preserve"> rise in yields</w:t>
      </w:r>
      <w:r w:rsidR="00693143">
        <w:t xml:space="preserve"> would reinforce the cycle the government has found itself in, where a combination of rising debt servicing costs and ineffectual tax rises erode</w:t>
      </w:r>
      <w:r w:rsidR="00EE349D">
        <w:t>s</w:t>
      </w:r>
      <w:r w:rsidR="00693143">
        <w:t xml:space="preserve"> the slim headroom the </w:t>
      </w:r>
      <w:r w:rsidR="00EE349D">
        <w:t>c</w:t>
      </w:r>
      <w:r w:rsidR="00693143">
        <w:t>hancellor has left</w:t>
      </w:r>
      <w:r w:rsidR="001E6538">
        <w:t xml:space="preserve"> herself</w:t>
      </w:r>
      <w:r w:rsidR="00693143">
        <w:t>, forcing another round of tightening at the next fiscal event.</w:t>
      </w:r>
    </w:p>
    <w:p w14:paraId="7B3327BE" w14:textId="3269F484" w:rsidR="00F70915" w:rsidRDefault="00F70915" w:rsidP="005F19FE">
      <w:pPr>
        <w:pStyle w:val="ExhibitTitle"/>
      </w:pPr>
      <w:bookmarkStart w:id="3" w:name="_Ref210143238"/>
      <w:r>
        <w:t xml:space="preserve">Chart </w:t>
      </w:r>
      <w:r>
        <w:fldChar w:fldCharType="begin"/>
      </w:r>
      <w:r w:rsidR="007973DB">
        <w:instrText>SEQ CHART</w:instrText>
      </w:r>
      <w:r>
        <w:fldChar w:fldCharType="separate"/>
      </w:r>
      <w:r w:rsidR="007973DB">
        <w:rPr>
          <w:noProof/>
        </w:rPr>
        <w:t>4</w:t>
      </w:r>
      <w:r>
        <w:fldChar w:fldCharType="end"/>
      </w:r>
      <w:bookmarkEnd w:id="3"/>
      <w:r>
        <w:t xml:space="preserve">: </w:t>
      </w:r>
      <w:r w:rsidR="00CD2FCB">
        <w:t>If markets lose faith, sterling could fall sharply alongside higher gilt yields</w:t>
      </w:r>
    </w:p>
    <w:p w14:paraId="576A00ED" w14:textId="11A1A5A2" w:rsidR="007973DB" w:rsidRDefault="007973DB" w:rsidP="005F19FE">
      <w:pPr>
        <w:spacing w:after="0"/>
        <w:rPr>
          <w:noProof/>
        </w:rPr>
      </w:pPr>
      <w:r>
        <w:rPr>
          <w:noProof/>
        </w:rPr>
        <w:drawing>
          <wp:inline distT="0" distB="0" distL="0" distR="0" wp14:anchorId="015BF4EC" wp14:editId="73CA40C8">
            <wp:extent cx="3250933" cy="2548068"/>
            <wp:effectExtent l="0" t="0" r="6985" b="5080"/>
            <wp:docPr id="17592776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769" name=""/>
                    <pic:cNvPicPr/>
                  </pic:nvPicPr>
                  <pic:blipFill>
                    <a:blip r:embed="rId28">
                      <a:extLs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2A989D69" w14:textId="7F47DE9A" w:rsidR="00F70915" w:rsidRDefault="007973DB" w:rsidP="005F19FE">
      <w:pPr>
        <w:pStyle w:val="ExhibitSource"/>
      </w:pPr>
      <w:r>
        <w:t>Sources: Oxford Economics, Haver Analytics</w:t>
      </w:r>
    </w:p>
    <w:p w14:paraId="4E16BC96" w14:textId="0BC215CD" w:rsidR="00364393" w:rsidRDefault="002A44FA" w:rsidP="00C502F3">
      <w:r>
        <w:t>In our</w:t>
      </w:r>
      <w:r w:rsidR="00EE349D">
        <w:t xml:space="preserve"> downside</w:t>
      </w:r>
      <w:r>
        <w:t xml:space="preserve"> scenario, we assume </w:t>
      </w:r>
      <w:r w:rsidR="00693143">
        <w:t>a</w:t>
      </w:r>
      <w:r w:rsidR="00EA62B7">
        <w:t>nother</w:t>
      </w:r>
      <w:r w:rsidR="006279D3">
        <w:t xml:space="preserve"> thumbs down from markets </w:t>
      </w:r>
      <w:r w:rsidR="00A4207F">
        <w:t>finally</w:t>
      </w:r>
      <w:r w:rsidR="006279D3">
        <w:t xml:space="preserve"> lead</w:t>
      </w:r>
      <w:r>
        <w:t>s</w:t>
      </w:r>
      <w:r w:rsidR="006279D3">
        <w:t xml:space="preserve"> the government to </w:t>
      </w:r>
      <w:r w:rsidR="00274A44">
        <w:t>pursue</w:t>
      </w:r>
      <w:r w:rsidR="006279D3">
        <w:t xml:space="preserve"> a different </w:t>
      </w:r>
      <w:r w:rsidR="00367966">
        <w:t xml:space="preserve">fiscal </w:t>
      </w:r>
      <w:r w:rsidR="006279D3">
        <w:t>approach</w:t>
      </w:r>
      <w:r w:rsidR="00A4207F">
        <w:t>, committing to cutting spending from the start of fiscal year 2026-2027 through a combination of lower departmental spending and welfare reforms.</w:t>
      </w:r>
    </w:p>
    <w:p w14:paraId="65EDE1C2" w14:textId="6058537B" w:rsidR="00A4207F" w:rsidRDefault="00EE349D" w:rsidP="005F19FE">
      <w:pPr>
        <w:pStyle w:val="Heading3"/>
      </w:pPr>
      <w:r>
        <w:t xml:space="preserve">Downside </w:t>
      </w:r>
      <w:r w:rsidR="004A7344">
        <w:t>scenario sees even weaker growth in 2026</w:t>
      </w:r>
      <w:r>
        <w:t>-</w:t>
      </w:r>
      <w:r w:rsidR="004A7344">
        <w:t>2027</w:t>
      </w:r>
      <w:r w:rsidR="007C0CF8">
        <w:t>,</w:t>
      </w:r>
      <w:r w:rsidR="004A7344">
        <w:t xml:space="preserve"> with the consumer badly hit</w:t>
      </w:r>
    </w:p>
    <w:p w14:paraId="1FD42099" w14:textId="13F08F1A" w:rsidR="00871B4E" w:rsidRDefault="004A7344" w:rsidP="00871B4E">
      <w:r>
        <w:t>We've run our scenario assumptions</w:t>
      </w:r>
      <w:r w:rsidR="00871B4E">
        <w:t xml:space="preserve"> (</w:t>
      </w:r>
      <w:r w:rsidR="0053054F" w:rsidRPr="005F19FE">
        <w:rPr>
          <w:b/>
          <w:color w:val="003469"/>
        </w:rPr>
        <w:fldChar w:fldCharType="begin"/>
      </w:r>
      <w:r w:rsidR="005F19FE" w:rsidRPr="005F19FE">
        <w:rPr>
          <w:b/>
          <w:color w:val="003469"/>
        </w:rPr>
        <w:instrText xml:space="preserve">REF _Ref210676312 \h \* Charformat </w:instrText>
      </w:r>
      <w:r w:rsidR="005F19FE" w:rsidRPr="005F19FE">
        <w:rPr>
          <w:b/>
          <w:color w:val="003469"/>
        </w:rPr>
      </w:r>
      <w:r w:rsidR="0053054F" w:rsidRPr="005F19FE">
        <w:rPr>
          <w:b/>
          <w:color w:val="003469"/>
        </w:rPr>
        <w:fldChar w:fldCharType="separate"/>
      </w:r>
      <w:r w:rsidR="005F19FE" w:rsidRPr="005F19FE">
        <w:rPr>
          <w:b/>
          <w:color w:val="003469"/>
        </w:rPr>
        <w:t>Box 1</w:t>
      </w:r>
      <w:r w:rsidR="0053054F" w:rsidRPr="005F19FE">
        <w:rPr>
          <w:b/>
          <w:color w:val="003469"/>
        </w:rPr>
        <w:fldChar w:fldCharType="end"/>
      </w:r>
      <w:r w:rsidR="00871B4E">
        <w:t>)</w:t>
      </w:r>
      <w:r>
        <w:t xml:space="preserve"> through our </w:t>
      </w:r>
      <w:hyperlink r:id="rId30" w:history="1">
        <w:r w:rsidRPr="00B566FA">
          <w:rPr>
            <w:rStyle w:val="Hyperlink"/>
          </w:rPr>
          <w:t>Global Economic Model</w:t>
        </w:r>
      </w:hyperlink>
      <w:r>
        <w:t xml:space="preserve"> to assess the wider impact on the economy. </w:t>
      </w:r>
      <w:r w:rsidR="00871B4E" w:rsidRPr="00871B4E">
        <w:t xml:space="preserve">Our baseline forecast shows GDP growth of just 0.9% in 2026, below the consensus of 1.1% and well short of the OBR's March forecast of 1.9%. In our </w:t>
      </w:r>
      <w:r w:rsidR="00EE349D">
        <w:t xml:space="preserve">alternative </w:t>
      </w:r>
      <w:r w:rsidR="00871B4E" w:rsidRPr="00871B4E">
        <w:t>scenario, GDP growth drops to just 0.8% in 2026 and</w:t>
      </w:r>
      <w:r w:rsidR="00EE349D">
        <w:t>,</w:t>
      </w:r>
      <w:r w:rsidR="00871B4E" w:rsidRPr="00871B4E">
        <w:t xml:space="preserve"> by the end of 2027, the level of GDP is 0.6ppts below </w:t>
      </w:r>
      <w:r w:rsidR="00EE349D">
        <w:t>our</w:t>
      </w:r>
      <w:r w:rsidR="00EE349D" w:rsidRPr="00871B4E">
        <w:t xml:space="preserve"> </w:t>
      </w:r>
      <w:r w:rsidR="00871B4E" w:rsidRPr="00871B4E">
        <w:t xml:space="preserve">baseline </w:t>
      </w:r>
      <w:r w:rsidR="00EE349D">
        <w:t xml:space="preserve">forecast </w:t>
      </w:r>
      <w:r w:rsidR="00871B4E" w:rsidRPr="00871B4E">
        <w:t>(</w:t>
      </w:r>
      <w:r w:rsidR="00871B4E" w:rsidRPr="005F19FE">
        <w:rPr>
          <w:b/>
          <w:color w:val="003469"/>
        </w:rPr>
        <w:fldChar w:fldCharType="begin"/>
      </w:r>
      <w:r w:rsidR="005F19FE" w:rsidRPr="005F19FE">
        <w:rPr>
          <w:b/>
          <w:color w:val="003469"/>
        </w:rPr>
        <w:instrText xml:space="preserve">REF _Ref210676143 \h \* Charformat </w:instrText>
      </w:r>
      <w:r w:rsidR="005F19FE" w:rsidRPr="005F19FE">
        <w:rPr>
          <w:b/>
          <w:color w:val="003469"/>
        </w:rPr>
      </w:r>
      <w:r w:rsidR="00871B4E" w:rsidRPr="005F19FE">
        <w:rPr>
          <w:b/>
          <w:color w:val="003469"/>
        </w:rPr>
        <w:fldChar w:fldCharType="separate"/>
      </w:r>
      <w:r w:rsidR="005F19FE" w:rsidRPr="005F19FE">
        <w:rPr>
          <w:b/>
          <w:color w:val="003469"/>
        </w:rPr>
        <w:t>Chart 5</w:t>
      </w:r>
      <w:r w:rsidR="00871B4E" w:rsidRPr="005F19FE">
        <w:rPr>
          <w:b/>
          <w:color w:val="003469"/>
        </w:rPr>
        <w:fldChar w:fldCharType="end"/>
      </w:r>
      <w:r w:rsidR="00871B4E" w:rsidRPr="00871B4E">
        <w:t>).</w:t>
      </w:r>
      <w:r w:rsidR="00871B4E">
        <w:br w:type="page"/>
      </w:r>
    </w:p>
    <w:p w14:paraId="70750C04" w14:textId="3C713A54" w:rsidR="00871B4E" w:rsidRDefault="00871B4E" w:rsidP="005F19FE">
      <w:pPr>
        <w:pStyle w:val="ExhibitTitle"/>
      </w:pPr>
      <w:bookmarkStart w:id="4" w:name="_Ref210676143"/>
      <w:r>
        <w:lastRenderedPageBreak/>
        <w:t xml:space="preserve">Chart </w:t>
      </w:r>
      <w:r>
        <w:fldChar w:fldCharType="begin"/>
      </w:r>
      <w:r w:rsidR="007973DB">
        <w:instrText>SEQ CHART</w:instrText>
      </w:r>
      <w:r>
        <w:fldChar w:fldCharType="separate"/>
      </w:r>
      <w:r w:rsidR="007973DB">
        <w:rPr>
          <w:noProof/>
        </w:rPr>
        <w:t>5</w:t>
      </w:r>
      <w:r>
        <w:fldChar w:fldCharType="end"/>
      </w:r>
      <w:bookmarkEnd w:id="4"/>
      <w:r>
        <w:t xml:space="preserve">: </w:t>
      </w:r>
      <w:r w:rsidR="007C0CF8">
        <w:t>H</w:t>
      </w:r>
      <w:r w:rsidR="007C0CF8" w:rsidRPr="00871B4E">
        <w:t>igher exports and lower imports</w:t>
      </w:r>
      <w:r w:rsidR="007C0CF8">
        <w:t xml:space="preserve"> would mitigate a</w:t>
      </w:r>
      <w:r w:rsidRPr="00871B4E">
        <w:t xml:space="preserve"> much weaker consumer outlook </w:t>
      </w:r>
    </w:p>
    <w:p w14:paraId="2F1408E0" w14:textId="13BEC176" w:rsidR="007973DB" w:rsidRDefault="007973DB" w:rsidP="005F19FE">
      <w:pPr>
        <w:spacing w:after="0"/>
        <w:rPr>
          <w:noProof/>
        </w:rPr>
      </w:pPr>
      <w:r>
        <w:rPr>
          <w:noProof/>
        </w:rPr>
        <w:drawing>
          <wp:inline distT="0" distB="0" distL="0" distR="0" wp14:anchorId="18109440" wp14:editId="53F13553">
            <wp:extent cx="3250933" cy="2548068"/>
            <wp:effectExtent l="0" t="0" r="6985" b="5080"/>
            <wp:docPr id="19916224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243" name=""/>
                    <pic:cNvPicPr/>
                  </pic:nvPicPr>
                  <pic:blipFill>
                    <a:blip r:embed="rId31">
                      <a:extLst>
                        <a:ext uri="{96DAC541-7B7A-43D3-8B79-37D633B846F1}">
                          <asvg:svgBlip xmlns:asvg="http://schemas.microsoft.com/office/drawing/2016/SVG/main" r:embed="rId32"/>
                        </a:ext>
                      </a:extLst>
                    </a:blip>
                    <a:srcRect b="1886"/>
                    <a:stretch>
                      <a:fillRect/>
                    </a:stretch>
                  </pic:blipFill>
                  <pic:spPr>
                    <a:xfrm>
                      <a:off x="0" y="0"/>
                      <a:ext cx="3250933" cy="2548068"/>
                    </a:xfrm>
                    <a:prstGeom prst="rect">
                      <a:avLst/>
                    </a:prstGeom>
                  </pic:spPr>
                </pic:pic>
              </a:graphicData>
            </a:graphic>
          </wp:inline>
        </w:drawing>
      </w:r>
    </w:p>
    <w:p w14:paraId="53C201FA" w14:textId="15C4612C" w:rsidR="00871B4E" w:rsidRDefault="007973DB" w:rsidP="005F19FE">
      <w:pPr>
        <w:pStyle w:val="ExhibitSource"/>
      </w:pPr>
      <w:r>
        <w:t>Sources: Oxford Economics, Haver Analytics</w:t>
      </w:r>
    </w:p>
    <w:p w14:paraId="04D679E1" w14:textId="27E831BF" w:rsidR="00D51C56" w:rsidRDefault="00B566FA" w:rsidP="00C502F3">
      <w:r>
        <w:t>But this masks some much larger divergences in the fortunes of different parts of the economy. Consumer spending is hit hard, growing by just 0.4% in 2026 and 2027 (baseline: 1</w:t>
      </w:r>
      <w:r w:rsidR="00967BCE">
        <w:t>.1</w:t>
      </w:r>
      <w:r>
        <w:t>% and 1.</w:t>
      </w:r>
      <w:r w:rsidR="00967BCE">
        <w:t>1</w:t>
      </w:r>
      <w:r>
        <w:t xml:space="preserve">%). This reflects </w:t>
      </w:r>
      <w:r w:rsidR="00533FF0">
        <w:t>a bigger squeeze on spending power from high inflation</w:t>
      </w:r>
      <w:r w:rsidR="00F70915">
        <w:t xml:space="preserve"> (</w:t>
      </w:r>
      <w:r w:rsidR="00004380" w:rsidRPr="005F19FE">
        <w:rPr>
          <w:b/>
          <w:color w:val="003469"/>
        </w:rPr>
        <w:fldChar w:fldCharType="begin"/>
      </w:r>
      <w:r w:rsidR="005F19FE" w:rsidRPr="005F19FE">
        <w:rPr>
          <w:b/>
          <w:color w:val="003469"/>
        </w:rPr>
        <w:instrText xml:space="preserve">REF _Ref210143240 \h \* Charformat </w:instrText>
      </w:r>
      <w:r w:rsidR="005F19FE" w:rsidRPr="005F19FE">
        <w:rPr>
          <w:b/>
          <w:color w:val="003469"/>
        </w:rPr>
      </w:r>
      <w:r w:rsidR="00004380" w:rsidRPr="005F19FE">
        <w:rPr>
          <w:b/>
          <w:color w:val="003469"/>
        </w:rPr>
        <w:fldChar w:fldCharType="separate"/>
      </w:r>
      <w:r w:rsidR="005F19FE" w:rsidRPr="005F19FE">
        <w:rPr>
          <w:b/>
          <w:color w:val="003469"/>
        </w:rPr>
        <w:t>Chart 6</w:t>
      </w:r>
      <w:r w:rsidR="00004380" w:rsidRPr="005F19FE">
        <w:rPr>
          <w:b/>
          <w:color w:val="003469"/>
        </w:rPr>
        <w:fldChar w:fldCharType="end"/>
      </w:r>
      <w:r w:rsidR="00F70915">
        <w:t>)</w:t>
      </w:r>
      <w:r w:rsidR="00533FF0">
        <w:t>, as well as lower employment resulting from weaker public sector job creation.</w:t>
      </w:r>
    </w:p>
    <w:p w14:paraId="3E798DB3" w14:textId="3305DF98" w:rsidR="00F70915" w:rsidRDefault="00F70915" w:rsidP="005F19FE">
      <w:pPr>
        <w:pStyle w:val="ExhibitTitle"/>
      </w:pPr>
      <w:bookmarkStart w:id="5" w:name="_Ref210143240"/>
      <w:r>
        <w:t xml:space="preserve">Chart </w:t>
      </w:r>
      <w:r>
        <w:fldChar w:fldCharType="begin"/>
      </w:r>
      <w:r w:rsidR="007973DB">
        <w:instrText>SEQ CHART</w:instrText>
      </w:r>
      <w:r>
        <w:fldChar w:fldCharType="separate"/>
      </w:r>
      <w:r w:rsidR="007973DB">
        <w:rPr>
          <w:noProof/>
        </w:rPr>
        <w:t>6</w:t>
      </w:r>
      <w:r>
        <w:fldChar w:fldCharType="end"/>
      </w:r>
      <w:bookmarkEnd w:id="5"/>
      <w:r>
        <w:t xml:space="preserve">: </w:t>
      </w:r>
      <w:r w:rsidR="00E943E5">
        <w:t>Sterling depreciation would exacerbate the UK's inflation problem</w:t>
      </w:r>
    </w:p>
    <w:p w14:paraId="1BB2D54C" w14:textId="39C1E032" w:rsidR="007973DB" w:rsidRDefault="007973DB" w:rsidP="005F19FE">
      <w:pPr>
        <w:spacing w:after="0"/>
        <w:rPr>
          <w:noProof/>
        </w:rPr>
      </w:pPr>
      <w:r>
        <w:rPr>
          <w:noProof/>
        </w:rPr>
        <w:drawing>
          <wp:inline distT="0" distB="0" distL="0" distR="0" wp14:anchorId="5DC2BDFF" wp14:editId="3E9902F8">
            <wp:extent cx="3250933" cy="2548068"/>
            <wp:effectExtent l="0" t="0" r="6985" b="5080"/>
            <wp:docPr id="15685535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3545" name=""/>
                    <pic:cNvPicPr/>
                  </pic:nvPicPr>
                  <pic:blipFill>
                    <a:blip r:embed="rId33">
                      <a:extLst>
                        <a:ext uri="{96DAC541-7B7A-43D3-8B79-37D633B846F1}">
                          <asvg:svgBlip xmlns:asvg="http://schemas.microsoft.com/office/drawing/2016/SVG/main" r:embed="rId34"/>
                        </a:ext>
                      </a:extLst>
                    </a:blip>
                    <a:srcRect b="1886"/>
                    <a:stretch>
                      <a:fillRect/>
                    </a:stretch>
                  </pic:blipFill>
                  <pic:spPr>
                    <a:xfrm>
                      <a:off x="0" y="0"/>
                      <a:ext cx="3250933" cy="2548068"/>
                    </a:xfrm>
                    <a:prstGeom prst="rect">
                      <a:avLst/>
                    </a:prstGeom>
                  </pic:spPr>
                </pic:pic>
              </a:graphicData>
            </a:graphic>
          </wp:inline>
        </w:drawing>
      </w:r>
    </w:p>
    <w:p w14:paraId="3B080910" w14:textId="2D63BCE6" w:rsidR="00F70915" w:rsidRDefault="007973DB" w:rsidP="005F19FE">
      <w:pPr>
        <w:pStyle w:val="ExhibitSource"/>
      </w:pPr>
      <w:r>
        <w:t>Sources: Oxford Economics, Haver Analytics</w:t>
      </w:r>
    </w:p>
    <w:p w14:paraId="224652D9" w14:textId="459A873F" w:rsidR="00871B4E" w:rsidRDefault="00174739" w:rsidP="00871B4E">
      <w:r>
        <w:t xml:space="preserve">However, </w:t>
      </w:r>
      <w:r w:rsidR="00EE349D">
        <w:t xml:space="preserve">stronger net trade performance mitigates </w:t>
      </w:r>
      <w:r>
        <w:t>the hit to GDP. This is partly a function of a weaker pound boosting exports and constraining imports. But imports would also be hit by weaker consumer demand.</w:t>
      </w:r>
      <w:r w:rsidR="00871B4E">
        <w:br w:type="page"/>
      </w:r>
    </w:p>
    <w:p w14:paraId="4D3BE4C3" w14:textId="4A86517A" w:rsidR="00871B4E" w:rsidRDefault="00871B4E" w:rsidP="005F19FE">
      <w:pPr>
        <w:pStyle w:val="Heading3"/>
        <w:pBdr>
          <w:top w:val="single" w:sz="4" w:space="1" w:color="999999"/>
          <w:left w:val="single" w:sz="4" w:space="1" w:color="999999"/>
          <w:bottom w:val="single" w:sz="4" w:space="1" w:color="999999"/>
          <w:right w:val="single" w:sz="4" w:space="1" w:color="999999"/>
        </w:pBdr>
      </w:pPr>
      <w:bookmarkStart w:id="6" w:name="_Ref210676312"/>
      <w:r>
        <w:lastRenderedPageBreak/>
        <w:t xml:space="preserve">Box </w:t>
      </w:r>
      <w:r>
        <w:fldChar w:fldCharType="begin"/>
      </w:r>
      <w:r w:rsidR="0053054F">
        <w:instrText>SEQ BOX</w:instrText>
      </w:r>
      <w:r>
        <w:fldChar w:fldCharType="separate"/>
      </w:r>
      <w:r w:rsidR="007973DB">
        <w:rPr>
          <w:noProof/>
        </w:rPr>
        <w:t>1</w:t>
      </w:r>
      <w:r>
        <w:fldChar w:fldCharType="end"/>
      </w:r>
      <w:bookmarkEnd w:id="6"/>
      <w:r>
        <w:t>: Scenario assumptions</w:t>
      </w:r>
    </w:p>
    <w:p w14:paraId="44A96B8B" w14:textId="5E478D5F" w:rsidR="00871B4E" w:rsidRDefault="00871B4E" w:rsidP="007973DB">
      <w:pPr>
        <w:pBdr>
          <w:top w:val="single" w:sz="4" w:space="1" w:color="999999"/>
          <w:left w:val="single" w:sz="4" w:space="1" w:color="999999"/>
          <w:bottom w:val="single" w:sz="4" w:space="1" w:color="999999"/>
          <w:right w:val="single" w:sz="4" w:space="1" w:color="999999"/>
        </w:pBdr>
      </w:pPr>
      <w:r w:rsidRPr="00871B4E">
        <w:t>- GBP</w:t>
      </w:r>
      <w:r w:rsidR="007C0CF8">
        <w:t>/</w:t>
      </w:r>
      <w:r w:rsidRPr="00871B4E">
        <w:t>USD drops to $1.20 after November's Budget and remains at that level throughout 2026.</w:t>
      </w:r>
    </w:p>
    <w:p w14:paraId="3BD063B3" w14:textId="77777777" w:rsidR="00871B4E" w:rsidRDefault="00871B4E" w:rsidP="007973DB">
      <w:pPr>
        <w:pBdr>
          <w:top w:val="single" w:sz="4" w:space="1" w:color="999999"/>
          <w:left w:val="single" w:sz="4" w:space="1" w:color="999999"/>
          <w:bottom w:val="single" w:sz="4" w:space="1" w:color="999999"/>
          <w:right w:val="single" w:sz="4" w:space="1" w:color="999999"/>
        </w:pBdr>
      </w:pPr>
      <w:r w:rsidRPr="00871B4E">
        <w:t>- Bank Rate remains at 4% until end-2026.</w:t>
      </w:r>
    </w:p>
    <w:p w14:paraId="6BED2993" w14:textId="154DA8E3" w:rsidR="00871B4E" w:rsidRDefault="00871B4E" w:rsidP="007973DB">
      <w:pPr>
        <w:pBdr>
          <w:top w:val="single" w:sz="4" w:space="1" w:color="999999"/>
          <w:left w:val="single" w:sz="4" w:space="1" w:color="999999"/>
          <w:bottom w:val="single" w:sz="4" w:space="1" w:color="999999"/>
          <w:right w:val="single" w:sz="4" w:space="1" w:color="999999"/>
        </w:pBdr>
      </w:pPr>
      <w:r w:rsidRPr="00871B4E">
        <w:t>- Term premium on 10-year gilt yield rises 10bps above the baseline forecast, then falls back from mid-2026 once the government has changed tack and implemented spending cuts</w:t>
      </w:r>
      <w:r>
        <w:t>.</w:t>
      </w:r>
    </w:p>
    <w:p w14:paraId="6AE8B0A7" w14:textId="3034B7E5" w:rsidR="00871B4E" w:rsidRDefault="00871B4E" w:rsidP="007973DB">
      <w:pPr>
        <w:pBdr>
          <w:top w:val="single" w:sz="4" w:space="1" w:color="999999"/>
          <w:left w:val="single" w:sz="4" w:space="1" w:color="999999"/>
          <w:bottom w:val="single" w:sz="4" w:space="1" w:color="999999"/>
          <w:right w:val="single" w:sz="4" w:space="1" w:color="999999"/>
        </w:pBdr>
      </w:pPr>
      <w:r w:rsidRPr="00871B4E">
        <w:t xml:space="preserve">- Public sector current expenditure </w:t>
      </w:r>
      <w:r w:rsidR="007C0CF8">
        <w:t xml:space="preserve">is </w:t>
      </w:r>
      <w:r w:rsidRPr="00871B4E">
        <w:t>1% lower than the baseline forecast from the start of fiscal year 2026</w:t>
      </w:r>
      <w:r w:rsidRPr="00871B4E">
        <w:t>-</w:t>
      </w:r>
      <w:r w:rsidRPr="00871B4E">
        <w:t>2027.</w:t>
      </w:r>
    </w:p>
    <w:p w14:paraId="44EBD916" w14:textId="1B1FAFDE" w:rsidR="00871B4E" w:rsidRDefault="00871B4E" w:rsidP="007973DB">
      <w:pPr>
        <w:pBdr>
          <w:top w:val="single" w:sz="4" w:space="1" w:color="999999"/>
          <w:left w:val="single" w:sz="4" w:space="1" w:color="999999"/>
          <w:bottom w:val="single" w:sz="4" w:space="1" w:color="999999"/>
          <w:right w:val="single" w:sz="4" w:space="1" w:color="999999"/>
        </w:pBdr>
      </w:pPr>
      <w:r w:rsidRPr="00871B4E">
        <w:t xml:space="preserve">- Welfare spending </w:t>
      </w:r>
      <w:r w:rsidR="007C0CF8">
        <w:t xml:space="preserve">is </w:t>
      </w:r>
      <w:r w:rsidRPr="00871B4E">
        <w:t>£5bn lower than the baseline forecast from the start of fiscal year 2026</w:t>
      </w:r>
      <w:r w:rsidRPr="00871B4E">
        <w:t>-</w:t>
      </w:r>
      <w:r w:rsidRPr="00871B4E">
        <w:t>2027</w:t>
      </w:r>
      <w:r>
        <w:t xml:space="preserve">. </w:t>
      </w:r>
    </w:p>
    <w:p w14:paraId="512346BF" w14:textId="2279FF28" w:rsidR="00871B4E" w:rsidRDefault="00871B4E" w:rsidP="00B83BEE"/>
    <w:sectPr w:rsidR="00871B4E" w:rsidSect="005A1F1E">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4480" w14:textId="77777777" w:rsidR="0015739A" w:rsidRDefault="0015739A" w:rsidP="00C502F3">
      <w:pPr>
        <w:spacing w:before="0" w:after="0"/>
      </w:pPr>
      <w:r>
        <w:separator/>
      </w:r>
    </w:p>
  </w:endnote>
  <w:endnote w:type="continuationSeparator" w:id="0">
    <w:p w14:paraId="37F9BA6B" w14:textId="77777777" w:rsidR="0015739A" w:rsidRDefault="0015739A" w:rsidP="00C50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FEE5" w14:textId="60D9E9F1" w:rsidR="00C502F3" w:rsidRPr="00617867" w:rsidRDefault="00617867" w:rsidP="00617867">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617867">
      <w:rPr>
        <w:noProof/>
      </w:rPr>
      <w:drawing>
        <wp:anchor distT="0" distB="0" distL="114300" distR="114300" simplePos="0" relativeHeight="251659264" behindDoc="0" locked="0" layoutInCell="1" allowOverlap="1" wp14:anchorId="22F0B2A5" wp14:editId="07023398">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8C13" w14:textId="134573CB" w:rsidR="00C502F3" w:rsidRDefault="00C502F3" w:rsidP="00617867">
    <w:pPr>
      <w:pStyle w:val="Author"/>
    </w:pPr>
    <w:r>
      <w:t>Andrew Goodwin</w:t>
    </w:r>
    <w:r w:rsidR="005F19FE">
      <w:t xml:space="preserve"> - </w:t>
    </w:r>
    <w:r>
      <w:t>Chief UK Economist</w:t>
    </w:r>
    <w:r w:rsidR="005F19FE">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A72F" w14:textId="77777777" w:rsidR="0015739A" w:rsidRDefault="0015739A" w:rsidP="00C502F3">
      <w:pPr>
        <w:spacing w:before="0" w:after="0"/>
      </w:pPr>
      <w:r>
        <w:separator/>
      </w:r>
    </w:p>
  </w:footnote>
  <w:footnote w:type="continuationSeparator" w:id="0">
    <w:p w14:paraId="00C40FBC" w14:textId="77777777" w:rsidR="0015739A" w:rsidRDefault="0015739A" w:rsidP="00C502F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50D" w14:textId="77777777" w:rsidR="00C502F3" w:rsidRDefault="00C502F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EC5" w14:textId="77CEB67E" w:rsidR="00C502F3" w:rsidRDefault="00617867" w:rsidP="00C502F3">
    <w:pPr>
      <w:pStyle w:val="Headline"/>
      <w:spacing w:before="120"/>
      <w:ind w:right="-1000"/>
    </w:pPr>
    <w:r w:rsidRPr="00617867">
      <w:rPr>
        <w:noProof/>
      </w:rPr>
      <w:drawing>
        <wp:anchor distT="0" distB="0" distL="114300" distR="114300" simplePos="0" relativeHeight="251655164" behindDoc="1" locked="1" layoutInCell="1" allowOverlap="1" wp14:anchorId="0E338F21" wp14:editId="4870D972">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t>What happens if markets lose faith in the fiscal approach?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836E" w14:textId="69A68CD7" w:rsidR="00617867" w:rsidRPr="00617867" w:rsidRDefault="00617867" w:rsidP="00617867">
    <w:pPr>
      <w:rPr>
        <w:b/>
        <w:bCs/>
        <w:sz w:val="4"/>
      </w:rPr>
    </w:pPr>
    <w:r w:rsidRPr="00617867">
      <w:rPr>
        <w:noProof/>
        <w:sz w:val="4"/>
      </w:rPr>
      <w:drawing>
        <wp:anchor distT="0" distB="0" distL="114300" distR="114300" simplePos="0" relativeHeight="251656189" behindDoc="1" locked="1" layoutInCell="1" allowOverlap="1" wp14:anchorId="35761582" wp14:editId="427D58BF">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617867">
      <w:rPr>
        <w:noProof/>
        <w:sz w:val="4"/>
      </w:rPr>
      <w:drawing>
        <wp:anchor distT="0" distB="0" distL="114300" distR="114300" simplePos="0" relativeHeight="251657214" behindDoc="1" locked="1" layoutInCell="1" allowOverlap="1" wp14:anchorId="3CAAE5C2" wp14:editId="74A7EFC7">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911767987"/>
      <w:lock w:val="sdtLocked"/>
      <w:placeholder>
        <w:docPart w:val="DefaultPlaceholder_-1854013437"/>
      </w:placeholder>
      <w:date w:fullDate="2025-10-09T00:00:00Z">
        <w:dateFormat w:val="d MMMM yyyy"/>
        <w:lid w:val="en-GB"/>
        <w:storeMappedDataAs w:val="dateTime"/>
        <w:calendar w:val="gregorian"/>
      </w:date>
    </w:sdtPr>
    <w:sdtEndPr/>
    <w:sdtContent>
      <w:p w14:paraId="4644C8B9" w14:textId="06EC0BA8" w:rsidR="00C502F3" w:rsidRPr="00617867" w:rsidRDefault="000B0D8C" w:rsidP="00617867">
        <w:pPr>
          <w:pStyle w:val="PublishDate"/>
          <w:framePr w:w="2835" w:h="340" w:hRule="exact" w:hSpace="180" w:wrap="around" w:vAnchor="page" w:hAnchor="page" w:x="7801" w:y="601" w:anchorLock="1"/>
        </w:pPr>
        <w:r>
          <w:t>9 October 2025</w:t>
        </w:r>
      </w:p>
    </w:sdtContent>
  </w:sdt>
  <w:p w14:paraId="55C21392" w14:textId="77777777" w:rsidR="00617867" w:rsidRDefault="00617867" w:rsidP="00617867">
    <w:pPr>
      <w:pStyle w:val="ProductDescription"/>
      <w:framePr w:w="11339" w:h="1474" w:hRule="exact" w:hSpace="180" w:wrap="around" w:vAnchor="page" w:hAnchor="page" w:x="401" w:y="1141" w:anchorLock="1"/>
      <w:spacing w:after="200"/>
    </w:pPr>
    <w:r>
      <w:t>Research Briefing | UK</w:t>
    </w:r>
  </w:p>
  <w:p w14:paraId="67CD9BDA" w14:textId="1175A69A" w:rsidR="00617867" w:rsidRDefault="00617867" w:rsidP="00617867">
    <w:pPr>
      <w:pStyle w:val="Headline"/>
      <w:framePr w:w="11339" w:h="1474" w:hRule="exact" w:hSpace="180" w:wrap="around" w:vAnchor="page" w:hAnchor="page" w:x="401" w:y="1141" w:anchorLock="1"/>
      <w:spacing w:line="200" w:lineRule="auto"/>
    </w:pPr>
    <w:r>
      <w:t>What happens if markets lose faith in the fiscal approach?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F3"/>
    <w:rsid w:val="00003BA7"/>
    <w:rsid w:val="00004380"/>
    <w:rsid w:val="000132BE"/>
    <w:rsid w:val="00014CDD"/>
    <w:rsid w:val="00021372"/>
    <w:rsid w:val="00021C56"/>
    <w:rsid w:val="00022761"/>
    <w:rsid w:val="0005491E"/>
    <w:rsid w:val="000759F5"/>
    <w:rsid w:val="00081108"/>
    <w:rsid w:val="000937C4"/>
    <w:rsid w:val="000B0723"/>
    <w:rsid w:val="000B0D8C"/>
    <w:rsid w:val="000B1527"/>
    <w:rsid w:val="000B449D"/>
    <w:rsid w:val="000B5221"/>
    <w:rsid w:val="000C0ADF"/>
    <w:rsid w:val="000D3E43"/>
    <w:rsid w:val="000D4D1D"/>
    <w:rsid w:val="000D6486"/>
    <w:rsid w:val="000D6C43"/>
    <w:rsid w:val="000E2BD3"/>
    <w:rsid w:val="000E4F26"/>
    <w:rsid w:val="000F013E"/>
    <w:rsid w:val="000F3F52"/>
    <w:rsid w:val="001018E9"/>
    <w:rsid w:val="00102D08"/>
    <w:rsid w:val="00120D7A"/>
    <w:rsid w:val="00124E58"/>
    <w:rsid w:val="00152885"/>
    <w:rsid w:val="0015739A"/>
    <w:rsid w:val="00160F71"/>
    <w:rsid w:val="0016316B"/>
    <w:rsid w:val="0017078A"/>
    <w:rsid w:val="00174739"/>
    <w:rsid w:val="00180625"/>
    <w:rsid w:val="00190C04"/>
    <w:rsid w:val="00192CDF"/>
    <w:rsid w:val="00195F9A"/>
    <w:rsid w:val="001A5775"/>
    <w:rsid w:val="001A6993"/>
    <w:rsid w:val="001A749F"/>
    <w:rsid w:val="001B135D"/>
    <w:rsid w:val="001B2B67"/>
    <w:rsid w:val="001B2C32"/>
    <w:rsid w:val="001D4B18"/>
    <w:rsid w:val="001D625C"/>
    <w:rsid w:val="001D7057"/>
    <w:rsid w:val="001E0785"/>
    <w:rsid w:val="001E0C4A"/>
    <w:rsid w:val="001E6538"/>
    <w:rsid w:val="001F2D7A"/>
    <w:rsid w:val="001F3317"/>
    <w:rsid w:val="001F5624"/>
    <w:rsid w:val="00242E5E"/>
    <w:rsid w:val="0024631C"/>
    <w:rsid w:val="002615F6"/>
    <w:rsid w:val="00262D94"/>
    <w:rsid w:val="00263E48"/>
    <w:rsid w:val="002745D6"/>
    <w:rsid w:val="00274A44"/>
    <w:rsid w:val="00280443"/>
    <w:rsid w:val="00282A8A"/>
    <w:rsid w:val="00286754"/>
    <w:rsid w:val="0029566B"/>
    <w:rsid w:val="002A44FA"/>
    <w:rsid w:val="002B128D"/>
    <w:rsid w:val="002B7390"/>
    <w:rsid w:val="002C1361"/>
    <w:rsid w:val="002C1955"/>
    <w:rsid w:val="002D0DC9"/>
    <w:rsid w:val="002D3EC6"/>
    <w:rsid w:val="002E0DB7"/>
    <w:rsid w:val="002E665F"/>
    <w:rsid w:val="002E7CED"/>
    <w:rsid w:val="002F351F"/>
    <w:rsid w:val="002F68A1"/>
    <w:rsid w:val="003017D9"/>
    <w:rsid w:val="0031169C"/>
    <w:rsid w:val="003135B1"/>
    <w:rsid w:val="003137EE"/>
    <w:rsid w:val="00316CBE"/>
    <w:rsid w:val="003218CD"/>
    <w:rsid w:val="00321EBA"/>
    <w:rsid w:val="00322F98"/>
    <w:rsid w:val="00323019"/>
    <w:rsid w:val="00327BCE"/>
    <w:rsid w:val="00364393"/>
    <w:rsid w:val="00367966"/>
    <w:rsid w:val="00370974"/>
    <w:rsid w:val="00374E02"/>
    <w:rsid w:val="003847E6"/>
    <w:rsid w:val="003943BD"/>
    <w:rsid w:val="00395560"/>
    <w:rsid w:val="0039740C"/>
    <w:rsid w:val="003B0CAB"/>
    <w:rsid w:val="003B265D"/>
    <w:rsid w:val="003B2ECE"/>
    <w:rsid w:val="003B715A"/>
    <w:rsid w:val="003C1BB1"/>
    <w:rsid w:val="003D0346"/>
    <w:rsid w:val="003E0738"/>
    <w:rsid w:val="003E6919"/>
    <w:rsid w:val="003E7F3C"/>
    <w:rsid w:val="003F0F4E"/>
    <w:rsid w:val="003F6309"/>
    <w:rsid w:val="00402F39"/>
    <w:rsid w:val="0040359C"/>
    <w:rsid w:val="00405A12"/>
    <w:rsid w:val="00405D65"/>
    <w:rsid w:val="00406D14"/>
    <w:rsid w:val="00407AA2"/>
    <w:rsid w:val="004208AA"/>
    <w:rsid w:val="00421380"/>
    <w:rsid w:val="004258C9"/>
    <w:rsid w:val="004458BB"/>
    <w:rsid w:val="00454FAF"/>
    <w:rsid w:val="004602D9"/>
    <w:rsid w:val="0046292D"/>
    <w:rsid w:val="004677EA"/>
    <w:rsid w:val="00467E12"/>
    <w:rsid w:val="00473FFB"/>
    <w:rsid w:val="00476B00"/>
    <w:rsid w:val="004827E3"/>
    <w:rsid w:val="00494818"/>
    <w:rsid w:val="00495DE7"/>
    <w:rsid w:val="004A2A92"/>
    <w:rsid w:val="004A7344"/>
    <w:rsid w:val="004B205A"/>
    <w:rsid w:val="004B4F66"/>
    <w:rsid w:val="004C7923"/>
    <w:rsid w:val="004D473F"/>
    <w:rsid w:val="004D5B83"/>
    <w:rsid w:val="004D650E"/>
    <w:rsid w:val="004D6FED"/>
    <w:rsid w:val="004F108F"/>
    <w:rsid w:val="004F1390"/>
    <w:rsid w:val="004F3365"/>
    <w:rsid w:val="004F3A0A"/>
    <w:rsid w:val="00516C0A"/>
    <w:rsid w:val="005176F2"/>
    <w:rsid w:val="00524103"/>
    <w:rsid w:val="0053054F"/>
    <w:rsid w:val="00533FF0"/>
    <w:rsid w:val="00535C71"/>
    <w:rsid w:val="005414BA"/>
    <w:rsid w:val="0054280C"/>
    <w:rsid w:val="0054606D"/>
    <w:rsid w:val="005473C6"/>
    <w:rsid w:val="00563FEB"/>
    <w:rsid w:val="00564DAA"/>
    <w:rsid w:val="00575045"/>
    <w:rsid w:val="00576591"/>
    <w:rsid w:val="00576CB8"/>
    <w:rsid w:val="00576D28"/>
    <w:rsid w:val="00592138"/>
    <w:rsid w:val="005A1F1E"/>
    <w:rsid w:val="005A5B0E"/>
    <w:rsid w:val="005C1DEB"/>
    <w:rsid w:val="005C678A"/>
    <w:rsid w:val="005E173E"/>
    <w:rsid w:val="005E3792"/>
    <w:rsid w:val="005E404F"/>
    <w:rsid w:val="005F0616"/>
    <w:rsid w:val="005F1791"/>
    <w:rsid w:val="005F19FE"/>
    <w:rsid w:val="005F7DDF"/>
    <w:rsid w:val="00601984"/>
    <w:rsid w:val="006125A3"/>
    <w:rsid w:val="00614AA2"/>
    <w:rsid w:val="006154A2"/>
    <w:rsid w:val="0061585D"/>
    <w:rsid w:val="006166EE"/>
    <w:rsid w:val="00617867"/>
    <w:rsid w:val="00621A17"/>
    <w:rsid w:val="006279D3"/>
    <w:rsid w:val="0063065A"/>
    <w:rsid w:val="00633BE2"/>
    <w:rsid w:val="00635318"/>
    <w:rsid w:val="00636C5C"/>
    <w:rsid w:val="00637B36"/>
    <w:rsid w:val="006408C5"/>
    <w:rsid w:val="00640CBB"/>
    <w:rsid w:val="00643B2A"/>
    <w:rsid w:val="00645409"/>
    <w:rsid w:val="00647A6F"/>
    <w:rsid w:val="006540C6"/>
    <w:rsid w:val="00656163"/>
    <w:rsid w:val="00657C0C"/>
    <w:rsid w:val="0066208F"/>
    <w:rsid w:val="00671564"/>
    <w:rsid w:val="006739BF"/>
    <w:rsid w:val="0067595A"/>
    <w:rsid w:val="00680BFC"/>
    <w:rsid w:val="00681BC5"/>
    <w:rsid w:val="0068702C"/>
    <w:rsid w:val="00693143"/>
    <w:rsid w:val="0069367D"/>
    <w:rsid w:val="00695DC6"/>
    <w:rsid w:val="006A1630"/>
    <w:rsid w:val="006A676D"/>
    <w:rsid w:val="006B6D73"/>
    <w:rsid w:val="006B76A5"/>
    <w:rsid w:val="006C7BB6"/>
    <w:rsid w:val="006C7C06"/>
    <w:rsid w:val="006C7C55"/>
    <w:rsid w:val="006F60F1"/>
    <w:rsid w:val="00714F92"/>
    <w:rsid w:val="00716280"/>
    <w:rsid w:val="00716C07"/>
    <w:rsid w:val="00727930"/>
    <w:rsid w:val="00730E79"/>
    <w:rsid w:val="0074116D"/>
    <w:rsid w:val="00754C2F"/>
    <w:rsid w:val="00761144"/>
    <w:rsid w:val="00762260"/>
    <w:rsid w:val="0076615A"/>
    <w:rsid w:val="007723AE"/>
    <w:rsid w:val="007768AB"/>
    <w:rsid w:val="00794372"/>
    <w:rsid w:val="007973DB"/>
    <w:rsid w:val="007974D8"/>
    <w:rsid w:val="007A0116"/>
    <w:rsid w:val="007A0F18"/>
    <w:rsid w:val="007A0F54"/>
    <w:rsid w:val="007A3EF5"/>
    <w:rsid w:val="007A7DB3"/>
    <w:rsid w:val="007B57CD"/>
    <w:rsid w:val="007C0CF8"/>
    <w:rsid w:val="007C5A22"/>
    <w:rsid w:val="007D1C94"/>
    <w:rsid w:val="007D283E"/>
    <w:rsid w:val="007F1EE2"/>
    <w:rsid w:val="007F56A0"/>
    <w:rsid w:val="007F5D5D"/>
    <w:rsid w:val="007F77B3"/>
    <w:rsid w:val="00847933"/>
    <w:rsid w:val="00850E70"/>
    <w:rsid w:val="00852BDA"/>
    <w:rsid w:val="00855D52"/>
    <w:rsid w:val="00855D68"/>
    <w:rsid w:val="0086090E"/>
    <w:rsid w:val="0086425F"/>
    <w:rsid w:val="00871B4E"/>
    <w:rsid w:val="008742FC"/>
    <w:rsid w:val="00874B7C"/>
    <w:rsid w:val="0088455B"/>
    <w:rsid w:val="008A3948"/>
    <w:rsid w:val="008A4C80"/>
    <w:rsid w:val="008A7C77"/>
    <w:rsid w:val="008B7595"/>
    <w:rsid w:val="008C0007"/>
    <w:rsid w:val="008D4F08"/>
    <w:rsid w:val="008D7046"/>
    <w:rsid w:val="008E11F0"/>
    <w:rsid w:val="008E5422"/>
    <w:rsid w:val="008E6FFB"/>
    <w:rsid w:val="008E721D"/>
    <w:rsid w:val="008F1A70"/>
    <w:rsid w:val="008F24CC"/>
    <w:rsid w:val="008F5107"/>
    <w:rsid w:val="008F6A4D"/>
    <w:rsid w:val="00907910"/>
    <w:rsid w:val="00910B51"/>
    <w:rsid w:val="009148F6"/>
    <w:rsid w:val="00914983"/>
    <w:rsid w:val="009205AA"/>
    <w:rsid w:val="00920D15"/>
    <w:rsid w:val="00924857"/>
    <w:rsid w:val="00926F18"/>
    <w:rsid w:val="00933B30"/>
    <w:rsid w:val="00944795"/>
    <w:rsid w:val="00947CBE"/>
    <w:rsid w:val="00950F17"/>
    <w:rsid w:val="009634AC"/>
    <w:rsid w:val="00963AA5"/>
    <w:rsid w:val="00967BCE"/>
    <w:rsid w:val="00967CB0"/>
    <w:rsid w:val="0097276A"/>
    <w:rsid w:val="00973624"/>
    <w:rsid w:val="00976CD6"/>
    <w:rsid w:val="00985CFB"/>
    <w:rsid w:val="00993585"/>
    <w:rsid w:val="00995E6B"/>
    <w:rsid w:val="009A67BA"/>
    <w:rsid w:val="009B723B"/>
    <w:rsid w:val="009B76AB"/>
    <w:rsid w:val="009C2B46"/>
    <w:rsid w:val="009C7C16"/>
    <w:rsid w:val="009D1444"/>
    <w:rsid w:val="009D316A"/>
    <w:rsid w:val="009D3BC9"/>
    <w:rsid w:val="009E07F1"/>
    <w:rsid w:val="009E253C"/>
    <w:rsid w:val="009E5F70"/>
    <w:rsid w:val="009F37D1"/>
    <w:rsid w:val="009F3F01"/>
    <w:rsid w:val="00A034AE"/>
    <w:rsid w:val="00A17BAB"/>
    <w:rsid w:val="00A25234"/>
    <w:rsid w:val="00A262C2"/>
    <w:rsid w:val="00A332D4"/>
    <w:rsid w:val="00A4207F"/>
    <w:rsid w:val="00A50835"/>
    <w:rsid w:val="00A52669"/>
    <w:rsid w:val="00A534A6"/>
    <w:rsid w:val="00A576A0"/>
    <w:rsid w:val="00A609EA"/>
    <w:rsid w:val="00A63323"/>
    <w:rsid w:val="00A66B32"/>
    <w:rsid w:val="00A77085"/>
    <w:rsid w:val="00A80A3F"/>
    <w:rsid w:val="00A9430E"/>
    <w:rsid w:val="00AB24B7"/>
    <w:rsid w:val="00AB6B99"/>
    <w:rsid w:val="00AD07ED"/>
    <w:rsid w:val="00AE76E6"/>
    <w:rsid w:val="00B04E07"/>
    <w:rsid w:val="00B07DC0"/>
    <w:rsid w:val="00B16B5A"/>
    <w:rsid w:val="00B274BA"/>
    <w:rsid w:val="00B31BC1"/>
    <w:rsid w:val="00B34979"/>
    <w:rsid w:val="00B538D5"/>
    <w:rsid w:val="00B566FA"/>
    <w:rsid w:val="00B711D0"/>
    <w:rsid w:val="00B7343B"/>
    <w:rsid w:val="00B74A55"/>
    <w:rsid w:val="00B814A4"/>
    <w:rsid w:val="00B83BEE"/>
    <w:rsid w:val="00B846EA"/>
    <w:rsid w:val="00B85044"/>
    <w:rsid w:val="00B910EA"/>
    <w:rsid w:val="00B94499"/>
    <w:rsid w:val="00BB6195"/>
    <w:rsid w:val="00BD1733"/>
    <w:rsid w:val="00BE1485"/>
    <w:rsid w:val="00BE4C4B"/>
    <w:rsid w:val="00BF0BED"/>
    <w:rsid w:val="00BF6A2A"/>
    <w:rsid w:val="00C05DD1"/>
    <w:rsid w:val="00C12862"/>
    <w:rsid w:val="00C17065"/>
    <w:rsid w:val="00C21E55"/>
    <w:rsid w:val="00C32F28"/>
    <w:rsid w:val="00C33F42"/>
    <w:rsid w:val="00C502F3"/>
    <w:rsid w:val="00C51B0E"/>
    <w:rsid w:val="00C65A69"/>
    <w:rsid w:val="00C71A9B"/>
    <w:rsid w:val="00C72052"/>
    <w:rsid w:val="00C75153"/>
    <w:rsid w:val="00C76458"/>
    <w:rsid w:val="00C83421"/>
    <w:rsid w:val="00C84AD7"/>
    <w:rsid w:val="00C90D41"/>
    <w:rsid w:val="00C91A71"/>
    <w:rsid w:val="00C93538"/>
    <w:rsid w:val="00C9768F"/>
    <w:rsid w:val="00CA2481"/>
    <w:rsid w:val="00CA4BF3"/>
    <w:rsid w:val="00CA7690"/>
    <w:rsid w:val="00CB23EC"/>
    <w:rsid w:val="00CB7716"/>
    <w:rsid w:val="00CC0F42"/>
    <w:rsid w:val="00CC1D1F"/>
    <w:rsid w:val="00CC3321"/>
    <w:rsid w:val="00CD0F81"/>
    <w:rsid w:val="00CD1A7B"/>
    <w:rsid w:val="00CD2FCB"/>
    <w:rsid w:val="00CD670E"/>
    <w:rsid w:val="00CE3160"/>
    <w:rsid w:val="00CE5204"/>
    <w:rsid w:val="00D01861"/>
    <w:rsid w:val="00D01AEE"/>
    <w:rsid w:val="00D0272A"/>
    <w:rsid w:val="00D07416"/>
    <w:rsid w:val="00D33DC6"/>
    <w:rsid w:val="00D341D3"/>
    <w:rsid w:val="00D361A8"/>
    <w:rsid w:val="00D379EC"/>
    <w:rsid w:val="00D40EB2"/>
    <w:rsid w:val="00D44219"/>
    <w:rsid w:val="00D51C56"/>
    <w:rsid w:val="00D63F47"/>
    <w:rsid w:val="00D645EE"/>
    <w:rsid w:val="00D82250"/>
    <w:rsid w:val="00D90824"/>
    <w:rsid w:val="00D93271"/>
    <w:rsid w:val="00DB0BE6"/>
    <w:rsid w:val="00DC3B6C"/>
    <w:rsid w:val="00DC50D2"/>
    <w:rsid w:val="00DD744E"/>
    <w:rsid w:val="00DE53F9"/>
    <w:rsid w:val="00DE568D"/>
    <w:rsid w:val="00DF12E4"/>
    <w:rsid w:val="00DF4C72"/>
    <w:rsid w:val="00DF68CB"/>
    <w:rsid w:val="00DF73F9"/>
    <w:rsid w:val="00E10235"/>
    <w:rsid w:val="00E16A43"/>
    <w:rsid w:val="00E176D8"/>
    <w:rsid w:val="00E213A8"/>
    <w:rsid w:val="00E23560"/>
    <w:rsid w:val="00E24F5F"/>
    <w:rsid w:val="00E31CD8"/>
    <w:rsid w:val="00E60491"/>
    <w:rsid w:val="00E814B0"/>
    <w:rsid w:val="00E8260D"/>
    <w:rsid w:val="00E91C79"/>
    <w:rsid w:val="00E943E5"/>
    <w:rsid w:val="00EA0803"/>
    <w:rsid w:val="00EA2025"/>
    <w:rsid w:val="00EA42EE"/>
    <w:rsid w:val="00EA62B7"/>
    <w:rsid w:val="00EA7E19"/>
    <w:rsid w:val="00EB17C5"/>
    <w:rsid w:val="00EB4898"/>
    <w:rsid w:val="00EC0AE2"/>
    <w:rsid w:val="00EC10CA"/>
    <w:rsid w:val="00ED5450"/>
    <w:rsid w:val="00ED615F"/>
    <w:rsid w:val="00ED6FF0"/>
    <w:rsid w:val="00EE204C"/>
    <w:rsid w:val="00EE349D"/>
    <w:rsid w:val="00F01CEF"/>
    <w:rsid w:val="00F13E87"/>
    <w:rsid w:val="00F1597A"/>
    <w:rsid w:val="00F23937"/>
    <w:rsid w:val="00F2643F"/>
    <w:rsid w:val="00F30CC2"/>
    <w:rsid w:val="00F41AAD"/>
    <w:rsid w:val="00F4476F"/>
    <w:rsid w:val="00F4616B"/>
    <w:rsid w:val="00F52C66"/>
    <w:rsid w:val="00F551ED"/>
    <w:rsid w:val="00F6370A"/>
    <w:rsid w:val="00F64E85"/>
    <w:rsid w:val="00F70915"/>
    <w:rsid w:val="00F72F2A"/>
    <w:rsid w:val="00F73ABB"/>
    <w:rsid w:val="00F95083"/>
    <w:rsid w:val="00F96453"/>
    <w:rsid w:val="00FA6B7D"/>
    <w:rsid w:val="00FB4A92"/>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D0639"/>
  <w15:chartTrackingRefBased/>
  <w15:docId w15:val="{9E5095B6-2323-441E-9290-FF5C39F3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86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1786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17867"/>
    <w:pPr>
      <w:outlineLvl w:val="1"/>
    </w:pPr>
    <w:rPr>
      <w:sz w:val="28"/>
    </w:rPr>
  </w:style>
  <w:style w:type="paragraph" w:styleId="Heading3">
    <w:name w:val="heading 3"/>
    <w:basedOn w:val="Normal"/>
    <w:next w:val="Normal"/>
    <w:link w:val="Heading3Char"/>
    <w:uiPriority w:val="9"/>
    <w:unhideWhenUsed/>
    <w:qFormat/>
    <w:rsid w:val="0061786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1786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1786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61786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61786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61786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1786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6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1786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1786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1786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17867"/>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617867"/>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617867"/>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61786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17867"/>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61786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17867"/>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617867"/>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617867"/>
    <w:pPr>
      <w:tabs>
        <w:tab w:val="center" w:pos="4320"/>
        <w:tab w:val="right" w:pos="8640"/>
      </w:tabs>
    </w:pPr>
  </w:style>
  <w:style w:type="character" w:customStyle="1" w:styleId="HeaderChar">
    <w:name w:val="Header Char"/>
    <w:basedOn w:val="DefaultParagraphFont"/>
    <w:link w:val="Header"/>
    <w:uiPriority w:val="99"/>
    <w:rsid w:val="0061786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17867"/>
    <w:pPr>
      <w:tabs>
        <w:tab w:val="center" w:pos="4320"/>
        <w:tab w:val="right" w:pos="8640"/>
      </w:tabs>
    </w:pPr>
  </w:style>
  <w:style w:type="character" w:customStyle="1" w:styleId="FooterChar">
    <w:name w:val="Footer Char"/>
    <w:basedOn w:val="DefaultParagraphFont"/>
    <w:link w:val="Footer"/>
    <w:uiPriority w:val="99"/>
    <w:rsid w:val="00617867"/>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617867"/>
    <w:rPr>
      <w:noProof w:val="0"/>
    </w:rPr>
  </w:style>
  <w:style w:type="character" w:styleId="Hyperlink">
    <w:name w:val="Hyperlink"/>
    <w:basedOn w:val="DefaultParagraphFont"/>
    <w:uiPriority w:val="99"/>
    <w:unhideWhenUsed/>
    <w:rsid w:val="00617867"/>
    <w:rPr>
      <w:noProof w:val="0"/>
      <w:color w:val="467886" w:themeColor="hyperlink"/>
      <w:u w:val="single"/>
    </w:rPr>
  </w:style>
  <w:style w:type="paragraph" w:styleId="Revision">
    <w:name w:val="Revision"/>
    <w:hidden/>
    <w:uiPriority w:val="99"/>
    <w:semiHidden/>
    <w:rsid w:val="0061786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17867"/>
    <w:pPr>
      <w:spacing w:after="120"/>
    </w:pPr>
    <w:rPr>
      <w:b/>
      <w:bCs/>
      <w:color w:val="FFFFFF"/>
      <w:sz w:val="32"/>
      <w:szCs w:val="32"/>
    </w:rPr>
  </w:style>
  <w:style w:type="paragraph" w:customStyle="1" w:styleId="Headline">
    <w:name w:val="Headline"/>
    <w:basedOn w:val="Normal"/>
    <w:next w:val="Normal"/>
    <w:link w:val="HeadlineChar"/>
    <w:qFormat/>
    <w:rsid w:val="00617867"/>
    <w:rPr>
      <w:rFonts w:ascii="Segoe UI Semilight" w:hAnsi="Segoe UI Semilight" w:cs="Segoe UI Semilight"/>
      <w:b/>
      <w:bCs/>
      <w:color w:val="FFFFFF"/>
      <w:sz w:val="40"/>
      <w:szCs w:val="40"/>
    </w:rPr>
  </w:style>
  <w:style w:type="paragraph" w:customStyle="1" w:styleId="ExhibitTitle">
    <w:name w:val="Exhibit Title"/>
    <w:basedOn w:val="Normal"/>
    <w:qFormat/>
    <w:rsid w:val="0061786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17867"/>
    <w:pPr>
      <w:shd w:val="clear" w:color="auto" w:fill="D6E2FA"/>
      <w:spacing w:after="0"/>
    </w:pPr>
    <w:rPr>
      <w:color w:val="595959" w:themeColor="text1" w:themeTint="A6"/>
      <w:sz w:val="18"/>
    </w:rPr>
  </w:style>
  <w:style w:type="paragraph" w:customStyle="1" w:styleId="ExhibitSource">
    <w:name w:val="Exhibit Source"/>
    <w:next w:val="Normal"/>
    <w:qFormat/>
    <w:rsid w:val="0061786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617867"/>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617867"/>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17867"/>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61786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17867"/>
    <w:rPr>
      <w:rFonts w:ascii="Segoe UI" w:hAnsi="Segoe UI" w:cs="Segoe UI"/>
      <w:noProof w:val="0"/>
      <w:color w:val="000000" w:themeColor="text1"/>
    </w:rPr>
  </w:style>
  <w:style w:type="paragraph" w:customStyle="1" w:styleId="Summary">
    <w:name w:val="Summary"/>
    <w:basedOn w:val="Normal"/>
    <w:link w:val="SummaryChar"/>
    <w:qFormat/>
    <w:rsid w:val="00617867"/>
    <w:pPr>
      <w:numPr>
        <w:numId w:val="1"/>
      </w:numPr>
      <w:ind w:left="1797" w:hanging="357"/>
    </w:pPr>
    <w:rPr>
      <w:kern w:val="2"/>
      <w:sz w:val="22"/>
      <w14:ligatures w14:val="standardContextual"/>
    </w:rPr>
  </w:style>
  <w:style w:type="paragraph" w:customStyle="1" w:styleId="TableData">
    <w:name w:val="Table Data"/>
    <w:link w:val="TableDataChar"/>
    <w:qFormat/>
    <w:rsid w:val="0061786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17867"/>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1786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617867"/>
    <w:pPr>
      <w:spacing w:before="0" w:after="0"/>
      <w:jc w:val="right"/>
    </w:pPr>
    <w:rPr>
      <w:color w:val="003469"/>
      <w:sz w:val="24"/>
      <w:szCs w:val="24"/>
    </w:rPr>
  </w:style>
  <w:style w:type="paragraph" w:customStyle="1" w:styleId="Author">
    <w:name w:val="Author"/>
    <w:basedOn w:val="Bullet"/>
    <w:link w:val="AuthorChar"/>
    <w:qFormat/>
    <w:rsid w:val="00617867"/>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617867"/>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61786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1786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17867"/>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17867"/>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17867"/>
    <w:rPr>
      <w:color w:val="003469"/>
    </w:rPr>
  </w:style>
  <w:style w:type="character" w:customStyle="1" w:styleId="RepeatingFooterChar">
    <w:name w:val="Repeating Footer Char"/>
    <w:basedOn w:val="FooterChar"/>
    <w:link w:val="RepeatingFooter"/>
    <w:rsid w:val="0061786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1786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17867"/>
    <w:rPr>
      <w:b/>
      <w:bCs/>
      <w:noProof w:val="0"/>
    </w:rPr>
  </w:style>
  <w:style w:type="character" w:customStyle="1" w:styleId="Italics">
    <w:name w:val="Italics"/>
    <w:uiPriority w:val="1"/>
    <w:qFormat/>
    <w:rsid w:val="00617867"/>
    <w:rPr>
      <w:i/>
      <w:iCs/>
      <w:noProof w:val="0"/>
    </w:rPr>
  </w:style>
  <w:style w:type="table" w:customStyle="1" w:styleId="TableGridHeader">
    <w:name w:val="Table Grid Header"/>
    <w:basedOn w:val="TableNormal"/>
    <w:uiPriority w:val="99"/>
    <w:rsid w:val="0061786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y.oxfordeconomics.com/reports/2a96Ae262aD24bE09CfA1b" TargetMode="External"/><Relationship Id="rId26" Type="http://schemas.openxmlformats.org/officeDocument/2006/relationships/hyperlink" Target="https://my.oxfordeconomics.com/reportaction/25874aB62bF4475f95a716/Toc" TargetMode="External"/><Relationship Id="rId21" Type="http://schemas.openxmlformats.org/officeDocument/2006/relationships/image" Target="media/image12.svg"/><Relationship Id="rId34" Type="http://schemas.openxmlformats.org/officeDocument/2006/relationships/image" Target="media/image18.svg"/><Relationship Id="rId7" Type="http://schemas.openxmlformats.org/officeDocument/2006/relationships/hyperlink" Target="https://www.telegraph.co.uk/business/2025/08/23/rachel-reeves-britain-debt-bailout-1970s-imf-economy/" TargetMode="External"/><Relationship Id="rId12" Type="http://schemas.openxmlformats.org/officeDocument/2006/relationships/header" Target="header2.xml"/><Relationship Id="rId17" Type="http://schemas.openxmlformats.org/officeDocument/2006/relationships/image" Target="media/image10.svg"/><Relationship Id="rId25" Type="http://schemas.openxmlformats.org/officeDocument/2006/relationships/hyperlink" Target="https://www.telegraph.co.uk/business/2025/09/29/reeves-confirms-plan-to-water-down-obrs-influence/" TargetMode="External"/><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y.oxfordeconomics.com/reportaction/98e8437c15514b25844A82/Toc" TargetMode="External"/><Relationship Id="rId32" Type="http://schemas.openxmlformats.org/officeDocument/2006/relationships/image" Target="media/image16.sv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my.oxfordeconomics.com/reportaction/59bA3e7d34694340b809c0/Toc" TargetMode="External"/><Relationship Id="rId28" Type="http://schemas.openxmlformats.org/officeDocument/2006/relationships/image" Target="media/image13.png"/><Relationship Id="rId36" Type="http://schemas.openxmlformats.org/officeDocument/2006/relationships/glossaryDocument" Target="glossary/document.xml"/><Relationship Id="rId10" Type="http://schemas.openxmlformats.org/officeDocument/2006/relationships/image" Target="media/image2.svg"/><Relationship Id="rId19" Type="http://schemas.openxmlformats.org/officeDocument/2006/relationships/hyperlink" Target="https://my.oxfordeconomics.com/chapters/b49D0226b2764dC58A169d/UKAplanforgrowth-nex"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my.oxfordeconomics.com/reportaction/907F7782263A4e4483eDef/Toc" TargetMode="External"/><Relationship Id="rId27" Type="http://schemas.openxmlformats.org/officeDocument/2006/relationships/hyperlink" Target="https://my.oxfordeconomics.com/reportaction/9016FeD678CB41719Ca16e/Toc" TargetMode="External"/><Relationship Id="rId30" Type="http://schemas.openxmlformats.org/officeDocument/2006/relationships/hyperlink" Target="https://www.oxfordeconomics.com/service/subscription-services/macro/global-economic-model/" TargetMode="External"/><Relationship Id="rId35" Type="http://schemas.openxmlformats.org/officeDocument/2006/relationships/fontTable" Target="fontTable.xml"/><Relationship Id="rId8" Type="http://schemas.openxmlformats.org/officeDocument/2006/relationships/hyperlink" Target="https://my.oxfordeconomics.com/reportaction/98e8437c15514b25844A82/Toc"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81DB0B62-C250-4DE0-B558-C4D33D1BC0DF}"/>
      </w:docPartPr>
      <w:docPartBody>
        <w:p w:rsidR="004C7EBD" w:rsidRDefault="004C7EBD">
          <w:r w:rsidRPr="002D20F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BD"/>
    <w:rsid w:val="00021372"/>
    <w:rsid w:val="000B1527"/>
    <w:rsid w:val="002B7390"/>
    <w:rsid w:val="00336EEC"/>
    <w:rsid w:val="003928A2"/>
    <w:rsid w:val="003E6919"/>
    <w:rsid w:val="00402F39"/>
    <w:rsid w:val="004C7EBD"/>
    <w:rsid w:val="004F1390"/>
    <w:rsid w:val="005A6AE7"/>
    <w:rsid w:val="006408C5"/>
    <w:rsid w:val="006540C6"/>
    <w:rsid w:val="006C7BB6"/>
    <w:rsid w:val="008E6FFB"/>
    <w:rsid w:val="00910B51"/>
    <w:rsid w:val="009B76AB"/>
    <w:rsid w:val="009C2B46"/>
    <w:rsid w:val="00A80A3F"/>
    <w:rsid w:val="00D0272A"/>
    <w:rsid w:val="00EF29E9"/>
    <w:rsid w:val="00F01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2156</Words>
  <Characters>11169</Characters>
  <Application>Microsoft Office Word</Application>
  <DocSecurity>0</DocSecurity>
  <Lines>157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2025-10-09T08:07:00Z</dcterms:created>
  <dcterms:modified xsi:type="dcterms:W3CDTF">2025-10-09T09:43:00Z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2025-10-09T09:43:16.000Z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Briefing\20251009 RB UK Fiscal scenario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Themes:fiscal policy,financial markets</vt:lpwstr>
  </property>
  <property fmtid="{D5CDD505-2E9C-101B-9397-08002B2CF9AE}" pid="17" name="OEP_KEY_THEMES">
    <vt:lpwstr>fiscal policy,financial markets</vt:lpwstr>
  </property>
  <property fmtid="{D5CDD505-2E9C-101B-9397-08002B2CF9AE}" pid="18" name="GrammarlyDocumentId">
    <vt:lpwstr>882b48da-6e61-482b-adbc-c2338facc94d</vt:lpwstr>
  </property>
  <property fmtid="{D5CDD505-2E9C-101B-9397-08002B2CF9AE}" pid="19" name="OEP_PRODUCT_CODE">
    <vt:lpwstr>5b2F5277089249C6a9545d</vt:lpwstr>
  </property>
  <property fmtid="{D5CDD505-2E9C-101B-9397-08002B2CF9AE}" pid="20" name="OEP_PUBLISH_DATE">
    <vt:lpwstr>2025-10-09T09:42:32.000Z</vt:lpwstr>
  </property>
  <property fmtid="{D5CDD505-2E9C-101B-9397-08002B2CF9AE}" pid="21" name="OEP_CHART6">
    <vt:lpwstr>Chart - CPI inflation,Z:\UK Team\UK Research Briefing\20251009 RB UK Fiscal scenario - Charts.xlsx</vt:lpwstr>
  </property>
  <property fmtid="{D5CDD505-2E9C-101B-9397-08002B2CF9AE}" pid="22" name="OEP_DATA_FILEPATH">
    <vt:lpwstr>Z:\UK Team\UK Research Briefing\20251009 RB UK Fiscal scenario.xlsx</vt:lpwstr>
  </property>
  <property fmtid="{D5CDD505-2E9C-101B-9397-08002B2CF9AE}" pid="23" name="OEP_CHART6_DATA">
    <vt:lpwstr>Chart - CPI inflation,Z:\UK Team\UK Research Briefing\20251009 RB UK Fiscal scenario - Charts.xlsx</vt:lpwstr>
  </property>
  <property fmtid="{D5CDD505-2E9C-101B-9397-08002B2CF9AE}" pid="24" name="OEP_CHART5">
    <vt:lpwstr>Chart - Scenario GDP impact,Z:\UK Team\UK Research Briefing\20251009 RB UK Fiscal scenario - Charts.xlsx</vt:lpwstr>
  </property>
  <property fmtid="{D5CDD505-2E9C-101B-9397-08002B2CF9AE}" pid="25" name="OEP_CHART5_DATA">
    <vt:lpwstr>Chart - Scenario GDP impact,Z:\UK Team\UK Research Briefing\20251009 RB UK Fiscal scenario - Charts.xlsx</vt:lpwstr>
  </property>
  <property fmtid="{D5CDD505-2E9C-101B-9397-08002B2CF9AE}" pid="26" name="OEP_CHART4">
    <vt:lpwstr>Chart - RXD &amp; RLG,Z:\UK Team\UK Research Briefing\20251009 RB UK Fiscal scenario - Charts.xlsx</vt:lpwstr>
  </property>
  <property fmtid="{D5CDD505-2E9C-101B-9397-08002B2CF9AE}" pid="27" name="OEP_CHART4_DATA">
    <vt:lpwstr>Chart - RXD &amp; RLG,Z:\UK Team\UK Research Briefing\20251009 RB UK Fiscal scenario - Charts.xlsx</vt:lpwstr>
  </property>
</Properties>
</file>