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2A88" w14:textId="22004A6C" w:rsidR="005F74C3" w:rsidRDefault="00E24230" w:rsidP="00762FED">
      <w:pPr>
        <w:pStyle w:val="Bullet"/>
      </w:pPr>
      <w:r w:rsidRPr="00E24230">
        <w:t xml:space="preserve">We </w:t>
      </w:r>
      <w:r w:rsidR="005222F8">
        <w:t xml:space="preserve">expect the Monetary Policy Committee to hold Bank Rate at </w:t>
      </w:r>
      <w:r w:rsidR="00620BF5">
        <w:t xml:space="preserve">4% at next week's meeting. </w:t>
      </w:r>
      <w:r w:rsidR="009A2D25">
        <w:t>M</w:t>
      </w:r>
      <w:r w:rsidR="006F327D">
        <w:t xml:space="preserve">ost </w:t>
      </w:r>
      <w:r w:rsidR="009A2D25">
        <w:t>MPC</w:t>
      </w:r>
      <w:r w:rsidR="006F327D">
        <w:t xml:space="preserve"> members </w:t>
      </w:r>
      <w:r w:rsidR="00540FA5">
        <w:t xml:space="preserve">are </w:t>
      </w:r>
      <w:r w:rsidR="00693B00">
        <w:t xml:space="preserve">more concerned about the implications of cutting </w:t>
      </w:r>
      <w:r w:rsidR="00A01B72">
        <w:t xml:space="preserve">rates </w:t>
      </w:r>
      <w:r w:rsidR="00693B00">
        <w:t xml:space="preserve">too </w:t>
      </w:r>
      <w:r w:rsidR="00B57781">
        <w:t>quickly</w:t>
      </w:r>
      <w:r w:rsidR="00693B00">
        <w:t xml:space="preserve"> than</w:t>
      </w:r>
      <w:r w:rsidR="00A01B72">
        <w:t xml:space="preserve"> too slowly</w:t>
      </w:r>
      <w:r w:rsidR="00B57781">
        <w:t>, and will want to see</w:t>
      </w:r>
      <w:r w:rsidR="00A17986">
        <w:t xml:space="preserve"> </w:t>
      </w:r>
      <w:r w:rsidR="00F820E4">
        <w:t xml:space="preserve">evidence of sustained downside surprises in the data </w:t>
      </w:r>
      <w:r w:rsidR="006A7ED4">
        <w:t xml:space="preserve">and </w:t>
      </w:r>
      <w:r w:rsidR="00D10F83">
        <w:t>that</w:t>
      </w:r>
      <w:r w:rsidR="006A7ED4">
        <w:t xml:space="preserve"> pay growth</w:t>
      </w:r>
      <w:r w:rsidR="00D10F83">
        <w:t xml:space="preserve"> will</w:t>
      </w:r>
      <w:r w:rsidR="006A7ED4">
        <w:t xml:space="preserve"> slow to a target-consistent pace next year </w:t>
      </w:r>
      <w:r w:rsidR="00B57781">
        <w:t>b</w:t>
      </w:r>
      <w:r w:rsidR="007E0FFC">
        <w:t>e</w:t>
      </w:r>
      <w:r w:rsidR="00B57781">
        <w:t>f</w:t>
      </w:r>
      <w:r w:rsidR="007E0FFC">
        <w:t>o</w:t>
      </w:r>
      <w:r w:rsidR="00B57781">
        <w:t xml:space="preserve">re </w:t>
      </w:r>
      <w:r w:rsidR="007E0FFC">
        <w:t>voting to cut again</w:t>
      </w:r>
      <w:r w:rsidR="00F820E4">
        <w:t>.</w:t>
      </w:r>
    </w:p>
    <w:p w14:paraId="6EEB89DD" w14:textId="0CAB333F" w:rsidR="002017F0" w:rsidRDefault="008965AF" w:rsidP="00762FED">
      <w:pPr>
        <w:pStyle w:val="Bullet"/>
      </w:pPr>
      <w:r>
        <w:t xml:space="preserve">Changes </w:t>
      </w:r>
      <w:r w:rsidR="001F01FD">
        <w:t xml:space="preserve">to </w:t>
      </w:r>
      <w:r w:rsidR="004011AB">
        <w:t xml:space="preserve">the Monetary Policy Statement </w:t>
      </w:r>
      <w:r w:rsidR="00BF3F27">
        <w:t xml:space="preserve">will be key to the MPC's communications </w:t>
      </w:r>
      <w:r w:rsidR="007F2668">
        <w:t xml:space="preserve">in the coming months. </w:t>
      </w:r>
      <w:r w:rsidR="00757DCC">
        <w:t>The new format will attempt</w:t>
      </w:r>
      <w:r w:rsidR="00646724">
        <w:t xml:space="preserve"> to </w:t>
      </w:r>
      <w:r w:rsidR="00A90FDF">
        <w:t xml:space="preserve">better describe the centre of gravity on the committee and give individual members space to explain </w:t>
      </w:r>
      <w:r w:rsidR="009F5A61">
        <w:t>their decisions and outlook.</w:t>
      </w:r>
    </w:p>
    <w:p w14:paraId="5A46515D" w14:textId="076C77A5" w:rsidR="00646724" w:rsidRDefault="00994A9B" w:rsidP="00762FED">
      <w:pPr>
        <w:pStyle w:val="Bullet"/>
      </w:pPr>
      <w:r>
        <w:t>Those towards the centre of the</w:t>
      </w:r>
      <w:r w:rsidR="00803740">
        <w:t xml:space="preserve"> </w:t>
      </w:r>
      <w:r w:rsidR="001162A0">
        <w:t xml:space="preserve">MPC </w:t>
      </w:r>
      <w:r>
        <w:t xml:space="preserve">might be non-committal </w:t>
      </w:r>
      <w:r w:rsidR="00145898">
        <w:t xml:space="preserve">on the timing and pace of future rate cuts until they've seen </w:t>
      </w:r>
      <w:r w:rsidR="00A613E0">
        <w:t>the contents of the</w:t>
      </w:r>
      <w:r w:rsidR="00EA18F0">
        <w:t xml:space="preserve"> </w:t>
      </w:r>
      <w:r w:rsidR="00A613E0">
        <w:t>Budget on November 26</w:t>
      </w:r>
      <w:r w:rsidR="004066B1">
        <w:t>,</w:t>
      </w:r>
      <w:r w:rsidR="00A613E0">
        <w:t xml:space="preserve"> </w:t>
      </w:r>
      <w:r w:rsidR="00634179">
        <w:t xml:space="preserve">the two labour market and inflation releases </w:t>
      </w:r>
      <w:r w:rsidR="00803740">
        <w:t xml:space="preserve">published </w:t>
      </w:r>
      <w:r w:rsidR="000119AC">
        <w:t>ahead of December's meeting</w:t>
      </w:r>
      <w:r w:rsidR="004066B1">
        <w:t>, and more clarity on the size of next year's pay settlements.</w:t>
      </w:r>
    </w:p>
    <w:p w14:paraId="617B9703" w14:textId="19DDF96D" w:rsidR="006C2948" w:rsidRDefault="00F33706" w:rsidP="00762FED">
      <w:r>
        <w:t xml:space="preserve">The Bank of England's Monetary Policy </w:t>
      </w:r>
      <w:r w:rsidR="0099201A">
        <w:t xml:space="preserve">Committee </w:t>
      </w:r>
      <w:r w:rsidR="006442C0">
        <w:t xml:space="preserve">has been following a 'cut-hold' </w:t>
      </w:r>
      <w:r w:rsidR="00885712">
        <w:t>tempo since it kicked off its rate-cutting cycle in August 2024.</w:t>
      </w:r>
      <w:r w:rsidR="00D67DCC">
        <w:t xml:space="preserve"> </w:t>
      </w:r>
      <w:r w:rsidR="006C2948">
        <w:t>But t</w:t>
      </w:r>
      <w:r w:rsidR="00554FE5">
        <w:t>hough the MPC</w:t>
      </w:r>
      <w:r w:rsidR="00AF3DE2">
        <w:t xml:space="preserve"> cut again in August, there was a clear change of messaging </w:t>
      </w:r>
      <w:r w:rsidR="00554FE5">
        <w:t xml:space="preserve">in the minutes of that meeting and </w:t>
      </w:r>
      <w:r w:rsidR="00DF16F8">
        <w:t xml:space="preserve">at </w:t>
      </w:r>
      <w:r w:rsidR="00554FE5">
        <w:t xml:space="preserve">the September </w:t>
      </w:r>
      <w:r w:rsidR="00EA2957">
        <w:t>meeting</w:t>
      </w:r>
      <w:r w:rsidR="00554FE5">
        <w:t xml:space="preserve">, </w:t>
      </w:r>
      <w:r w:rsidR="00BE235E">
        <w:t>making clear that t</w:t>
      </w:r>
      <w:r w:rsidR="00FD1104">
        <w:t>he majority were more concerned about the prospect of inflation remaining high</w:t>
      </w:r>
      <w:r w:rsidR="00236289">
        <w:t>.</w:t>
      </w:r>
      <w:r w:rsidR="00E416B4">
        <w:t xml:space="preserve"> </w:t>
      </w:r>
      <w:r w:rsidR="00716475">
        <w:t xml:space="preserve">In our view, this change of emphasis </w:t>
      </w:r>
      <w:r w:rsidR="003C4CF7">
        <w:t>made a November hold likely, unless there were major downside surprises in the inflation data.</w:t>
      </w:r>
    </w:p>
    <w:p w14:paraId="4C9A6232" w14:textId="5B79A2F7" w:rsidR="00E416B4" w:rsidRDefault="005B3F73" w:rsidP="003D0DBC">
      <w:r>
        <w:t xml:space="preserve">The MPC's </w:t>
      </w:r>
      <w:r w:rsidR="00A74B8F">
        <w:t xml:space="preserve">worries were two-fold. First, </w:t>
      </w:r>
      <w:r w:rsidR="0045100C">
        <w:t xml:space="preserve">the lack of passthrough </w:t>
      </w:r>
      <w:r w:rsidR="00E07580">
        <w:t>from slowing pay growth to services inflation</w:t>
      </w:r>
      <w:r w:rsidR="00A74B8F">
        <w:t>. And second</w:t>
      </w:r>
      <w:r w:rsidR="006311F0">
        <w:t>,</w:t>
      </w:r>
      <w:r w:rsidR="000C47A4">
        <w:t xml:space="preserve"> </w:t>
      </w:r>
      <w:r w:rsidR="00435B6C">
        <w:t xml:space="preserve">that high inflation in salient categories, such as food, </w:t>
      </w:r>
      <w:r w:rsidR="006358C0">
        <w:t>risks</w:t>
      </w:r>
      <w:r w:rsidR="00435B6C">
        <w:t xml:space="preserve"> </w:t>
      </w:r>
      <w:r w:rsidR="00463880">
        <w:t xml:space="preserve">keeping inflation expectations elevated or even </w:t>
      </w:r>
      <w:r w:rsidR="00435B6C">
        <w:t>push</w:t>
      </w:r>
      <w:r w:rsidR="00A05125">
        <w:t>ing</w:t>
      </w:r>
      <w:r w:rsidR="00435B6C">
        <w:t xml:space="preserve"> </w:t>
      </w:r>
      <w:r w:rsidR="00463880">
        <w:t xml:space="preserve">them </w:t>
      </w:r>
      <w:r w:rsidR="00435B6C">
        <w:t xml:space="preserve">up </w:t>
      </w:r>
      <w:r w:rsidR="00463880">
        <w:t>further</w:t>
      </w:r>
      <w:r w:rsidR="00435B6C">
        <w:t>.</w:t>
      </w:r>
    </w:p>
    <w:p w14:paraId="2F5AC17C" w14:textId="55346572" w:rsidR="00BB2A2F" w:rsidRDefault="00BB2A2F" w:rsidP="00BB2A2F">
      <w:r>
        <w:t>On balance, data published since the September meeting should help to slightly ease some of the MPC's worries about above-target inflation persisting. Though there are caveats behind some of the softer outturns, it has broadly come in a bit weaker than forecast by BoE staff in August's Monetary Policy Report.</w:t>
      </w:r>
      <w:r w:rsidR="00570D85">
        <w:t xml:space="preserve"> But it's unlikely to be enough to convince a majority to back a November rate cut.</w:t>
      </w:r>
    </w:p>
    <w:p w14:paraId="5B6BD816" w14:textId="157292EB" w:rsidR="00762FED" w:rsidRDefault="00762FED" w:rsidP="003D0DBC">
      <w:pPr>
        <w:pStyle w:val="ExhibitTitle"/>
        <w:jc w:val="center"/>
      </w:pPr>
      <w:bookmarkStart w:id="0" w:name="_Ref212465335"/>
      <w:r>
        <w:t xml:space="preserve">Chart </w:t>
      </w:r>
      <w:r>
        <w:fldChar w:fldCharType="begin"/>
      </w:r>
      <w:r w:rsidR="005B6305">
        <w:instrText>SEQ CHART</w:instrText>
      </w:r>
      <w:r>
        <w:fldChar w:fldCharType="separate"/>
      </w:r>
      <w:r w:rsidR="009A43A2">
        <w:rPr>
          <w:noProof/>
        </w:rPr>
        <w:t>1</w:t>
      </w:r>
      <w:r>
        <w:fldChar w:fldCharType="end"/>
      </w:r>
      <w:bookmarkEnd w:id="0"/>
      <w:r>
        <w:t xml:space="preserve">: </w:t>
      </w:r>
      <w:r w:rsidR="00C548E2">
        <w:t xml:space="preserve">Recent </w:t>
      </w:r>
      <w:r w:rsidR="00F61743">
        <w:t xml:space="preserve">services inflation and pay growth </w:t>
      </w:r>
      <w:r w:rsidR="00216D1B">
        <w:t>outturns</w:t>
      </w:r>
      <w:r w:rsidR="00F61743">
        <w:t xml:space="preserve"> have</w:t>
      </w:r>
      <w:r w:rsidR="00DD4AE1">
        <w:t xml:space="preserve"> slightly</w:t>
      </w:r>
      <w:r w:rsidR="00F61743">
        <w:t xml:space="preserve"> undershot BoE staff projections</w:t>
      </w:r>
    </w:p>
    <w:p w14:paraId="0ABCDE09" w14:textId="07782154" w:rsidR="003D0DBC" w:rsidRDefault="003D0DBC" w:rsidP="003D0DBC">
      <w:pPr>
        <w:spacing w:after="0"/>
        <w:jc w:val="center"/>
      </w:pPr>
      <w:r>
        <w:rPr>
          <w:noProof/>
        </w:rPr>
        <w:drawing>
          <wp:inline distT="0" distB="0" distL="0" distR="0" wp14:anchorId="26A33815" wp14:editId="757227B3">
            <wp:extent cx="4006964" cy="3132464"/>
            <wp:effectExtent l="0" t="0" r="0" b="0"/>
            <wp:docPr id="12645506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50674" name=""/>
                    <pic:cNvPicPr/>
                  </pic:nvPicPr>
                  <pic:blipFill>
                    <a:blip r:embed="rId7">
                      <a:extLst>
                        <a:ext uri="{96DAC541-7B7A-43D3-8B79-37D633B846F1}">
                          <asvg:svgBlip xmlns:asvg="http://schemas.microsoft.com/office/drawing/2016/SVG/main" r:embed="rId8"/>
                        </a:ext>
                      </a:extLst>
                    </a:blip>
                    <a:srcRect b="2283"/>
                    <a:stretch>
                      <a:fillRect/>
                    </a:stretch>
                  </pic:blipFill>
                  <pic:spPr>
                    <a:xfrm>
                      <a:off x="0" y="0"/>
                      <a:ext cx="4006964" cy="3132464"/>
                    </a:xfrm>
                    <a:prstGeom prst="rect">
                      <a:avLst/>
                    </a:prstGeom>
                  </pic:spPr>
                </pic:pic>
              </a:graphicData>
            </a:graphic>
          </wp:inline>
        </w:drawing>
      </w:r>
    </w:p>
    <w:p w14:paraId="248F6193" w14:textId="7C385395" w:rsidR="00762FED" w:rsidRDefault="003D0DBC" w:rsidP="003D0DBC">
      <w:pPr>
        <w:pStyle w:val="ExhibitSource"/>
        <w:jc w:val="center"/>
      </w:pPr>
      <w:r>
        <w:t>Sources: Haver Analytics, Bank of England Monetary Policy Report</w:t>
      </w:r>
    </w:p>
    <w:p w14:paraId="2E70DFBB" w14:textId="404B51D6" w:rsidR="00762FED" w:rsidRDefault="00762FED" w:rsidP="00762FED">
      <w:pPr>
        <w:pStyle w:val="ExhibitSource"/>
        <w:jc w:val="center"/>
        <w:sectPr w:rsidR="00762FED" w:rsidSect="003D0DBC">
          <w:headerReference w:type="even" r:id="rId9"/>
          <w:headerReference w:type="default" r:id="rId10"/>
          <w:footerReference w:type="even" r:id="rId11"/>
          <w:footerReference w:type="default" r:id="rId12"/>
          <w:headerReference w:type="first" r:id="rId13"/>
          <w:footerReference w:type="first" r:id="rId14"/>
          <w:pgSz w:w="11906" w:h="16838"/>
          <w:pgMar w:top="2665" w:right="1276" w:bottom="838" w:left="1134" w:header="708" w:footer="300" w:gutter="0"/>
          <w:cols w:space="708"/>
          <w:titlePg/>
          <w:docGrid w:linePitch="360"/>
        </w:sectPr>
      </w:pPr>
    </w:p>
    <w:p w14:paraId="6C945D4D" w14:textId="6A197032" w:rsidR="003A0517" w:rsidRDefault="002778CE" w:rsidP="00762FED">
      <w:r>
        <w:lastRenderedPageBreak/>
        <w:t xml:space="preserve">September's </w:t>
      </w:r>
      <w:hyperlink r:id="rId15" w:history="1">
        <w:r w:rsidRPr="00A1137A">
          <w:rPr>
            <w:rStyle w:val="Hyperlink"/>
          </w:rPr>
          <w:t>CPI inflation</w:t>
        </w:r>
      </w:hyperlink>
      <w:r>
        <w:t xml:space="preserve"> reading </w:t>
      </w:r>
      <w:r w:rsidR="00696880">
        <w:t>was unchanged at 3.8%</w:t>
      </w:r>
      <w:r w:rsidR="00E51C02">
        <w:t xml:space="preserve">, 0.2ppts </w:t>
      </w:r>
      <w:r w:rsidR="006161C0">
        <w:t xml:space="preserve">below the BoE's forecast. </w:t>
      </w:r>
      <w:r w:rsidR="00B60C50">
        <w:t xml:space="preserve">The undershoot was largely </w:t>
      </w:r>
      <w:r w:rsidR="00CC33DB">
        <w:t>down to two</w:t>
      </w:r>
      <w:r w:rsidR="005E4092">
        <w:t xml:space="preserve"> factors. </w:t>
      </w:r>
      <w:r w:rsidR="00742CCC">
        <w:t xml:space="preserve">First, </w:t>
      </w:r>
      <w:r w:rsidR="000D0D9E">
        <w:t xml:space="preserve">services </w:t>
      </w:r>
      <w:r w:rsidR="003360B4">
        <w:t>inflation remained at 4.7%</w:t>
      </w:r>
      <w:r w:rsidR="00C56B62">
        <w:t xml:space="preserve">, </w:t>
      </w:r>
      <w:r w:rsidR="009B4556">
        <w:t xml:space="preserve">0.3ppts below </w:t>
      </w:r>
      <w:r w:rsidR="00C56B62">
        <w:t>the BoE's projection (</w:t>
      </w:r>
      <w:r w:rsidR="005B6305" w:rsidRPr="00B55288">
        <w:rPr>
          <w:b/>
          <w:color w:val="003469"/>
        </w:rPr>
        <w:fldChar w:fldCharType="begin"/>
      </w:r>
      <w:r w:rsidR="00B55288" w:rsidRPr="00B55288">
        <w:rPr>
          <w:b/>
          <w:color w:val="003469"/>
        </w:rPr>
        <w:instrText xml:space="preserve">REF _Ref212465335 \h \* Charformat </w:instrText>
      </w:r>
      <w:r w:rsidR="005B6305" w:rsidRPr="00B55288">
        <w:rPr>
          <w:b/>
          <w:color w:val="003469"/>
        </w:rPr>
      </w:r>
      <w:r w:rsidR="005B6305" w:rsidRPr="00B55288">
        <w:rPr>
          <w:b/>
          <w:color w:val="003469"/>
        </w:rPr>
        <w:fldChar w:fldCharType="separate"/>
      </w:r>
      <w:r w:rsidR="00B55288" w:rsidRPr="00B55288">
        <w:rPr>
          <w:b/>
          <w:color w:val="003469"/>
        </w:rPr>
        <w:t>Chart 1</w:t>
      </w:r>
      <w:r w:rsidR="005B6305" w:rsidRPr="00B55288">
        <w:rPr>
          <w:b/>
          <w:color w:val="003469"/>
        </w:rPr>
        <w:fldChar w:fldCharType="end"/>
      </w:r>
      <w:r w:rsidR="00C56B62">
        <w:t>)</w:t>
      </w:r>
      <w:r w:rsidR="00FE5B11">
        <w:t>. This was d</w:t>
      </w:r>
      <w:r w:rsidR="00CC33DB">
        <w:t xml:space="preserve">ue </w:t>
      </w:r>
      <w:r w:rsidR="00F572E0">
        <w:t xml:space="preserve">to </w:t>
      </w:r>
      <w:r w:rsidR="00CC33DB">
        <w:t xml:space="preserve">a </w:t>
      </w:r>
      <w:r w:rsidR="00993C19">
        <w:t>mixture</w:t>
      </w:r>
      <w:r w:rsidR="00CC33DB">
        <w:t xml:space="preserve"> </w:t>
      </w:r>
      <w:r w:rsidR="00194630">
        <w:t xml:space="preserve">of </w:t>
      </w:r>
      <w:r w:rsidR="00811FCF">
        <w:t xml:space="preserve">temporary </w:t>
      </w:r>
      <w:r w:rsidR="00194630">
        <w:t xml:space="preserve">movements in volatile </w:t>
      </w:r>
      <w:r w:rsidR="00275127">
        <w:t>sub-categories</w:t>
      </w:r>
      <w:r w:rsidR="00FD28FD">
        <w:t xml:space="preserve"> </w:t>
      </w:r>
      <w:r w:rsidR="00F572E0" w:rsidRPr="00F572E0">
        <w:t>–</w:t>
      </w:r>
      <w:r w:rsidR="00275127">
        <w:t xml:space="preserve"> including </w:t>
      </w:r>
      <w:r w:rsidR="0074752E">
        <w:t xml:space="preserve">air fares and live music </w:t>
      </w:r>
      <w:r w:rsidR="0074752E" w:rsidRPr="0074752E">
        <w:t>–</w:t>
      </w:r>
      <w:r w:rsidR="00FD28FD">
        <w:t xml:space="preserve"> and a genuine cooling </w:t>
      </w:r>
      <w:r w:rsidR="00811FCF">
        <w:t xml:space="preserve">in </w:t>
      </w:r>
      <w:r w:rsidR="00F408F4">
        <w:t xml:space="preserve">the MPC's </w:t>
      </w:r>
      <w:r w:rsidR="00227663">
        <w:t xml:space="preserve">favoured </w:t>
      </w:r>
      <w:r w:rsidR="00F408F4">
        <w:t xml:space="preserve">measure of underlying services inflation, which </w:t>
      </w:r>
      <w:r w:rsidR="001146B3">
        <w:t xml:space="preserve">excludes </w:t>
      </w:r>
      <w:r w:rsidR="00B65C3E">
        <w:t>indexed prices and some of the more volatile components.</w:t>
      </w:r>
      <w:r w:rsidR="009E4CD3">
        <w:t xml:space="preserve"> Second, </w:t>
      </w:r>
      <w:r w:rsidR="00C161C3">
        <w:t>there was an unusually weak outturn for food prices in September</w:t>
      </w:r>
      <w:r w:rsidR="00954CAD">
        <w:t xml:space="preserve"> that left inflation in </w:t>
      </w:r>
      <w:r w:rsidR="009B4556">
        <w:t xml:space="preserve">that </w:t>
      </w:r>
      <w:r w:rsidR="00954CAD">
        <w:t xml:space="preserve">category running 0.5ppts below the BoE's forecast. </w:t>
      </w:r>
      <w:r w:rsidR="00392C24">
        <w:t>However,</w:t>
      </w:r>
      <w:r w:rsidR="00954CAD">
        <w:t xml:space="preserve"> the Office for National Statistics suggested this was partly the result of greater discounting and sales efforts, which are unlikely </w:t>
      </w:r>
      <w:r w:rsidR="00EB4F5E">
        <w:t xml:space="preserve">to </w:t>
      </w:r>
      <w:r w:rsidR="00954CAD">
        <w:t>be sustained.</w:t>
      </w:r>
    </w:p>
    <w:p w14:paraId="3DD66699" w14:textId="2CF93BEF" w:rsidR="00C161C3" w:rsidRDefault="006413EE" w:rsidP="00762FED">
      <w:r>
        <w:t xml:space="preserve">It </w:t>
      </w:r>
      <w:r w:rsidR="00DF16F8">
        <w:t>appears</w:t>
      </w:r>
      <w:r>
        <w:t xml:space="preserve"> we're</w:t>
      </w:r>
      <w:r w:rsidR="009A4A5F">
        <w:t xml:space="preserve"> now</w:t>
      </w:r>
      <w:r>
        <w:t xml:space="preserve"> likely to avoid a 4% reading for CPI, a rate that </w:t>
      </w:r>
      <w:r w:rsidR="00C629BA">
        <w:t xml:space="preserve">BoE research found could trigger higher inflation expectations. </w:t>
      </w:r>
      <w:r w:rsidR="006E0B54">
        <w:t xml:space="preserve">And with some tentative evidence that cooling pay growth might finally be passing through into inflation, </w:t>
      </w:r>
      <w:r w:rsidR="00134087">
        <w:t xml:space="preserve">the bar to </w:t>
      </w:r>
      <w:r w:rsidR="00DF16F8">
        <w:t>additional</w:t>
      </w:r>
      <w:r w:rsidR="00134087">
        <w:t xml:space="preserve"> rate cuts looks a little lower. But </w:t>
      </w:r>
      <w:r w:rsidR="001D00EB">
        <w:t xml:space="preserve">the MPC is unlikely to draw any firm conclusions on one month's worth of data, and will want to see more sustained evidence that </w:t>
      </w:r>
      <w:r w:rsidR="00C44591">
        <w:t>underlying inflationary pressures are softening before cutting again</w:t>
      </w:r>
      <w:r w:rsidR="00DF16F8">
        <w:t>.</w:t>
      </w:r>
    </w:p>
    <w:p w14:paraId="6D3F2607" w14:textId="0BF56FE9" w:rsidR="006247CB" w:rsidRDefault="00E403AD" w:rsidP="00E403AD">
      <w:hyperlink r:id="rId16" w:history="1">
        <w:r w:rsidRPr="00D57AF7">
          <w:rPr>
            <w:rStyle w:val="Hyperlink"/>
          </w:rPr>
          <w:t xml:space="preserve">Private sector </w:t>
        </w:r>
        <w:r w:rsidR="00D57AF7" w:rsidRPr="00D57AF7">
          <w:rPr>
            <w:rStyle w:val="Hyperlink"/>
          </w:rPr>
          <w:t xml:space="preserve">regular </w:t>
        </w:r>
        <w:r w:rsidRPr="00D57AF7">
          <w:rPr>
            <w:rStyle w:val="Hyperlink"/>
          </w:rPr>
          <w:t>pay growth</w:t>
        </w:r>
      </w:hyperlink>
      <w:r w:rsidR="00F06B86" w:rsidRPr="00F06B86">
        <w:t xml:space="preserve"> – the MPC's preferred measure of pay growth –</w:t>
      </w:r>
      <w:r w:rsidR="00F06B86">
        <w:t xml:space="preserve"> has been slightly weaker </w:t>
      </w:r>
      <w:r w:rsidR="00F06B86" w:rsidRPr="00F06B86">
        <w:t xml:space="preserve">than the MPC expected in recent months, but still remains </w:t>
      </w:r>
      <w:r w:rsidR="00463880">
        <w:t>around 1ppt</w:t>
      </w:r>
      <w:r w:rsidR="00F06B86" w:rsidRPr="00F06B86">
        <w:t xml:space="preserve"> above a pace that would be consistent with sustainably meeting the committee's 2% inflation target in the medium term.</w:t>
      </w:r>
      <w:r w:rsidR="00812AEA">
        <w:t xml:space="preserve"> </w:t>
      </w:r>
    </w:p>
    <w:p w14:paraId="4A01C47D" w14:textId="028119C6" w:rsidR="006976CE" w:rsidRDefault="00A2658F" w:rsidP="00A44D3C">
      <w:r>
        <w:t>T</w:t>
      </w:r>
      <w:r w:rsidR="00DB74E4">
        <w:t xml:space="preserve">he MPC's </w:t>
      </w:r>
      <w:r w:rsidR="00551872">
        <w:t>view on the evolution of pay growth</w:t>
      </w:r>
      <w:r w:rsidR="0044310E">
        <w:t xml:space="preserve"> beyond the near term</w:t>
      </w:r>
      <w:r w:rsidR="00551872">
        <w:t xml:space="preserve"> will be driven by </w:t>
      </w:r>
      <w:r w:rsidR="0044310E">
        <w:t>how</w:t>
      </w:r>
      <w:r w:rsidR="00463880">
        <w:t xml:space="preserve"> next year's pay settlements and</w:t>
      </w:r>
      <w:r w:rsidR="0044310E">
        <w:t xml:space="preserve"> labour market </w:t>
      </w:r>
      <w:r w:rsidR="004476E1">
        <w:t>conditions are developing more broadly</w:t>
      </w:r>
      <w:r w:rsidR="00CD627E">
        <w:t xml:space="preserve">. </w:t>
      </w:r>
      <w:r w:rsidR="00463880">
        <w:t>T</w:t>
      </w:r>
      <w:r w:rsidR="00281783">
        <w:t xml:space="preserve">he BoE's </w:t>
      </w:r>
      <w:hyperlink r:id="rId17" w:history="1">
        <w:r w:rsidR="00281783" w:rsidRPr="00463880">
          <w:rPr>
            <w:rStyle w:val="Hyperlink"/>
          </w:rPr>
          <w:t>Decision Maker Panel</w:t>
        </w:r>
      </w:hyperlink>
      <w:r w:rsidR="00281783">
        <w:t xml:space="preserve"> for September reported </w:t>
      </w:r>
      <w:r w:rsidR="000D6A43">
        <w:t xml:space="preserve">that past and future pay growth </w:t>
      </w:r>
      <w:r w:rsidR="006C3DFA">
        <w:t>appear to have</w:t>
      </w:r>
      <w:r w:rsidR="00A441C6">
        <w:t xml:space="preserve"> stabilised at a relatively high level (</w:t>
      </w:r>
      <w:r w:rsidR="005B6305" w:rsidRPr="00B55288">
        <w:rPr>
          <w:b/>
          <w:color w:val="003469"/>
        </w:rPr>
        <w:fldChar w:fldCharType="begin"/>
      </w:r>
      <w:r w:rsidR="00B55288" w:rsidRPr="00B55288">
        <w:rPr>
          <w:b/>
          <w:color w:val="003469"/>
        </w:rPr>
        <w:instrText xml:space="preserve">REF _Ref212465336 \h \* Charformat </w:instrText>
      </w:r>
      <w:r w:rsidR="005B6305" w:rsidRPr="00B55288">
        <w:rPr>
          <w:b/>
          <w:color w:val="003469"/>
        </w:rPr>
      </w:r>
      <w:r w:rsidR="005B6305" w:rsidRPr="00B55288">
        <w:rPr>
          <w:b/>
          <w:color w:val="003469"/>
        </w:rPr>
        <w:fldChar w:fldCharType="separate"/>
      </w:r>
      <w:r w:rsidR="00B55288" w:rsidRPr="00B55288">
        <w:rPr>
          <w:b/>
          <w:color w:val="003469"/>
        </w:rPr>
        <w:t>Chart 2</w:t>
      </w:r>
      <w:r w:rsidR="005B6305" w:rsidRPr="00B55288">
        <w:rPr>
          <w:b/>
          <w:color w:val="003469"/>
        </w:rPr>
        <w:fldChar w:fldCharType="end"/>
      </w:r>
      <w:r w:rsidR="00A441C6">
        <w:t xml:space="preserve">). </w:t>
      </w:r>
      <w:r w:rsidR="00463880">
        <w:t xml:space="preserve">Meanwhile, the BoE's Agents report that pay deals are likely to be in </w:t>
      </w:r>
      <w:r w:rsidR="00DF16F8">
        <w:t>the</w:t>
      </w:r>
      <w:r w:rsidR="00463880">
        <w:t xml:space="preserve"> 2</w:t>
      </w:r>
      <w:r w:rsidR="00DF16F8">
        <w:t>%</w:t>
      </w:r>
      <w:r w:rsidR="00463880">
        <w:t xml:space="preserve">-4% range, but </w:t>
      </w:r>
      <w:r w:rsidR="00DF16F8">
        <w:t xml:space="preserve">they </w:t>
      </w:r>
      <w:r w:rsidR="00463880">
        <w:t xml:space="preserve">will be doing a full survey of firms </w:t>
      </w:r>
      <w:r w:rsidR="00DF16F8">
        <w:t>over</w:t>
      </w:r>
      <w:r w:rsidR="00463880">
        <w:t xml:space="preserve"> the next couple of months. Elsewhere, measures of hiring intentions remain soft, but </w:t>
      </w:r>
      <w:r w:rsidR="006812A2" w:rsidRPr="006812A2">
        <w:t xml:space="preserve">HMRC's latest count of employees on payrolls suggested that job losses </w:t>
      </w:r>
      <w:r w:rsidR="004A6670">
        <w:t>are</w:t>
      </w:r>
      <w:r w:rsidR="006812A2" w:rsidRPr="006812A2">
        <w:t xml:space="preserve"> starting to bottom out</w:t>
      </w:r>
      <w:r w:rsidR="00816865">
        <w:t xml:space="preserve">, providing tentative evidence that </w:t>
      </w:r>
      <w:r w:rsidR="006247CB" w:rsidRPr="006247CB">
        <w:t>the drag from April's employee national insurance contributions increase is beginning to fade</w:t>
      </w:r>
      <w:r w:rsidR="006247CB">
        <w:t>.</w:t>
      </w:r>
    </w:p>
    <w:p w14:paraId="10581A30" w14:textId="1FBA3277" w:rsidR="00762FED" w:rsidRDefault="00762FED" w:rsidP="00EE24D4">
      <w:pPr>
        <w:pStyle w:val="ExhibitTitle"/>
      </w:pPr>
      <w:bookmarkStart w:id="1" w:name="_Ref212465336"/>
      <w:r>
        <w:t xml:space="preserve">Chart </w:t>
      </w:r>
      <w:r>
        <w:fldChar w:fldCharType="begin"/>
      </w:r>
      <w:r w:rsidR="005B6305">
        <w:instrText>SEQ CHART</w:instrText>
      </w:r>
      <w:r>
        <w:fldChar w:fldCharType="separate"/>
      </w:r>
      <w:r w:rsidR="009A43A2">
        <w:rPr>
          <w:noProof/>
        </w:rPr>
        <w:t>2</w:t>
      </w:r>
      <w:r>
        <w:fldChar w:fldCharType="end"/>
      </w:r>
      <w:bookmarkEnd w:id="1"/>
      <w:r>
        <w:t xml:space="preserve">: </w:t>
      </w:r>
      <w:r w:rsidR="008A3432">
        <w:t>Wage pressures appear</w:t>
      </w:r>
      <w:r w:rsidR="00E545D5">
        <w:t xml:space="preserve"> to have stabilised at an elevated level</w:t>
      </w:r>
    </w:p>
    <w:p w14:paraId="5E90B936" w14:textId="2D12240A" w:rsidR="00A44D3C" w:rsidRDefault="00A44D3C" w:rsidP="00EE24D4">
      <w:pPr>
        <w:spacing w:after="0"/>
      </w:pPr>
      <w:r>
        <w:rPr>
          <w:noProof/>
        </w:rPr>
        <w:drawing>
          <wp:inline distT="0" distB="0" distL="0" distR="0" wp14:anchorId="2BFD5C64" wp14:editId="777ED849">
            <wp:extent cx="3250933" cy="2566074"/>
            <wp:effectExtent l="0" t="0" r="6985" b="5715"/>
            <wp:docPr id="50377338"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7338" name=""/>
                    <pic:cNvPicPr/>
                  </pic:nvPicPr>
                  <pic:blipFill>
                    <a:blip r:embed="rId18">
                      <a:extLst>
                        <a:ext uri="{96DAC541-7B7A-43D3-8B79-37D633B846F1}">
                          <asvg:svgBlip xmlns:asvg="http://schemas.microsoft.com/office/drawing/2016/SVG/main" r:embed="rId19"/>
                        </a:ext>
                      </a:extLst>
                    </a:blip>
                    <a:srcRect b="1258"/>
                    <a:stretch>
                      <a:fillRect/>
                    </a:stretch>
                  </pic:blipFill>
                  <pic:spPr>
                    <a:xfrm>
                      <a:off x="0" y="0"/>
                      <a:ext cx="3250933" cy="2566074"/>
                    </a:xfrm>
                    <a:prstGeom prst="rect">
                      <a:avLst/>
                    </a:prstGeom>
                  </pic:spPr>
                </pic:pic>
              </a:graphicData>
            </a:graphic>
          </wp:inline>
        </w:drawing>
      </w:r>
    </w:p>
    <w:p w14:paraId="5A8C06DE" w14:textId="567C6842" w:rsidR="00762FED" w:rsidRDefault="00A44D3C" w:rsidP="00EE24D4">
      <w:pPr>
        <w:pStyle w:val="ExhibitSource"/>
      </w:pPr>
      <w:r>
        <w:t>Source: Haver Analytics</w:t>
      </w:r>
    </w:p>
    <w:p w14:paraId="37479306" w14:textId="59282E26" w:rsidR="008370C5" w:rsidRDefault="00FF34A5" w:rsidP="00EE24D4">
      <w:pPr>
        <w:pStyle w:val="Heading3"/>
      </w:pPr>
      <w:r>
        <w:t>More dovish market pricing</w:t>
      </w:r>
      <w:r w:rsidR="00A8681D">
        <w:t xml:space="preserve"> won't be fully captured in the </w:t>
      </w:r>
      <w:r w:rsidR="00C81945">
        <w:t>MPC's forecast</w:t>
      </w:r>
    </w:p>
    <w:p w14:paraId="27F31227" w14:textId="05C543F7" w:rsidR="00DA78D6" w:rsidRDefault="00FD5189" w:rsidP="008370C5">
      <w:r>
        <w:t xml:space="preserve">An added complication is that the November meeting follows </w:t>
      </w:r>
      <w:r w:rsidR="00622C27">
        <w:t xml:space="preserve">material </w:t>
      </w:r>
      <w:r w:rsidR="00B934BD">
        <w:t>movements in financial market pricing. After the September meeting, markets saw just a 27% chance of a further 25bp rate</w:t>
      </w:r>
      <w:r w:rsidR="003B0755">
        <w:t xml:space="preserve"> cut</w:t>
      </w:r>
      <w:r w:rsidR="00B934BD">
        <w:t xml:space="preserve"> by the end of this year</w:t>
      </w:r>
      <w:r w:rsidR="000E26A5">
        <w:t>. But</w:t>
      </w:r>
      <w:r w:rsidR="00237A78">
        <w:t xml:space="preserve"> </w:t>
      </w:r>
      <w:r w:rsidR="009D670E">
        <w:t>in reaction to September's soft CPI inflation reading and</w:t>
      </w:r>
      <w:r w:rsidR="00487ACE">
        <w:t xml:space="preserve"> </w:t>
      </w:r>
      <w:hyperlink r:id="rId20" w:history="1">
        <w:r w:rsidR="009D670E" w:rsidRPr="00D32713">
          <w:rPr>
            <w:rStyle w:val="Hyperlink"/>
          </w:rPr>
          <w:t xml:space="preserve">favourable </w:t>
        </w:r>
        <w:r w:rsidR="00487ACE" w:rsidRPr="00D32713">
          <w:rPr>
            <w:rStyle w:val="Hyperlink"/>
          </w:rPr>
          <w:t>inflation news from abroad</w:t>
        </w:r>
      </w:hyperlink>
      <w:r w:rsidR="00487ACE">
        <w:t xml:space="preserve">, </w:t>
      </w:r>
      <w:r w:rsidR="00EE5A4C">
        <w:t>the market-implied probability of a cut by year-end has risen to 6</w:t>
      </w:r>
      <w:r w:rsidR="009A43A2">
        <w:t>5</w:t>
      </w:r>
      <w:r w:rsidR="00EE5A4C">
        <w:t>% at the time of writing.</w:t>
      </w:r>
    </w:p>
    <w:p w14:paraId="7781A7F4" w14:textId="69723F2C" w:rsidR="003F7C82" w:rsidRDefault="00A674CC" w:rsidP="00762FED">
      <w:r>
        <w:t xml:space="preserve">The MPC will present its updated forecasts at the November meeting. However, </w:t>
      </w:r>
      <w:r w:rsidR="00431B17">
        <w:t xml:space="preserve">with </w:t>
      </w:r>
      <w:r w:rsidR="000D2007">
        <w:t xml:space="preserve">most of </w:t>
      </w:r>
      <w:r w:rsidR="00431B17">
        <w:t xml:space="preserve">the shift in market pricing occurring </w:t>
      </w:r>
      <w:r w:rsidR="00CD12A3">
        <w:t>11 days through the 15 working-day period</w:t>
      </w:r>
      <w:r w:rsidR="00281970">
        <w:t xml:space="preserve"> used by</w:t>
      </w:r>
      <w:r w:rsidR="00CD12A3">
        <w:t xml:space="preserve"> BoE staff to </w:t>
      </w:r>
      <w:r w:rsidR="000D75AF">
        <w:t xml:space="preserve">generate the forecast's conditioning assumptions, </w:t>
      </w:r>
      <w:r w:rsidR="001E5F2B">
        <w:t xml:space="preserve">November's forecast will be based </w:t>
      </w:r>
      <w:r w:rsidR="00502B13">
        <w:t xml:space="preserve">on market expectations </w:t>
      </w:r>
      <w:r w:rsidR="000525EF">
        <w:t xml:space="preserve">for Bank Rate </w:t>
      </w:r>
      <w:r w:rsidR="00502B13">
        <w:t xml:space="preserve">that are higher </w:t>
      </w:r>
      <w:r w:rsidR="000525EF">
        <w:t>over the next year than those used in August</w:t>
      </w:r>
      <w:r w:rsidR="008751A3">
        <w:t xml:space="preserve"> (</w:t>
      </w:r>
      <w:r w:rsidR="005B6305" w:rsidRPr="00B55288">
        <w:rPr>
          <w:b/>
          <w:color w:val="003469"/>
        </w:rPr>
        <w:fldChar w:fldCharType="begin"/>
      </w:r>
      <w:r w:rsidR="00B55288" w:rsidRPr="00B55288">
        <w:rPr>
          <w:b/>
          <w:color w:val="003469"/>
        </w:rPr>
        <w:instrText xml:space="preserve">REF _Ref212465337 \h \* Charformat </w:instrText>
      </w:r>
      <w:r w:rsidR="005B6305" w:rsidRPr="00B55288">
        <w:rPr>
          <w:b/>
          <w:color w:val="003469"/>
        </w:rPr>
      </w:r>
      <w:r w:rsidR="005B6305" w:rsidRPr="00B55288">
        <w:rPr>
          <w:b/>
          <w:color w:val="003469"/>
        </w:rPr>
        <w:fldChar w:fldCharType="separate"/>
      </w:r>
      <w:r w:rsidR="00B55288" w:rsidRPr="00B55288">
        <w:rPr>
          <w:b/>
          <w:color w:val="003469"/>
        </w:rPr>
        <w:t>Chart 3</w:t>
      </w:r>
      <w:r w:rsidR="005B6305" w:rsidRPr="00B55288">
        <w:rPr>
          <w:b/>
          <w:color w:val="003469"/>
        </w:rPr>
        <w:fldChar w:fldCharType="end"/>
      </w:r>
      <w:r w:rsidR="008751A3">
        <w:t>).</w:t>
      </w:r>
    </w:p>
    <w:p w14:paraId="258A52C2" w14:textId="68FFFEB3" w:rsidR="00762FED" w:rsidRDefault="00762FED" w:rsidP="00EE24D4">
      <w:pPr>
        <w:pStyle w:val="ExhibitTitle"/>
      </w:pPr>
      <w:bookmarkStart w:id="2" w:name="_Ref212465337"/>
      <w:r>
        <w:lastRenderedPageBreak/>
        <w:t xml:space="preserve">Chart </w:t>
      </w:r>
      <w:r>
        <w:fldChar w:fldCharType="begin"/>
      </w:r>
      <w:r w:rsidR="009A43A2">
        <w:instrText>SEQ CHART</w:instrText>
      </w:r>
      <w:r>
        <w:fldChar w:fldCharType="separate"/>
      </w:r>
      <w:r w:rsidR="009A43A2">
        <w:rPr>
          <w:noProof/>
        </w:rPr>
        <w:t>3</w:t>
      </w:r>
      <w:r>
        <w:fldChar w:fldCharType="end"/>
      </w:r>
      <w:bookmarkEnd w:id="2"/>
      <w:r>
        <w:t xml:space="preserve">: </w:t>
      </w:r>
      <w:r w:rsidR="00323263">
        <w:t>Despite the recent dovish repricing, November's forecast will be based on a high</w:t>
      </w:r>
      <w:r w:rsidR="00FA1E84">
        <w:t>er</w:t>
      </w:r>
      <w:r w:rsidR="00323263">
        <w:t xml:space="preserve"> market curve</w:t>
      </w:r>
    </w:p>
    <w:p w14:paraId="71FB8906" w14:textId="688DE4BE" w:rsidR="009A43A2" w:rsidRDefault="009A43A2" w:rsidP="00EE24D4">
      <w:pPr>
        <w:spacing w:after="0"/>
        <w:rPr>
          <w:noProof/>
        </w:rPr>
      </w:pPr>
      <w:r>
        <w:rPr>
          <w:noProof/>
        </w:rPr>
        <w:drawing>
          <wp:inline distT="0" distB="0" distL="0" distR="0" wp14:anchorId="268D4669" wp14:editId="1E540C82">
            <wp:extent cx="3250933" cy="2552005"/>
            <wp:effectExtent l="0" t="0" r="6985" b="1270"/>
            <wp:docPr id="106043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6918" name=""/>
                    <pic:cNvPicPr/>
                  </pic:nvPicPr>
                  <pic:blipFill>
                    <a:blip r:embed="rId21">
                      <a:extLst>
                        <a:ext uri="{96DAC541-7B7A-43D3-8B79-37D633B846F1}">
                          <asvg:svgBlip xmlns:asvg="http://schemas.microsoft.com/office/drawing/2016/SVG/main" r:embed="rId22"/>
                        </a:ext>
                      </a:extLst>
                    </a:blip>
                    <a:srcRect b="1799"/>
                    <a:stretch>
                      <a:fillRect/>
                    </a:stretch>
                  </pic:blipFill>
                  <pic:spPr>
                    <a:xfrm>
                      <a:off x="0" y="0"/>
                      <a:ext cx="3250933" cy="2552005"/>
                    </a:xfrm>
                    <a:prstGeom prst="rect">
                      <a:avLst/>
                    </a:prstGeom>
                  </pic:spPr>
                </pic:pic>
              </a:graphicData>
            </a:graphic>
          </wp:inline>
        </w:drawing>
      </w:r>
    </w:p>
    <w:p w14:paraId="27C7BD2C" w14:textId="44CA7198" w:rsidR="00762FED" w:rsidRDefault="009A43A2" w:rsidP="00EE24D4">
      <w:pPr>
        <w:pStyle w:val="ExhibitSource"/>
      </w:pPr>
      <w:r>
        <w:t>Source: Haver Analytics</w:t>
      </w:r>
    </w:p>
    <w:p w14:paraId="3829149C" w14:textId="7D082DD9" w:rsidR="005F6EFC" w:rsidRPr="005F6EFC" w:rsidRDefault="00760C78" w:rsidP="005F6EFC">
      <w:r>
        <w:t xml:space="preserve">Recent favourable outturns mean </w:t>
      </w:r>
      <w:r w:rsidR="00873183">
        <w:t xml:space="preserve">November's </w:t>
      </w:r>
      <w:r w:rsidR="00561250">
        <w:t xml:space="preserve">inflation </w:t>
      </w:r>
      <w:r w:rsidR="00873183">
        <w:t xml:space="preserve">forecast </w:t>
      </w:r>
      <w:r>
        <w:t>will start from a</w:t>
      </w:r>
      <w:r w:rsidR="00BB3B87">
        <w:t xml:space="preserve"> slightly</w:t>
      </w:r>
      <w:r>
        <w:t xml:space="preserve"> lower level</w:t>
      </w:r>
      <w:r w:rsidR="00BB3B87">
        <w:t xml:space="preserve">. </w:t>
      </w:r>
      <w:r w:rsidR="000077A4">
        <w:t>W</w:t>
      </w:r>
      <w:r w:rsidR="00BB3B87">
        <w:t xml:space="preserve">ith </w:t>
      </w:r>
      <w:r w:rsidR="004461E1">
        <w:t xml:space="preserve">the </w:t>
      </w:r>
      <w:r w:rsidR="00CA1A80">
        <w:t xml:space="preserve">new </w:t>
      </w:r>
      <w:r w:rsidR="004461E1">
        <w:t>forecast conditioned on a higher market curve for Bank Rate</w:t>
      </w:r>
      <w:r w:rsidR="00494129">
        <w:t xml:space="preserve"> and weak</w:t>
      </w:r>
      <w:r w:rsidR="006F45BB">
        <w:t>er</w:t>
      </w:r>
      <w:r w:rsidR="00494129">
        <w:t xml:space="preserve"> European gas and electricity </w:t>
      </w:r>
      <w:r w:rsidR="001A76C6">
        <w:t>futures prices, this should put some downward pressure on the forecast over the next couple of years.</w:t>
      </w:r>
      <w:r w:rsidR="00676113">
        <w:t xml:space="preserve"> However, the MPC has been deprioritising its forecast in recent months</w:t>
      </w:r>
      <w:r w:rsidR="00B300D0">
        <w:t xml:space="preserve"> and will probably not provide a good steer on </w:t>
      </w:r>
      <w:r w:rsidR="00284A4A">
        <w:t xml:space="preserve">the likely path of </w:t>
      </w:r>
      <w:r w:rsidR="0016269F">
        <w:t>Bank Rate.</w:t>
      </w:r>
    </w:p>
    <w:p w14:paraId="0D83516B" w14:textId="7939AFDB" w:rsidR="00E25EEA" w:rsidRDefault="007178AE" w:rsidP="00EE24D4">
      <w:pPr>
        <w:pStyle w:val="Heading3"/>
      </w:pPr>
      <w:r>
        <w:t xml:space="preserve">Changes to the Monetary Policy Statement will be </w:t>
      </w:r>
      <w:r w:rsidR="0072304E">
        <w:t>crucial</w:t>
      </w:r>
    </w:p>
    <w:p w14:paraId="61D78D29" w14:textId="1F157217" w:rsidR="00E2033D" w:rsidRDefault="00815B9D" w:rsidP="00D23DF5">
      <w:r>
        <w:t>More key</w:t>
      </w:r>
      <w:r w:rsidR="00E17C73">
        <w:t xml:space="preserve"> to the MPC's communications will </w:t>
      </w:r>
      <w:r w:rsidR="005F5CC8">
        <w:t xml:space="preserve">be </w:t>
      </w:r>
      <w:hyperlink r:id="rId23" w:history="1">
        <w:r w:rsidR="005F5CC8" w:rsidRPr="004A41FB">
          <w:rPr>
            <w:rStyle w:val="Hyperlink"/>
          </w:rPr>
          <w:t>changes made to the Monetary Policy Statement</w:t>
        </w:r>
      </w:hyperlink>
      <w:r w:rsidR="00AE18D7">
        <w:t>.</w:t>
      </w:r>
      <w:r w:rsidR="00F80CC7">
        <w:t xml:space="preserve"> </w:t>
      </w:r>
      <w:r w:rsidR="006047DA">
        <w:t xml:space="preserve">From November, the policy statement </w:t>
      </w:r>
      <w:r w:rsidR="00797908">
        <w:t>will</w:t>
      </w:r>
      <w:r w:rsidR="00F648A9">
        <w:t xml:space="preserve"> be much shorter and</w:t>
      </w:r>
      <w:r w:rsidR="00797908">
        <w:t xml:space="preserve"> attempt to </w:t>
      </w:r>
      <w:r w:rsidR="00A60650">
        <w:t xml:space="preserve">better describe </w:t>
      </w:r>
      <w:r w:rsidR="001E456F">
        <w:t xml:space="preserve">the centre of gravity on the committee, </w:t>
      </w:r>
      <w:r w:rsidR="00F648A9">
        <w:t xml:space="preserve">while downgrading the importance of the MPC's central forecast to the </w:t>
      </w:r>
      <w:r w:rsidR="0037028F">
        <w:t>its</w:t>
      </w:r>
      <w:r w:rsidR="00F648A9">
        <w:t xml:space="preserve"> decision. </w:t>
      </w:r>
      <w:r w:rsidR="000077A4">
        <w:t>The MPS</w:t>
      </w:r>
      <w:r w:rsidR="00F648A9">
        <w:t xml:space="preserve"> will also </w:t>
      </w:r>
      <w:r w:rsidR="001E456F">
        <w:t>provid</w:t>
      </w:r>
      <w:r w:rsidR="006366BD">
        <w:t>e</w:t>
      </w:r>
      <w:r w:rsidR="001E456F">
        <w:t xml:space="preserve"> </w:t>
      </w:r>
      <w:r w:rsidR="00455717">
        <w:t xml:space="preserve">individual </w:t>
      </w:r>
      <w:r w:rsidR="001E456F">
        <w:t xml:space="preserve">members </w:t>
      </w:r>
      <w:r w:rsidR="00455717">
        <w:t xml:space="preserve">with space to </w:t>
      </w:r>
      <w:r w:rsidR="00C83701">
        <w:t>explain</w:t>
      </w:r>
      <w:r w:rsidR="00455717">
        <w:t xml:space="preserve"> </w:t>
      </w:r>
      <w:r w:rsidR="004111C2">
        <w:t xml:space="preserve">the reasoning behind </w:t>
      </w:r>
      <w:r w:rsidR="008B536C">
        <w:t xml:space="preserve">their </w:t>
      </w:r>
      <w:r w:rsidR="00982F0F">
        <w:t>votes</w:t>
      </w:r>
      <w:r w:rsidR="008B536C">
        <w:t xml:space="preserve">, </w:t>
      </w:r>
      <w:r w:rsidR="00C83701">
        <w:t>the balance of risks, and their own sense of the economic outlook</w:t>
      </w:r>
      <w:r w:rsidR="00124886">
        <w:t>.</w:t>
      </w:r>
      <w:r w:rsidR="00E47489">
        <w:t xml:space="preserve"> </w:t>
      </w:r>
      <w:r w:rsidR="00984AF3">
        <w:t xml:space="preserve">With the MPC so divided, </w:t>
      </w:r>
      <w:r w:rsidR="00E2033D">
        <w:t xml:space="preserve">the </w:t>
      </w:r>
      <w:r w:rsidR="00026686">
        <w:t xml:space="preserve">shift </w:t>
      </w:r>
      <w:r w:rsidR="00E2033D">
        <w:t>towards a more transparent</w:t>
      </w:r>
      <w:r w:rsidR="00716597">
        <w:t xml:space="preserve"> form of communication will be particularly important</w:t>
      </w:r>
      <w:r w:rsidR="00AE01A7">
        <w:t xml:space="preserve"> for assessing what the committee's swing voters are focusing on.</w:t>
      </w:r>
    </w:p>
    <w:p w14:paraId="2BFF2637" w14:textId="574E46CE" w:rsidR="0089380C" w:rsidRDefault="000B2410" w:rsidP="00EE24D4">
      <w:pPr>
        <w:pStyle w:val="Heading3"/>
      </w:pPr>
      <w:r>
        <w:t xml:space="preserve">We expect the MPC to </w:t>
      </w:r>
      <w:r w:rsidR="00257855">
        <w:t>hold in November and remain cautious for the time being</w:t>
      </w:r>
    </w:p>
    <w:p w14:paraId="49E94276" w14:textId="07903083" w:rsidR="006A2ED6" w:rsidRDefault="00B44F0C" w:rsidP="00762FED">
      <w:r>
        <w:t xml:space="preserve">As of </w:t>
      </w:r>
      <w:r w:rsidR="000613F3">
        <w:t>October 30, market pricing implie</w:t>
      </w:r>
      <w:r w:rsidR="001C3DD5">
        <w:t>s</w:t>
      </w:r>
      <w:r w:rsidR="000613F3">
        <w:t xml:space="preserve"> a </w:t>
      </w:r>
      <w:r w:rsidR="00D76B09">
        <w:t>2</w:t>
      </w:r>
      <w:r w:rsidR="009A43A2">
        <w:t>8</w:t>
      </w:r>
      <w:r w:rsidR="00D76B09">
        <w:t xml:space="preserve">% chance of a 25bp cut at the November meeting. We agree that a cut </w:t>
      </w:r>
      <w:r w:rsidR="005C49D7">
        <w:t xml:space="preserve">is relatively unlikely. </w:t>
      </w:r>
      <w:r w:rsidR="006A3D01">
        <w:t>Gov</w:t>
      </w:r>
      <w:r w:rsidR="00C1771C">
        <w:t xml:space="preserve">ernor Andrew Bailey has emerged as the committee's 'swing voter' in recent </w:t>
      </w:r>
      <w:r w:rsidR="00DF6DF8">
        <w:t>months</w:t>
      </w:r>
      <w:r w:rsidR="00C1771C">
        <w:t xml:space="preserve">. </w:t>
      </w:r>
      <w:r w:rsidR="00E62071">
        <w:t xml:space="preserve">Though he has not commented publicly since </w:t>
      </w:r>
      <w:r w:rsidR="00EB7B86">
        <w:t xml:space="preserve">September's </w:t>
      </w:r>
      <w:r w:rsidR="00E7004E">
        <w:t xml:space="preserve">inflation release was published, </w:t>
      </w:r>
      <w:r w:rsidR="00EB095B">
        <w:t xml:space="preserve">he struck a relatively balanced tone </w:t>
      </w:r>
      <w:r w:rsidR="00AF5D9F">
        <w:t xml:space="preserve">when speaking at </w:t>
      </w:r>
      <w:r w:rsidR="00D52AEC">
        <w:t>the I</w:t>
      </w:r>
      <w:r w:rsidR="000077A4">
        <w:t>nternational Monetary Fund's</w:t>
      </w:r>
      <w:r w:rsidR="00D52AEC">
        <w:t xml:space="preserve"> annual meeting </w:t>
      </w:r>
      <w:r w:rsidR="00760C48">
        <w:t xml:space="preserve">in October </w:t>
      </w:r>
      <w:r w:rsidR="004D7758">
        <w:t xml:space="preserve">and made little attempt to </w:t>
      </w:r>
      <w:r w:rsidR="00337451">
        <w:t>prepare the ground for a No</w:t>
      </w:r>
      <w:r w:rsidR="0037447F">
        <w:t>vember cut</w:t>
      </w:r>
      <w:r w:rsidR="00B816B6">
        <w:t xml:space="preserve"> </w:t>
      </w:r>
      <w:r w:rsidR="00760C48">
        <w:t>(</w:t>
      </w:r>
      <w:r w:rsidR="005B6305" w:rsidRPr="00B55288">
        <w:rPr>
          <w:b/>
          <w:color w:val="003469"/>
        </w:rPr>
        <w:fldChar w:fldCharType="begin"/>
      </w:r>
      <w:r w:rsidR="00B55288" w:rsidRPr="00B55288">
        <w:rPr>
          <w:b/>
          <w:color w:val="003469"/>
        </w:rPr>
        <w:instrText xml:space="preserve">REF _Ref212465340 \h \* Charformat </w:instrText>
      </w:r>
      <w:r w:rsidR="005B6305" w:rsidRPr="00B55288">
        <w:rPr>
          <w:b/>
          <w:color w:val="003469"/>
        </w:rPr>
      </w:r>
      <w:r w:rsidR="005B6305" w:rsidRPr="00B55288">
        <w:rPr>
          <w:b/>
          <w:color w:val="003469"/>
        </w:rPr>
        <w:fldChar w:fldCharType="separate"/>
      </w:r>
      <w:r w:rsidR="00B55288" w:rsidRPr="00B55288">
        <w:rPr>
          <w:b/>
          <w:color w:val="003469"/>
        </w:rPr>
        <w:t>Table 1</w:t>
      </w:r>
      <w:r w:rsidR="005B6305" w:rsidRPr="00B55288">
        <w:rPr>
          <w:b/>
          <w:color w:val="003469"/>
        </w:rPr>
        <w:fldChar w:fldCharType="end"/>
      </w:r>
      <w:r w:rsidR="000D46E0">
        <w:t xml:space="preserve"> </w:t>
      </w:r>
      <w:r w:rsidR="00760C48">
        <w:t>shows our analysis of recent comments by MPC members).</w:t>
      </w:r>
      <w:r w:rsidR="00E70643">
        <w:t xml:space="preserve"> </w:t>
      </w:r>
    </w:p>
    <w:p w14:paraId="4DE08F13" w14:textId="07D7FB27" w:rsidR="00B3558A" w:rsidRDefault="00B3558A" w:rsidP="00762FED">
      <w:r>
        <w:t xml:space="preserve">We don't think recent data has been weak enough to </w:t>
      </w:r>
      <w:r w:rsidR="001A49FC">
        <w:t>swing the Governor in favour of a November cut</w:t>
      </w:r>
      <w:r w:rsidR="00E13112">
        <w:t>.</w:t>
      </w:r>
      <w:r w:rsidR="001A49FC">
        <w:t xml:space="preserve"> </w:t>
      </w:r>
      <w:r w:rsidR="00E13112">
        <w:t>But</w:t>
      </w:r>
      <w:r w:rsidR="001A49FC">
        <w:t xml:space="preserve"> </w:t>
      </w:r>
      <w:r w:rsidR="00D45D86">
        <w:t xml:space="preserve">there's a </w:t>
      </w:r>
      <w:r w:rsidR="008C02BE">
        <w:t>decent</w:t>
      </w:r>
      <w:r w:rsidR="00D45D86">
        <w:t xml:space="preserve"> chance </w:t>
      </w:r>
      <w:r w:rsidR="008C02BE">
        <w:t xml:space="preserve">that </w:t>
      </w:r>
      <w:r w:rsidR="000D40AF">
        <w:t xml:space="preserve">November's vote to keep Bank Rate unchanged at 4% will be tighter than September's 7-2 decision, with </w:t>
      </w:r>
      <w:r w:rsidR="00EC46DF">
        <w:t xml:space="preserve">Dave Ramsden the most likely </w:t>
      </w:r>
      <w:r w:rsidR="00B9504C">
        <w:t xml:space="preserve">member to join Swati Dhingra and Alan Taylor </w:t>
      </w:r>
      <w:r w:rsidR="006A2ED6">
        <w:t>in voting for a cut.</w:t>
      </w:r>
    </w:p>
    <w:p w14:paraId="138AD657" w14:textId="5046C8C5" w:rsidR="007410A8" w:rsidRDefault="00043D01" w:rsidP="00762FED">
      <w:r>
        <w:t xml:space="preserve">The MPC has been clear that it still expects </w:t>
      </w:r>
      <w:r w:rsidR="0085408A">
        <w:t>to cut Bank Rate further, but uncertainty around the timing and pace of those cuts linger</w:t>
      </w:r>
      <w:r w:rsidR="004B3929">
        <w:t>s</w:t>
      </w:r>
      <w:r w:rsidR="0085408A">
        <w:t>.</w:t>
      </w:r>
      <w:r w:rsidR="002A2459">
        <w:t xml:space="preserve"> </w:t>
      </w:r>
      <w:r w:rsidR="001B4C0B">
        <w:t>The</w:t>
      </w:r>
      <w:r w:rsidR="003B0F01">
        <w:t xml:space="preserve"> upcoming Budget on November 26 </w:t>
      </w:r>
      <w:r w:rsidR="00153573">
        <w:t xml:space="preserve">could be a key influence, particularly if – </w:t>
      </w:r>
      <w:hyperlink r:id="rId24" w:history="1">
        <w:r w:rsidR="00153573" w:rsidRPr="005368AA">
          <w:rPr>
            <w:rStyle w:val="Hyperlink"/>
          </w:rPr>
          <w:t>as we expect</w:t>
        </w:r>
      </w:hyperlink>
      <w:r w:rsidR="00153573">
        <w:t xml:space="preserve"> – the Chancellor announces a sizeable tightening of policy</w:t>
      </w:r>
      <w:r w:rsidR="00443C60">
        <w:t xml:space="preserve">. </w:t>
      </w:r>
      <w:r w:rsidR="000D34E0">
        <w:t>T</w:t>
      </w:r>
      <w:r w:rsidR="00290370">
        <w:t xml:space="preserve">he MPC will </w:t>
      </w:r>
      <w:r w:rsidR="000D34E0">
        <w:t xml:space="preserve">also </w:t>
      </w:r>
      <w:r w:rsidR="00290370">
        <w:t xml:space="preserve">see two </w:t>
      </w:r>
      <w:r w:rsidR="007E5D40">
        <w:t>further labour market and inflation releases before the December meeting</w:t>
      </w:r>
      <w:r w:rsidR="00312F02">
        <w:t>, so</w:t>
      </w:r>
      <w:r w:rsidR="006D4780">
        <w:t xml:space="preserve"> </w:t>
      </w:r>
      <w:r w:rsidR="00312F02">
        <w:t>t</w:t>
      </w:r>
      <w:r w:rsidR="00171596">
        <w:t>hat meeting will certainly be live</w:t>
      </w:r>
      <w:r w:rsidR="00312F02">
        <w:t>.</w:t>
      </w:r>
      <w:r w:rsidR="00171596">
        <w:t xml:space="preserve"> </w:t>
      </w:r>
      <w:r w:rsidR="00312F02">
        <w:t>W</w:t>
      </w:r>
      <w:r w:rsidR="006D4780">
        <w:t xml:space="preserve">e </w:t>
      </w:r>
      <w:r w:rsidR="00171596">
        <w:t>think</w:t>
      </w:r>
      <w:r w:rsidR="006D4780">
        <w:t xml:space="preserve"> </w:t>
      </w:r>
      <w:r w:rsidR="00401141">
        <w:t xml:space="preserve">a majority </w:t>
      </w:r>
      <w:r w:rsidR="004B3929">
        <w:t xml:space="preserve">of </w:t>
      </w:r>
      <w:r w:rsidR="006D4780">
        <w:t>committee</w:t>
      </w:r>
      <w:r w:rsidR="00966196">
        <w:t xml:space="preserve"> </w:t>
      </w:r>
      <w:r w:rsidR="004B3929">
        <w:t xml:space="preserve">members </w:t>
      </w:r>
      <w:r w:rsidR="00966196">
        <w:t xml:space="preserve">will want to see much clearer evidence </w:t>
      </w:r>
      <w:r w:rsidR="00DE216F">
        <w:t xml:space="preserve">of </w:t>
      </w:r>
      <w:r w:rsidR="00966196">
        <w:t xml:space="preserve">downside surprises </w:t>
      </w:r>
      <w:r w:rsidR="00DE216F">
        <w:t>in the data</w:t>
      </w:r>
      <w:r w:rsidR="006D4780">
        <w:t xml:space="preserve"> being sustained</w:t>
      </w:r>
      <w:r w:rsidR="003D4264">
        <w:t xml:space="preserve">, </w:t>
      </w:r>
      <w:r w:rsidR="000077A4">
        <w:t>and</w:t>
      </w:r>
      <w:r w:rsidR="003D4264">
        <w:t xml:space="preserve"> the Agents' findings on next year's pay deals </w:t>
      </w:r>
      <w:r w:rsidR="00DE216F">
        <w:t xml:space="preserve">before </w:t>
      </w:r>
      <w:r w:rsidR="009F02E2">
        <w:t xml:space="preserve">voting </w:t>
      </w:r>
      <w:r w:rsidR="00ED5574">
        <w:t>to cut Bank Rate again.</w:t>
      </w:r>
    </w:p>
    <w:p w14:paraId="7E7A1D7A" w14:textId="5CD50307" w:rsidR="00883D6C" w:rsidRDefault="00883D6C" w:rsidP="00EE24D4">
      <w:pPr>
        <w:pStyle w:val="ExhibitTitle"/>
      </w:pPr>
      <w:bookmarkStart w:id="3" w:name="_Ref212465340"/>
      <w:r>
        <w:lastRenderedPageBreak/>
        <w:t xml:space="preserve">Table </w:t>
      </w:r>
      <w:r>
        <w:fldChar w:fldCharType="begin"/>
      </w:r>
      <w:r w:rsidR="005B6305">
        <w:instrText>SEQ TABLE</w:instrText>
      </w:r>
      <w:r>
        <w:fldChar w:fldCharType="separate"/>
      </w:r>
      <w:r w:rsidR="009A43A2">
        <w:rPr>
          <w:noProof/>
        </w:rPr>
        <w:t>1</w:t>
      </w:r>
      <w:r>
        <w:fldChar w:fldCharType="end"/>
      </w:r>
      <w:bookmarkEnd w:id="3"/>
      <w:r>
        <w:t>: Key comments by MPC members</w:t>
      </w:r>
    </w:p>
    <w:tbl>
      <w:tblPr>
        <w:tblStyle w:val="TableGridHeader"/>
        <w:tblW w:w="5005" w:type="pct"/>
        <w:tblLook w:val="04A0" w:firstRow="1" w:lastRow="0" w:firstColumn="1" w:lastColumn="0" w:noHBand="0" w:noVBand="1"/>
      </w:tblPr>
      <w:tblGrid>
        <w:gridCol w:w="1031"/>
        <w:gridCol w:w="1456"/>
        <w:gridCol w:w="7002"/>
      </w:tblGrid>
      <w:tr w:rsidR="003D0DBC" w:rsidRPr="00883D6C" w14:paraId="3D242523" w14:textId="77777777" w:rsidTr="008B55BE">
        <w:trPr>
          <w:cnfStyle w:val="100000000000" w:firstRow="1" w:lastRow="0" w:firstColumn="0" w:lastColumn="0" w:oddVBand="0" w:evenVBand="0" w:oddHBand="0" w:evenHBand="0" w:firstRowFirstColumn="0" w:firstRowLastColumn="0" w:lastRowFirstColumn="0" w:lastRowLastColumn="0"/>
          <w:tblHeader/>
        </w:trPr>
        <w:tc>
          <w:tcPr>
            <w:tcW w:w="1031" w:type="dxa"/>
          </w:tcPr>
          <w:p w14:paraId="3FB3D4B6" w14:textId="08837743" w:rsidR="00E66861" w:rsidRPr="00883D6C" w:rsidRDefault="00E66861" w:rsidP="00883D6C">
            <w:pPr>
              <w:pStyle w:val="TableHeader"/>
            </w:pPr>
            <w:r>
              <w:t>Speaker and link</w:t>
            </w:r>
          </w:p>
        </w:tc>
        <w:tc>
          <w:tcPr>
            <w:tcW w:w="1456" w:type="dxa"/>
          </w:tcPr>
          <w:p w14:paraId="70F41D36" w14:textId="06D8EE49" w:rsidR="00E66861" w:rsidRPr="00883D6C" w:rsidRDefault="00E66861" w:rsidP="00883D6C">
            <w:pPr>
              <w:pStyle w:val="TableHeader"/>
            </w:pPr>
            <w:r>
              <w:t>Date</w:t>
            </w:r>
          </w:p>
        </w:tc>
        <w:tc>
          <w:tcPr>
            <w:tcW w:w="7002" w:type="dxa"/>
          </w:tcPr>
          <w:p w14:paraId="60118B50" w14:textId="528F8E39" w:rsidR="00E66861" w:rsidRPr="00883D6C" w:rsidRDefault="00E66861" w:rsidP="00883D6C">
            <w:pPr>
              <w:pStyle w:val="TableHeader"/>
            </w:pPr>
            <w:r>
              <w:t>Key takeaway</w:t>
            </w:r>
          </w:p>
        </w:tc>
      </w:tr>
      <w:tr w:rsidR="00CB5DC8" w:rsidRPr="00883D6C" w14:paraId="702E9DCE" w14:textId="77777777" w:rsidTr="008B55BE">
        <w:tc>
          <w:tcPr>
            <w:tcW w:w="1031" w:type="dxa"/>
          </w:tcPr>
          <w:p w14:paraId="02607B8A" w14:textId="74605569" w:rsidR="00CB5DC8" w:rsidRPr="00CB5DC8" w:rsidRDefault="00CB5DC8" w:rsidP="00CB5DC8">
            <w:pPr>
              <w:pStyle w:val="TableData"/>
            </w:pPr>
            <w:hyperlink r:id="rId25" w:history="1">
              <w:r w:rsidRPr="00A81490">
                <w:rPr>
                  <w:rStyle w:val="Hyperlink"/>
                  <w:rFonts w:eastAsiaTheme="minorHAnsi"/>
                  <w:lang w:eastAsia="en-US"/>
                </w:rPr>
                <w:t>Pill</w:t>
              </w:r>
            </w:hyperlink>
          </w:p>
        </w:tc>
        <w:tc>
          <w:tcPr>
            <w:tcW w:w="1456" w:type="dxa"/>
          </w:tcPr>
          <w:p w14:paraId="4A701EB2" w14:textId="584D7B1F" w:rsidR="00CB5DC8" w:rsidRPr="00CB5DC8" w:rsidRDefault="00CB5DC8" w:rsidP="00CB5DC8">
            <w:pPr>
              <w:pStyle w:val="TableData"/>
            </w:pPr>
            <w:r w:rsidRPr="00CB5DC8">
              <w:t>October 17</w:t>
            </w:r>
          </w:p>
        </w:tc>
        <w:tc>
          <w:tcPr>
            <w:tcW w:w="7002" w:type="dxa"/>
          </w:tcPr>
          <w:p w14:paraId="4A566A08" w14:textId="012F98FC" w:rsidR="00CB5DC8" w:rsidRPr="00CB5DC8" w:rsidRDefault="00CB5DC8" w:rsidP="00CB5DC8">
            <w:pPr>
              <w:pStyle w:val="TableData"/>
            </w:pPr>
            <w:r w:rsidRPr="00CB5DC8">
              <w:t xml:space="preserve">Pill maintained his hawkish outlook, saying that </w:t>
            </w:r>
            <w:r w:rsidR="00D370A8">
              <w:t xml:space="preserve">there was a need to recognise that the stubbornness of inflationary pressures is becoming more pressing. Therefore, </w:t>
            </w:r>
            <w:r w:rsidR="00D03E6F">
              <w:t xml:space="preserve">he argued that it will continue to be </w:t>
            </w:r>
            <w:r w:rsidR="00A81490">
              <w:t>"</w:t>
            </w:r>
            <w:r w:rsidR="00D03E6F">
              <w:t>important to guard against the risk of cutting rates either too far or too fast".</w:t>
            </w:r>
          </w:p>
        </w:tc>
      </w:tr>
      <w:tr w:rsidR="003D0DBC" w:rsidRPr="00883D6C" w14:paraId="10732F93" w14:textId="77777777" w:rsidTr="008B55BE">
        <w:tc>
          <w:tcPr>
            <w:tcW w:w="1031" w:type="dxa"/>
          </w:tcPr>
          <w:p w14:paraId="2EB18582" w14:textId="21A83326" w:rsidR="00CB5DC8" w:rsidRPr="00CB5DC8" w:rsidRDefault="00CB5DC8" w:rsidP="00CB5DC8">
            <w:pPr>
              <w:pStyle w:val="TableData"/>
            </w:pPr>
            <w:hyperlink r:id="rId26" w:history="1">
              <w:r w:rsidRPr="00CB5DC8">
                <w:rPr>
                  <w:rStyle w:val="Hyperlink"/>
                  <w:lang w:eastAsia="en-US"/>
                </w:rPr>
                <w:t>Taylor</w:t>
              </w:r>
            </w:hyperlink>
          </w:p>
        </w:tc>
        <w:tc>
          <w:tcPr>
            <w:tcW w:w="1456" w:type="dxa"/>
          </w:tcPr>
          <w:p w14:paraId="6B5BA53D" w14:textId="539A71C4" w:rsidR="00CB5DC8" w:rsidRPr="00CB5DC8" w:rsidRDefault="00CB5DC8" w:rsidP="00CB5DC8">
            <w:pPr>
              <w:pStyle w:val="TableData"/>
            </w:pPr>
            <w:r w:rsidRPr="00CB5DC8">
              <w:t>October 14</w:t>
            </w:r>
          </w:p>
        </w:tc>
        <w:tc>
          <w:tcPr>
            <w:tcW w:w="7002" w:type="dxa"/>
          </w:tcPr>
          <w:p w14:paraId="35DF0D45" w14:textId="5F00D4E5" w:rsidR="00CB5DC8" w:rsidRPr="00CB5DC8" w:rsidRDefault="00CB5DC8" w:rsidP="00CB5DC8">
            <w:pPr>
              <w:pStyle w:val="TableData"/>
            </w:pPr>
            <w:r w:rsidRPr="00CB5DC8">
              <w:t>Taylor argued an increasingly likely scenario is one in which inflation undershoots and sinks below the 2% target in 2026, and the economy moves into a weakened state for a sustained period with output and employment below potential. As a result, Bank Rate needed to be on a lower path.</w:t>
            </w:r>
          </w:p>
        </w:tc>
      </w:tr>
      <w:tr w:rsidR="003D0DBC" w:rsidRPr="00883D6C" w14:paraId="00CC6D80" w14:textId="77777777" w:rsidTr="008B55BE">
        <w:tc>
          <w:tcPr>
            <w:tcW w:w="1031" w:type="dxa"/>
          </w:tcPr>
          <w:p w14:paraId="2DF4E269" w14:textId="58973CFC" w:rsidR="00CB5DC8" w:rsidRPr="00CB5DC8" w:rsidRDefault="00CB5DC8" w:rsidP="00CB5DC8">
            <w:pPr>
              <w:pStyle w:val="TableData"/>
            </w:pPr>
            <w:hyperlink r:id="rId27" w:history="1">
              <w:r w:rsidRPr="00CB5DC8">
                <w:rPr>
                  <w:rStyle w:val="Hyperlink"/>
                  <w:lang w:eastAsia="en-US"/>
                </w:rPr>
                <w:t>Bailey</w:t>
              </w:r>
            </w:hyperlink>
          </w:p>
        </w:tc>
        <w:tc>
          <w:tcPr>
            <w:tcW w:w="1456" w:type="dxa"/>
          </w:tcPr>
          <w:p w14:paraId="269E9EFA" w14:textId="58187524" w:rsidR="00CB5DC8" w:rsidRPr="00CB5DC8" w:rsidRDefault="00CB5DC8" w:rsidP="00CB5DC8">
            <w:pPr>
              <w:pStyle w:val="TableData"/>
            </w:pPr>
            <w:r w:rsidRPr="00CB5DC8">
              <w:t>October 14</w:t>
            </w:r>
          </w:p>
        </w:tc>
        <w:tc>
          <w:tcPr>
            <w:tcW w:w="7002" w:type="dxa"/>
          </w:tcPr>
          <w:p w14:paraId="2E45A594" w14:textId="45C64AE5" w:rsidR="00CB5DC8" w:rsidRPr="00CB5DC8" w:rsidRDefault="00CB5DC8" w:rsidP="00CB5DC8">
            <w:pPr>
              <w:pStyle w:val="TableData"/>
            </w:pPr>
            <w:r w:rsidRPr="00CB5DC8">
              <w:t>The Governor struck a relatively balanced tone when speaking at the IMF. Bailey highlighted the competing threats from a softening labour market and above-target inflation. He offered no pushback against financial market pricing, which at the time saw a 9% chance of a 25bp cut in November.</w:t>
            </w:r>
          </w:p>
        </w:tc>
      </w:tr>
      <w:tr w:rsidR="003D0DBC" w:rsidRPr="00883D6C" w14:paraId="1CA5973A" w14:textId="77777777" w:rsidTr="008B55BE">
        <w:tc>
          <w:tcPr>
            <w:tcW w:w="1031" w:type="dxa"/>
          </w:tcPr>
          <w:p w14:paraId="3D9166AC" w14:textId="7A7AA543" w:rsidR="00CB5DC8" w:rsidRPr="00CB5DC8" w:rsidRDefault="00CB5DC8" w:rsidP="00CB5DC8">
            <w:pPr>
              <w:pStyle w:val="TableData"/>
            </w:pPr>
            <w:hyperlink r:id="rId28" w:history="1">
              <w:r w:rsidRPr="00CB5DC8">
                <w:rPr>
                  <w:rStyle w:val="Hyperlink"/>
                  <w:lang w:eastAsia="en-US"/>
                </w:rPr>
                <w:t>Mann</w:t>
              </w:r>
            </w:hyperlink>
          </w:p>
        </w:tc>
        <w:tc>
          <w:tcPr>
            <w:tcW w:w="1456" w:type="dxa"/>
          </w:tcPr>
          <w:p w14:paraId="0E1C9D8B" w14:textId="53E53581" w:rsidR="00CB5DC8" w:rsidRPr="00CB5DC8" w:rsidRDefault="00CB5DC8" w:rsidP="00CB5DC8">
            <w:pPr>
              <w:pStyle w:val="TableData"/>
            </w:pPr>
            <w:r w:rsidRPr="00CB5DC8">
              <w:t>October 9</w:t>
            </w:r>
          </w:p>
        </w:tc>
        <w:tc>
          <w:tcPr>
            <w:tcW w:w="7002" w:type="dxa"/>
          </w:tcPr>
          <w:p w14:paraId="7AD4A041" w14:textId="0E8288FE" w:rsidR="00CB5DC8" w:rsidRPr="00CB5DC8" w:rsidRDefault="00CB5DC8" w:rsidP="00CB5DC8">
            <w:pPr>
              <w:pStyle w:val="TableData"/>
            </w:pPr>
            <w:r w:rsidRPr="00CB5DC8">
              <w:t xml:space="preserve">Mann </w:t>
            </w:r>
            <w:r w:rsidR="003C4430" w:rsidRPr="0016269F">
              <w:t>reiterated</w:t>
            </w:r>
            <w:r w:rsidRPr="00CB5DC8">
              <w:t xml:space="preserve"> existing concerns that policy restrictiveness should be maintained to mitigate the upside risks to inflation from higher inflation expectations. She also argued that restrictive policy could be justified on the grounds that high and volatile inflation has had a scarring effect on consumer spending and growth by prompting more precautionary saving. </w:t>
            </w:r>
          </w:p>
        </w:tc>
      </w:tr>
      <w:tr w:rsidR="00CB5DC8" w:rsidRPr="00883D6C" w14:paraId="6E9ACAFF" w14:textId="77777777" w:rsidTr="008B55BE">
        <w:tc>
          <w:tcPr>
            <w:tcW w:w="1031" w:type="dxa"/>
          </w:tcPr>
          <w:p w14:paraId="7B4013DB" w14:textId="2E527E3E" w:rsidR="00CB5DC8" w:rsidRPr="00CB5DC8" w:rsidRDefault="00CB5DC8" w:rsidP="00CB5DC8">
            <w:pPr>
              <w:pStyle w:val="TableData"/>
            </w:pPr>
            <w:hyperlink r:id="rId29" w:history="1">
              <w:r w:rsidRPr="00CB5DC8">
                <w:rPr>
                  <w:rStyle w:val="Hyperlink"/>
                  <w:lang w:eastAsia="en-US"/>
                </w:rPr>
                <w:t>Breeden</w:t>
              </w:r>
            </w:hyperlink>
          </w:p>
        </w:tc>
        <w:tc>
          <w:tcPr>
            <w:tcW w:w="1456" w:type="dxa"/>
          </w:tcPr>
          <w:p w14:paraId="6446AC52" w14:textId="53A66347" w:rsidR="00CB5DC8" w:rsidRPr="00CB5DC8" w:rsidRDefault="00CB5DC8" w:rsidP="00CB5DC8">
            <w:pPr>
              <w:pStyle w:val="TableData"/>
            </w:pPr>
            <w:r w:rsidRPr="00CB5DC8">
              <w:t>September 30</w:t>
            </w:r>
          </w:p>
        </w:tc>
        <w:tc>
          <w:tcPr>
            <w:tcW w:w="7002" w:type="dxa"/>
          </w:tcPr>
          <w:p w14:paraId="064DB80F" w14:textId="25B83BE7" w:rsidR="00CB5DC8" w:rsidRPr="00CB5DC8" w:rsidRDefault="00CB5DC8" w:rsidP="00CB5DC8">
            <w:pPr>
              <w:pStyle w:val="TableData"/>
            </w:pPr>
            <w:r w:rsidRPr="00CB5DC8">
              <w:t>Breeden argued that the recent resurgence in inflation reflected external shocks and was likely to unwind. But she was also mindful of the risks presented by current high rates of inflation and implied that she wasn't strongly minded to vote for a rate cut in November at the time.</w:t>
            </w:r>
          </w:p>
        </w:tc>
      </w:tr>
      <w:tr w:rsidR="00CB5DC8" w:rsidRPr="00883D6C" w14:paraId="510C387A" w14:textId="77777777" w:rsidTr="008B55BE">
        <w:tc>
          <w:tcPr>
            <w:tcW w:w="1031" w:type="dxa"/>
          </w:tcPr>
          <w:p w14:paraId="0F2BEDD6" w14:textId="01ECF31C" w:rsidR="00CB5DC8" w:rsidRPr="00CB5DC8" w:rsidRDefault="00CB5DC8" w:rsidP="00CB5DC8">
            <w:pPr>
              <w:pStyle w:val="TableData"/>
            </w:pPr>
            <w:hyperlink r:id="rId30" w:history="1">
              <w:r w:rsidRPr="00CB5DC8">
                <w:rPr>
                  <w:rStyle w:val="Hyperlink"/>
                  <w:lang w:eastAsia="en-US"/>
                </w:rPr>
                <w:t>Ramsden</w:t>
              </w:r>
            </w:hyperlink>
          </w:p>
        </w:tc>
        <w:tc>
          <w:tcPr>
            <w:tcW w:w="1456" w:type="dxa"/>
          </w:tcPr>
          <w:p w14:paraId="234FD381" w14:textId="1EDC8B05" w:rsidR="00CB5DC8" w:rsidRPr="00CB5DC8" w:rsidRDefault="00CB5DC8" w:rsidP="00CB5DC8">
            <w:pPr>
              <w:pStyle w:val="TableData"/>
            </w:pPr>
            <w:r w:rsidRPr="00CB5DC8">
              <w:t>September 29</w:t>
            </w:r>
          </w:p>
        </w:tc>
        <w:tc>
          <w:tcPr>
            <w:tcW w:w="7002" w:type="dxa"/>
          </w:tcPr>
          <w:p w14:paraId="4871CE82" w14:textId="0C831C85" w:rsidR="00CB5DC8" w:rsidRPr="00CB5DC8" w:rsidRDefault="00CB5DC8" w:rsidP="00CB5DC8">
            <w:pPr>
              <w:pStyle w:val="TableData"/>
            </w:pPr>
            <w:r w:rsidRPr="00CB5DC8">
              <w:t>Ramsden maintained that the underlying causes of the recent inflation spike were unlikely to be seen again and that there were positive signs on taming wage pressures. He concluded by saying that the risks for prices are "balanced", but that he "sees scope for further removal of policy restraint".</w:t>
            </w:r>
          </w:p>
        </w:tc>
      </w:tr>
      <w:tr w:rsidR="003D0DBC" w:rsidRPr="00883D6C" w14:paraId="44E73AF5" w14:textId="77777777" w:rsidTr="008B55BE">
        <w:tc>
          <w:tcPr>
            <w:tcW w:w="1031" w:type="dxa"/>
          </w:tcPr>
          <w:p w14:paraId="17A74192" w14:textId="31A48EE3" w:rsidR="00CB5DC8" w:rsidRPr="00CB5DC8" w:rsidRDefault="00CB5DC8" w:rsidP="00CB5DC8">
            <w:pPr>
              <w:pStyle w:val="TableData"/>
            </w:pPr>
            <w:hyperlink r:id="rId31" w:history="1">
              <w:r w:rsidRPr="00CB5DC8">
                <w:rPr>
                  <w:rStyle w:val="Hyperlink"/>
                  <w:lang w:eastAsia="en-US"/>
                </w:rPr>
                <w:t>Dhingra</w:t>
              </w:r>
            </w:hyperlink>
          </w:p>
        </w:tc>
        <w:tc>
          <w:tcPr>
            <w:tcW w:w="1456" w:type="dxa"/>
          </w:tcPr>
          <w:p w14:paraId="068B4C0B" w14:textId="7F4BB63E" w:rsidR="00CB5DC8" w:rsidRPr="00CB5DC8" w:rsidRDefault="00CB5DC8" w:rsidP="00CB5DC8">
            <w:pPr>
              <w:pStyle w:val="TableData"/>
            </w:pPr>
            <w:r w:rsidRPr="00CB5DC8">
              <w:t>September 26</w:t>
            </w:r>
          </w:p>
        </w:tc>
        <w:tc>
          <w:tcPr>
            <w:tcW w:w="7002" w:type="dxa"/>
          </w:tcPr>
          <w:p w14:paraId="28F0F8D8" w14:textId="5AC83955" w:rsidR="00CB5DC8" w:rsidRPr="00CB5DC8" w:rsidRDefault="00CB5DC8" w:rsidP="00CB5DC8">
            <w:pPr>
              <w:pStyle w:val="TableData"/>
            </w:pPr>
            <w:r w:rsidRPr="00CB5DC8">
              <w:t xml:space="preserve">Dhingra reaffirmed her more dovish stance, stating that "we can afford to cut rates further and not put additional strain on economic growth without threatening the inflation target". This was based on her view that UK inflation remaining higher than in major </w:t>
            </w:r>
            <w:r w:rsidR="001E7A2F">
              <w:t>E</w:t>
            </w:r>
            <w:r w:rsidRPr="00CB5DC8">
              <w:t>urozone countries could largely be explained by administered prices and global commodity shocks.</w:t>
            </w:r>
          </w:p>
        </w:tc>
      </w:tr>
      <w:tr w:rsidR="003D0DBC" w:rsidRPr="00883D6C" w14:paraId="60B8ECBE" w14:textId="77777777" w:rsidTr="008B55BE">
        <w:tc>
          <w:tcPr>
            <w:tcW w:w="1031" w:type="dxa"/>
          </w:tcPr>
          <w:p w14:paraId="75CDA816" w14:textId="555111B8" w:rsidR="00CB5DC8" w:rsidRPr="00CB5DC8" w:rsidRDefault="00CB5DC8" w:rsidP="00CB5DC8">
            <w:pPr>
              <w:pStyle w:val="TableData"/>
            </w:pPr>
            <w:hyperlink r:id="rId32" w:history="1">
              <w:r w:rsidRPr="00CB5DC8">
                <w:rPr>
                  <w:rStyle w:val="Hyperlink"/>
                  <w:lang w:eastAsia="en-US"/>
                </w:rPr>
                <w:t>Greene</w:t>
              </w:r>
            </w:hyperlink>
          </w:p>
        </w:tc>
        <w:tc>
          <w:tcPr>
            <w:tcW w:w="1456" w:type="dxa"/>
          </w:tcPr>
          <w:p w14:paraId="6DB64116" w14:textId="0BD306D7" w:rsidR="00CB5DC8" w:rsidRPr="00CB5DC8" w:rsidRDefault="00CB5DC8" w:rsidP="00CB5DC8">
            <w:pPr>
              <w:pStyle w:val="TableData"/>
            </w:pPr>
            <w:r w:rsidRPr="00CB5DC8">
              <w:t>September 24</w:t>
            </w:r>
          </w:p>
        </w:tc>
        <w:tc>
          <w:tcPr>
            <w:tcW w:w="7002" w:type="dxa"/>
          </w:tcPr>
          <w:p w14:paraId="03EBD4D1" w14:textId="38977A2A" w:rsidR="00CB5DC8" w:rsidRPr="00CB5DC8" w:rsidRDefault="00CB5DC8" w:rsidP="00CB5DC8">
            <w:pPr>
              <w:pStyle w:val="TableData"/>
            </w:pPr>
            <w:r w:rsidRPr="00CB5DC8">
              <w:t>Greene said that recent shocks had caused structural shifts in the supply-side of the economy</w:t>
            </w:r>
            <w:r w:rsidR="002E5BE9">
              <w:t xml:space="preserve"> and </w:t>
            </w:r>
            <w:r w:rsidRPr="00CB5DC8">
              <w:t>moved the risks to the inflation outlook to the upside. Thus, monetary policy should remain restrictive as a risk management approach to guard against inflation and to try to offset recent supply shocks.</w:t>
            </w:r>
          </w:p>
        </w:tc>
      </w:tr>
    </w:tbl>
    <w:p w14:paraId="20AED127" w14:textId="77777777" w:rsidR="003D0DBC" w:rsidRDefault="00883D6C" w:rsidP="00EE24D4">
      <w:pPr>
        <w:pStyle w:val="ExhibitSource"/>
      </w:pPr>
      <w:r>
        <w:t>Source: Oxford Economics</w:t>
      </w:r>
    </w:p>
    <w:p w14:paraId="313A686C" w14:textId="48B346C5" w:rsidR="00883D6C" w:rsidRPr="00883D6C" w:rsidRDefault="00883D6C" w:rsidP="00883D6C"/>
    <w:sectPr w:rsidR="00883D6C" w:rsidRPr="00883D6C" w:rsidSect="003D0DBC">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41688" w14:textId="77777777" w:rsidR="00BF3095" w:rsidRDefault="00BF3095" w:rsidP="00762FED">
      <w:pPr>
        <w:spacing w:before="0" w:after="0"/>
      </w:pPr>
      <w:r>
        <w:separator/>
      </w:r>
    </w:p>
  </w:endnote>
  <w:endnote w:type="continuationSeparator" w:id="0">
    <w:p w14:paraId="153EC08F" w14:textId="77777777" w:rsidR="00BF3095" w:rsidRDefault="00BF3095" w:rsidP="00762FE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C43C" w14:textId="77777777" w:rsidR="00CA4897" w:rsidRDefault="00CA48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6C18" w14:textId="0FA64C5B" w:rsidR="00762FED" w:rsidRPr="00762FED" w:rsidRDefault="00762FED" w:rsidP="00762FED">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Edward Allenby - eallenby@oxfordeconomics.com</w:t>
    </w:r>
    <w:r w:rsidRPr="00762FED">
      <w:rPr>
        <w:noProof/>
      </w:rPr>
      <w:drawing>
        <wp:anchor distT="0" distB="0" distL="114300" distR="114300" simplePos="0" relativeHeight="251661312" behindDoc="0" locked="0" layoutInCell="1" allowOverlap="1" wp14:anchorId="79CC0B55" wp14:editId="23DBB8A3">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F1E2" w14:textId="09641679" w:rsidR="00762FED" w:rsidRDefault="00762FED" w:rsidP="00762FED">
    <w:pPr>
      <w:pStyle w:val="Author"/>
    </w:pPr>
    <w:r>
      <w:t>Edward Allenby</w:t>
    </w:r>
    <w:r w:rsidR="00EE24D4">
      <w:t xml:space="preserve"> - </w:t>
    </w:r>
    <w:r>
      <w:t>Senior UK Economist</w:t>
    </w:r>
    <w:r w:rsidR="00EE24D4">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DA8F5" w14:textId="77777777" w:rsidR="00BF3095" w:rsidRDefault="00BF3095" w:rsidP="00762FED">
      <w:pPr>
        <w:spacing w:before="0" w:after="0"/>
      </w:pPr>
      <w:r>
        <w:separator/>
      </w:r>
    </w:p>
  </w:footnote>
  <w:footnote w:type="continuationSeparator" w:id="0">
    <w:p w14:paraId="6BB57AA6" w14:textId="77777777" w:rsidR="00BF3095" w:rsidRDefault="00BF3095" w:rsidP="00762FE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A6C4" w14:textId="77777777" w:rsidR="00762FED" w:rsidRDefault="00762FED">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2AB1" w14:textId="0EA9F0C5" w:rsidR="00762FED" w:rsidRDefault="00762FED" w:rsidP="00762FED">
    <w:pPr>
      <w:pStyle w:val="Headline"/>
      <w:spacing w:before="120"/>
      <w:ind w:right="-1000"/>
    </w:pPr>
    <w:r w:rsidRPr="00762FED">
      <w:rPr>
        <w:noProof/>
      </w:rPr>
      <w:drawing>
        <wp:anchor distT="0" distB="0" distL="114300" distR="114300" simplePos="0" relativeHeight="251657214" behindDoc="1" locked="1" layoutInCell="1" allowOverlap="1" wp14:anchorId="59BD370B" wp14:editId="7921D89E">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085242">
      <w:t>MPC preview</w:t>
    </w:r>
    <w:r w:rsidR="006379AE">
      <w:t xml:space="preserve"> </w:t>
    </w:r>
    <w:r w:rsidR="006379AE" w:rsidRPr="006379AE">
      <w:t>–</w:t>
    </w:r>
    <w:r w:rsidR="006379AE">
      <w:t xml:space="preserve"> </w:t>
    </w:r>
    <w:r w:rsidR="00734FDF">
      <w:t>S</w:t>
    </w:r>
    <w:r w:rsidR="006379AE">
      <w:t xml:space="preserve">ofter data unlikely to </w:t>
    </w:r>
    <w:r w:rsidR="00384303" w:rsidRPr="00384303">
      <w:t xml:space="preserve">herald </w:t>
    </w:r>
    <w:r w:rsidR="006379AE">
      <w:t>November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A7F3" w14:textId="3F6E26AA" w:rsidR="00762FED" w:rsidRPr="00762FED" w:rsidRDefault="00762FED" w:rsidP="00762FED">
    <w:pPr>
      <w:rPr>
        <w:sz w:val="4"/>
      </w:rPr>
    </w:pPr>
    <w:r w:rsidRPr="00762FED">
      <w:rPr>
        <w:noProof/>
        <w:sz w:val="4"/>
      </w:rPr>
      <w:drawing>
        <wp:anchor distT="0" distB="0" distL="114300" distR="114300" simplePos="0" relativeHeight="251658239" behindDoc="1" locked="1" layoutInCell="1" allowOverlap="1" wp14:anchorId="7FCE2557" wp14:editId="3F9E8E47">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762FED">
      <w:rPr>
        <w:noProof/>
        <w:sz w:val="4"/>
      </w:rPr>
      <w:drawing>
        <wp:anchor distT="0" distB="0" distL="114300" distR="114300" simplePos="0" relativeHeight="251659264" behindDoc="1" locked="1" layoutInCell="1" allowOverlap="1" wp14:anchorId="591EAC5D" wp14:editId="15F0515D">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97186756"/>
      <w:lock w:val="sdtLocked"/>
      <w:placeholder>
        <w:docPart w:val="DefaultPlaceholder_-1854013437"/>
      </w:placeholder>
      <w:date w:fullDate="2025-10-30T00:00:00Z">
        <w:dateFormat w:val="d MMMM yyyy"/>
        <w:lid w:val="en-GB"/>
        <w:storeMappedDataAs w:val="dateTime"/>
        <w:calendar w:val="gregorian"/>
      </w:date>
    </w:sdtPr>
    <w:sdtEndPr/>
    <w:sdtContent>
      <w:p w14:paraId="678C09A1" w14:textId="73DF8272" w:rsidR="00762FED" w:rsidRPr="00762FED" w:rsidRDefault="00333E2D" w:rsidP="00762FED">
        <w:pPr>
          <w:pStyle w:val="PublishDate"/>
          <w:framePr w:w="2835" w:h="340" w:hRule="exact" w:hSpace="180" w:wrap="around" w:vAnchor="page" w:hAnchor="page" w:x="7801" w:y="601" w:anchorLock="1"/>
        </w:pPr>
        <w:r>
          <w:t>30</w:t>
        </w:r>
        <w:r w:rsidR="00762FED">
          <w:t xml:space="preserve"> October 2025</w:t>
        </w:r>
      </w:p>
    </w:sdtContent>
  </w:sdt>
  <w:p w14:paraId="389B7628" w14:textId="4CBF5996" w:rsidR="00762FED" w:rsidRDefault="00753CC5" w:rsidP="00762FED">
    <w:pPr>
      <w:pStyle w:val="ProductDescription"/>
      <w:framePr w:w="11339" w:h="1474" w:hRule="exact" w:hSpace="180" w:wrap="around" w:vAnchor="page" w:hAnchor="page" w:x="401" w:y="1141" w:anchorLock="1"/>
      <w:spacing w:after="200"/>
    </w:pPr>
    <w:r>
      <w:t>Research Briefing</w:t>
    </w:r>
    <w:r w:rsidR="00762FED">
      <w:t xml:space="preserve"> | </w:t>
    </w:r>
    <w:r>
      <w:t>UK</w:t>
    </w:r>
  </w:p>
  <w:p w14:paraId="6111DEA9" w14:textId="7ED38EF4" w:rsidR="00762FED" w:rsidRDefault="006379AE" w:rsidP="00762FED">
    <w:pPr>
      <w:pStyle w:val="Headline"/>
      <w:framePr w:w="11339" w:h="1474" w:hRule="exact" w:hSpace="180" w:wrap="around" w:vAnchor="page" w:hAnchor="page" w:x="401" w:y="1141" w:anchorLock="1"/>
      <w:spacing w:line="200" w:lineRule="auto"/>
    </w:pPr>
    <w:r w:rsidRPr="006379AE">
      <w:t xml:space="preserve">MPC preview – </w:t>
    </w:r>
    <w:r w:rsidR="00734FDF">
      <w:t>S</w:t>
    </w:r>
    <w:r w:rsidRPr="006379AE">
      <w:t xml:space="preserve">ofter data unlikely to </w:t>
    </w:r>
    <w:r w:rsidR="00384303" w:rsidRPr="00384303">
      <w:t xml:space="preserve">herald </w:t>
    </w:r>
    <w:r w:rsidRPr="006379AE">
      <w:t>November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ED"/>
    <w:rsid w:val="00003B75"/>
    <w:rsid w:val="0000506F"/>
    <w:rsid w:val="0000562F"/>
    <w:rsid w:val="000077A4"/>
    <w:rsid w:val="00010943"/>
    <w:rsid w:val="000119AC"/>
    <w:rsid w:val="00015C54"/>
    <w:rsid w:val="00016AA6"/>
    <w:rsid w:val="000219B3"/>
    <w:rsid w:val="00026686"/>
    <w:rsid w:val="000322C1"/>
    <w:rsid w:val="0003321D"/>
    <w:rsid w:val="000332FA"/>
    <w:rsid w:val="0004389C"/>
    <w:rsid w:val="00043D01"/>
    <w:rsid w:val="000472E1"/>
    <w:rsid w:val="000525EF"/>
    <w:rsid w:val="00052C28"/>
    <w:rsid w:val="000613F3"/>
    <w:rsid w:val="000616A7"/>
    <w:rsid w:val="00063BA0"/>
    <w:rsid w:val="000644E3"/>
    <w:rsid w:val="00065B68"/>
    <w:rsid w:val="0007481D"/>
    <w:rsid w:val="00080BCD"/>
    <w:rsid w:val="00081EF8"/>
    <w:rsid w:val="0008258C"/>
    <w:rsid w:val="00085242"/>
    <w:rsid w:val="00091359"/>
    <w:rsid w:val="00092ED0"/>
    <w:rsid w:val="000950CB"/>
    <w:rsid w:val="00095344"/>
    <w:rsid w:val="00096703"/>
    <w:rsid w:val="000A10CB"/>
    <w:rsid w:val="000B2410"/>
    <w:rsid w:val="000B37CA"/>
    <w:rsid w:val="000B5F55"/>
    <w:rsid w:val="000B6AAE"/>
    <w:rsid w:val="000C2787"/>
    <w:rsid w:val="000C2F23"/>
    <w:rsid w:val="000C47A4"/>
    <w:rsid w:val="000C6364"/>
    <w:rsid w:val="000D0105"/>
    <w:rsid w:val="000D0D9E"/>
    <w:rsid w:val="000D2007"/>
    <w:rsid w:val="000D34E0"/>
    <w:rsid w:val="000D40AF"/>
    <w:rsid w:val="000D46E0"/>
    <w:rsid w:val="000D6729"/>
    <w:rsid w:val="000D6A43"/>
    <w:rsid w:val="000D75AF"/>
    <w:rsid w:val="000E26A5"/>
    <w:rsid w:val="000E355A"/>
    <w:rsid w:val="000E7066"/>
    <w:rsid w:val="000F1932"/>
    <w:rsid w:val="000F37C2"/>
    <w:rsid w:val="00101B84"/>
    <w:rsid w:val="0010624B"/>
    <w:rsid w:val="00112869"/>
    <w:rsid w:val="0011427B"/>
    <w:rsid w:val="001146B3"/>
    <w:rsid w:val="001162A0"/>
    <w:rsid w:val="0012131F"/>
    <w:rsid w:val="0012274A"/>
    <w:rsid w:val="00122C0B"/>
    <w:rsid w:val="00124886"/>
    <w:rsid w:val="00125027"/>
    <w:rsid w:val="001265D6"/>
    <w:rsid w:val="00127DA1"/>
    <w:rsid w:val="001306DC"/>
    <w:rsid w:val="00130AE0"/>
    <w:rsid w:val="001316F8"/>
    <w:rsid w:val="001335BD"/>
    <w:rsid w:val="00134087"/>
    <w:rsid w:val="00142A88"/>
    <w:rsid w:val="0014399E"/>
    <w:rsid w:val="00145898"/>
    <w:rsid w:val="001468ED"/>
    <w:rsid w:val="00153573"/>
    <w:rsid w:val="00156769"/>
    <w:rsid w:val="00162398"/>
    <w:rsid w:val="0016269F"/>
    <w:rsid w:val="00166ECD"/>
    <w:rsid w:val="00167065"/>
    <w:rsid w:val="00171596"/>
    <w:rsid w:val="00177CBA"/>
    <w:rsid w:val="001831AC"/>
    <w:rsid w:val="001836C3"/>
    <w:rsid w:val="00184741"/>
    <w:rsid w:val="00193302"/>
    <w:rsid w:val="00194630"/>
    <w:rsid w:val="001A3819"/>
    <w:rsid w:val="001A49FC"/>
    <w:rsid w:val="001A61A6"/>
    <w:rsid w:val="001A76C6"/>
    <w:rsid w:val="001B4C0B"/>
    <w:rsid w:val="001C1BF6"/>
    <w:rsid w:val="001C2B8F"/>
    <w:rsid w:val="001C3DD5"/>
    <w:rsid w:val="001D00EB"/>
    <w:rsid w:val="001D66E8"/>
    <w:rsid w:val="001E456F"/>
    <w:rsid w:val="001E5F2B"/>
    <w:rsid w:val="001E6CDF"/>
    <w:rsid w:val="001E7A2F"/>
    <w:rsid w:val="001F01FD"/>
    <w:rsid w:val="002017F0"/>
    <w:rsid w:val="00203856"/>
    <w:rsid w:val="002109A2"/>
    <w:rsid w:val="00212115"/>
    <w:rsid w:val="002126B4"/>
    <w:rsid w:val="00216D1B"/>
    <w:rsid w:val="0022097B"/>
    <w:rsid w:val="00224A18"/>
    <w:rsid w:val="00227663"/>
    <w:rsid w:val="00235C14"/>
    <w:rsid w:val="00236289"/>
    <w:rsid w:val="00237A78"/>
    <w:rsid w:val="00250E12"/>
    <w:rsid w:val="00254220"/>
    <w:rsid w:val="002555A0"/>
    <w:rsid w:val="002570AE"/>
    <w:rsid w:val="00257855"/>
    <w:rsid w:val="002747D8"/>
    <w:rsid w:val="00275127"/>
    <w:rsid w:val="00276ECE"/>
    <w:rsid w:val="002778CE"/>
    <w:rsid w:val="002804DA"/>
    <w:rsid w:val="00281783"/>
    <w:rsid w:val="00281970"/>
    <w:rsid w:val="00282D43"/>
    <w:rsid w:val="00282F7F"/>
    <w:rsid w:val="00284A4A"/>
    <w:rsid w:val="00290370"/>
    <w:rsid w:val="002955EC"/>
    <w:rsid w:val="002965E3"/>
    <w:rsid w:val="002A2459"/>
    <w:rsid w:val="002A2FD5"/>
    <w:rsid w:val="002A458F"/>
    <w:rsid w:val="002B4AEF"/>
    <w:rsid w:val="002B6068"/>
    <w:rsid w:val="002B6B26"/>
    <w:rsid w:val="002B7003"/>
    <w:rsid w:val="002B7F6B"/>
    <w:rsid w:val="002C09DE"/>
    <w:rsid w:val="002C1002"/>
    <w:rsid w:val="002C25F6"/>
    <w:rsid w:val="002C3F03"/>
    <w:rsid w:val="002C4056"/>
    <w:rsid w:val="002C42BA"/>
    <w:rsid w:val="002C532E"/>
    <w:rsid w:val="002D24CB"/>
    <w:rsid w:val="002D2941"/>
    <w:rsid w:val="002D4BD5"/>
    <w:rsid w:val="002E4084"/>
    <w:rsid w:val="002E5BE9"/>
    <w:rsid w:val="002E6BE5"/>
    <w:rsid w:val="002F41E0"/>
    <w:rsid w:val="002F605C"/>
    <w:rsid w:val="00302F43"/>
    <w:rsid w:val="003069B3"/>
    <w:rsid w:val="00312F02"/>
    <w:rsid w:val="003143AB"/>
    <w:rsid w:val="00314A6A"/>
    <w:rsid w:val="00314DF3"/>
    <w:rsid w:val="00320F41"/>
    <w:rsid w:val="00323263"/>
    <w:rsid w:val="003232DA"/>
    <w:rsid w:val="0033145D"/>
    <w:rsid w:val="00333E2D"/>
    <w:rsid w:val="003360B4"/>
    <w:rsid w:val="00337451"/>
    <w:rsid w:val="0034098C"/>
    <w:rsid w:val="003428E7"/>
    <w:rsid w:val="0034505B"/>
    <w:rsid w:val="00345CA0"/>
    <w:rsid w:val="003469AD"/>
    <w:rsid w:val="003565B1"/>
    <w:rsid w:val="00357445"/>
    <w:rsid w:val="003626E0"/>
    <w:rsid w:val="00363922"/>
    <w:rsid w:val="00365584"/>
    <w:rsid w:val="003671A6"/>
    <w:rsid w:val="0037028F"/>
    <w:rsid w:val="003709F4"/>
    <w:rsid w:val="0037447F"/>
    <w:rsid w:val="00375443"/>
    <w:rsid w:val="00381655"/>
    <w:rsid w:val="00383312"/>
    <w:rsid w:val="00384303"/>
    <w:rsid w:val="00385707"/>
    <w:rsid w:val="00385B43"/>
    <w:rsid w:val="003876B2"/>
    <w:rsid w:val="003901BE"/>
    <w:rsid w:val="00392C24"/>
    <w:rsid w:val="003A0517"/>
    <w:rsid w:val="003A310D"/>
    <w:rsid w:val="003A7424"/>
    <w:rsid w:val="003B0403"/>
    <w:rsid w:val="003B0755"/>
    <w:rsid w:val="003B0F01"/>
    <w:rsid w:val="003C4430"/>
    <w:rsid w:val="003C4CF7"/>
    <w:rsid w:val="003D0DBC"/>
    <w:rsid w:val="003D190F"/>
    <w:rsid w:val="003D1985"/>
    <w:rsid w:val="003D4264"/>
    <w:rsid w:val="003D6CE0"/>
    <w:rsid w:val="003D762F"/>
    <w:rsid w:val="003E64B8"/>
    <w:rsid w:val="003F04BA"/>
    <w:rsid w:val="003F05F9"/>
    <w:rsid w:val="003F4333"/>
    <w:rsid w:val="003F7C82"/>
    <w:rsid w:val="00400E09"/>
    <w:rsid w:val="00401141"/>
    <w:rsid w:val="004011AB"/>
    <w:rsid w:val="00403570"/>
    <w:rsid w:val="004066B1"/>
    <w:rsid w:val="00407232"/>
    <w:rsid w:val="00407269"/>
    <w:rsid w:val="00407797"/>
    <w:rsid w:val="004111C2"/>
    <w:rsid w:val="00412349"/>
    <w:rsid w:val="004134F5"/>
    <w:rsid w:val="004204F4"/>
    <w:rsid w:val="00424507"/>
    <w:rsid w:val="00431B17"/>
    <w:rsid w:val="00432EF2"/>
    <w:rsid w:val="00433ADE"/>
    <w:rsid w:val="00433F1B"/>
    <w:rsid w:val="004356FB"/>
    <w:rsid w:val="00435B6C"/>
    <w:rsid w:val="00441404"/>
    <w:rsid w:val="0044310E"/>
    <w:rsid w:val="00443C60"/>
    <w:rsid w:val="00444630"/>
    <w:rsid w:val="004461E1"/>
    <w:rsid w:val="004476E1"/>
    <w:rsid w:val="0045100C"/>
    <w:rsid w:val="004520D3"/>
    <w:rsid w:val="00452288"/>
    <w:rsid w:val="004551E1"/>
    <w:rsid w:val="00455717"/>
    <w:rsid w:val="00455EE3"/>
    <w:rsid w:val="00456240"/>
    <w:rsid w:val="004618D8"/>
    <w:rsid w:val="00461C36"/>
    <w:rsid w:val="00463880"/>
    <w:rsid w:val="004652DB"/>
    <w:rsid w:val="0047798C"/>
    <w:rsid w:val="00487ACE"/>
    <w:rsid w:val="0049384F"/>
    <w:rsid w:val="00494129"/>
    <w:rsid w:val="004A33F3"/>
    <w:rsid w:val="004A41FB"/>
    <w:rsid w:val="004A6670"/>
    <w:rsid w:val="004B0ABB"/>
    <w:rsid w:val="004B3929"/>
    <w:rsid w:val="004D32CF"/>
    <w:rsid w:val="004D59A5"/>
    <w:rsid w:val="004D6FD2"/>
    <w:rsid w:val="004D7758"/>
    <w:rsid w:val="004E21BD"/>
    <w:rsid w:val="004E33C2"/>
    <w:rsid w:val="004F1A68"/>
    <w:rsid w:val="00501068"/>
    <w:rsid w:val="00502B13"/>
    <w:rsid w:val="005065A9"/>
    <w:rsid w:val="00521CF8"/>
    <w:rsid w:val="005222F8"/>
    <w:rsid w:val="0053053D"/>
    <w:rsid w:val="00536224"/>
    <w:rsid w:val="005368AA"/>
    <w:rsid w:val="00537D66"/>
    <w:rsid w:val="00540A5C"/>
    <w:rsid w:val="00540FA5"/>
    <w:rsid w:val="00544889"/>
    <w:rsid w:val="005470E2"/>
    <w:rsid w:val="00551872"/>
    <w:rsid w:val="0055293C"/>
    <w:rsid w:val="00554B2E"/>
    <w:rsid w:val="00554FE5"/>
    <w:rsid w:val="00555D32"/>
    <w:rsid w:val="0055688F"/>
    <w:rsid w:val="00561250"/>
    <w:rsid w:val="00570191"/>
    <w:rsid w:val="00570D85"/>
    <w:rsid w:val="0057340A"/>
    <w:rsid w:val="005742EE"/>
    <w:rsid w:val="0057585A"/>
    <w:rsid w:val="005779AC"/>
    <w:rsid w:val="005837A7"/>
    <w:rsid w:val="00586B12"/>
    <w:rsid w:val="005915AC"/>
    <w:rsid w:val="00596D27"/>
    <w:rsid w:val="005A53E6"/>
    <w:rsid w:val="005A6FF3"/>
    <w:rsid w:val="005B1BFC"/>
    <w:rsid w:val="005B332C"/>
    <w:rsid w:val="005B3F73"/>
    <w:rsid w:val="005B6305"/>
    <w:rsid w:val="005B6809"/>
    <w:rsid w:val="005C323E"/>
    <w:rsid w:val="005C49D7"/>
    <w:rsid w:val="005C713B"/>
    <w:rsid w:val="005D52F5"/>
    <w:rsid w:val="005D6C4C"/>
    <w:rsid w:val="005E4092"/>
    <w:rsid w:val="005E435D"/>
    <w:rsid w:val="005E6939"/>
    <w:rsid w:val="005F2E16"/>
    <w:rsid w:val="005F344F"/>
    <w:rsid w:val="005F5612"/>
    <w:rsid w:val="005F5CC8"/>
    <w:rsid w:val="005F6EFC"/>
    <w:rsid w:val="005F74C3"/>
    <w:rsid w:val="006047DA"/>
    <w:rsid w:val="00604AB2"/>
    <w:rsid w:val="0061205F"/>
    <w:rsid w:val="006161C0"/>
    <w:rsid w:val="00620BF5"/>
    <w:rsid w:val="006210AA"/>
    <w:rsid w:val="00622C27"/>
    <w:rsid w:val="006242F6"/>
    <w:rsid w:val="006247CB"/>
    <w:rsid w:val="00626AC2"/>
    <w:rsid w:val="00627679"/>
    <w:rsid w:val="006311F0"/>
    <w:rsid w:val="00634179"/>
    <w:rsid w:val="006358C0"/>
    <w:rsid w:val="006366BD"/>
    <w:rsid w:val="00636C16"/>
    <w:rsid w:val="006373F7"/>
    <w:rsid w:val="006379AE"/>
    <w:rsid w:val="006413EE"/>
    <w:rsid w:val="00641636"/>
    <w:rsid w:val="006442C0"/>
    <w:rsid w:val="00646724"/>
    <w:rsid w:val="00651630"/>
    <w:rsid w:val="0065233F"/>
    <w:rsid w:val="00661AA4"/>
    <w:rsid w:val="00661F19"/>
    <w:rsid w:val="00662EF8"/>
    <w:rsid w:val="00665BBA"/>
    <w:rsid w:val="0067122B"/>
    <w:rsid w:val="00671A92"/>
    <w:rsid w:val="00673B00"/>
    <w:rsid w:val="0067407F"/>
    <w:rsid w:val="00676113"/>
    <w:rsid w:val="0067661D"/>
    <w:rsid w:val="00676B9B"/>
    <w:rsid w:val="00677CED"/>
    <w:rsid w:val="006812A2"/>
    <w:rsid w:val="0068254F"/>
    <w:rsid w:val="00693B00"/>
    <w:rsid w:val="00696880"/>
    <w:rsid w:val="006976CE"/>
    <w:rsid w:val="006A2ED6"/>
    <w:rsid w:val="006A3D01"/>
    <w:rsid w:val="006A7030"/>
    <w:rsid w:val="006A7ED4"/>
    <w:rsid w:val="006B3FA9"/>
    <w:rsid w:val="006C2116"/>
    <w:rsid w:val="006C2948"/>
    <w:rsid w:val="006C3425"/>
    <w:rsid w:val="006C3DFA"/>
    <w:rsid w:val="006D028E"/>
    <w:rsid w:val="006D4780"/>
    <w:rsid w:val="006D6EAB"/>
    <w:rsid w:val="006E0B54"/>
    <w:rsid w:val="006E460A"/>
    <w:rsid w:val="006F1B62"/>
    <w:rsid w:val="006F327D"/>
    <w:rsid w:val="006F45BB"/>
    <w:rsid w:val="00700523"/>
    <w:rsid w:val="00707C44"/>
    <w:rsid w:val="00716475"/>
    <w:rsid w:val="00716597"/>
    <w:rsid w:val="007178AE"/>
    <w:rsid w:val="00722403"/>
    <w:rsid w:val="0072304E"/>
    <w:rsid w:val="00727C1A"/>
    <w:rsid w:val="00733D51"/>
    <w:rsid w:val="00734071"/>
    <w:rsid w:val="00734FDF"/>
    <w:rsid w:val="007410A8"/>
    <w:rsid w:val="00742CCC"/>
    <w:rsid w:val="00745D7D"/>
    <w:rsid w:val="0074752E"/>
    <w:rsid w:val="0075198C"/>
    <w:rsid w:val="00753B69"/>
    <w:rsid w:val="00753CC5"/>
    <w:rsid w:val="00757DCC"/>
    <w:rsid w:val="007605EB"/>
    <w:rsid w:val="00760C48"/>
    <w:rsid w:val="00760C78"/>
    <w:rsid w:val="00761B3A"/>
    <w:rsid w:val="00762FED"/>
    <w:rsid w:val="00763C2D"/>
    <w:rsid w:val="00764212"/>
    <w:rsid w:val="00767B93"/>
    <w:rsid w:val="00773050"/>
    <w:rsid w:val="007802FB"/>
    <w:rsid w:val="007830E7"/>
    <w:rsid w:val="00792CCA"/>
    <w:rsid w:val="00797908"/>
    <w:rsid w:val="007B1E5A"/>
    <w:rsid w:val="007B3E77"/>
    <w:rsid w:val="007C218F"/>
    <w:rsid w:val="007D6FFC"/>
    <w:rsid w:val="007E0FFC"/>
    <w:rsid w:val="007E1375"/>
    <w:rsid w:val="007E2C00"/>
    <w:rsid w:val="007E571E"/>
    <w:rsid w:val="007E598A"/>
    <w:rsid w:val="007E5D40"/>
    <w:rsid w:val="007F2668"/>
    <w:rsid w:val="007F4B3B"/>
    <w:rsid w:val="00803740"/>
    <w:rsid w:val="00805987"/>
    <w:rsid w:val="00805A98"/>
    <w:rsid w:val="00811FCF"/>
    <w:rsid w:val="00812540"/>
    <w:rsid w:val="00812AEA"/>
    <w:rsid w:val="00815B9D"/>
    <w:rsid w:val="00816865"/>
    <w:rsid w:val="00820401"/>
    <w:rsid w:val="008209C4"/>
    <w:rsid w:val="00832D99"/>
    <w:rsid w:val="008337C9"/>
    <w:rsid w:val="00836725"/>
    <w:rsid w:val="008370C5"/>
    <w:rsid w:val="008413A4"/>
    <w:rsid w:val="008413CB"/>
    <w:rsid w:val="00841C15"/>
    <w:rsid w:val="008433E7"/>
    <w:rsid w:val="00843D1A"/>
    <w:rsid w:val="0085408A"/>
    <w:rsid w:val="00857356"/>
    <w:rsid w:val="008600B9"/>
    <w:rsid w:val="00862E81"/>
    <w:rsid w:val="00863582"/>
    <w:rsid w:val="008638CE"/>
    <w:rsid w:val="008667D7"/>
    <w:rsid w:val="00873183"/>
    <w:rsid w:val="008751A3"/>
    <w:rsid w:val="00875816"/>
    <w:rsid w:val="0088120B"/>
    <w:rsid w:val="00883D6C"/>
    <w:rsid w:val="00885712"/>
    <w:rsid w:val="0088585A"/>
    <w:rsid w:val="00890243"/>
    <w:rsid w:val="0089380C"/>
    <w:rsid w:val="008965AF"/>
    <w:rsid w:val="008A2DB3"/>
    <w:rsid w:val="008A3432"/>
    <w:rsid w:val="008A5AA7"/>
    <w:rsid w:val="008B1CE2"/>
    <w:rsid w:val="008B2C47"/>
    <w:rsid w:val="008B4674"/>
    <w:rsid w:val="008B536C"/>
    <w:rsid w:val="008B55BE"/>
    <w:rsid w:val="008C02BE"/>
    <w:rsid w:val="008C2889"/>
    <w:rsid w:val="008D15DF"/>
    <w:rsid w:val="008D3793"/>
    <w:rsid w:val="008D46F7"/>
    <w:rsid w:val="008D5849"/>
    <w:rsid w:val="008E51D5"/>
    <w:rsid w:val="008E727B"/>
    <w:rsid w:val="008E7B92"/>
    <w:rsid w:val="00900412"/>
    <w:rsid w:val="009019D5"/>
    <w:rsid w:val="009115AA"/>
    <w:rsid w:val="00911D68"/>
    <w:rsid w:val="00914519"/>
    <w:rsid w:val="00917394"/>
    <w:rsid w:val="009173D4"/>
    <w:rsid w:val="00917B8A"/>
    <w:rsid w:val="0092724F"/>
    <w:rsid w:val="009343A4"/>
    <w:rsid w:val="00934E99"/>
    <w:rsid w:val="009423A0"/>
    <w:rsid w:val="00954CAD"/>
    <w:rsid w:val="00956980"/>
    <w:rsid w:val="00966196"/>
    <w:rsid w:val="0096780E"/>
    <w:rsid w:val="009710AC"/>
    <w:rsid w:val="00977DB4"/>
    <w:rsid w:val="00982F0F"/>
    <w:rsid w:val="00984AF3"/>
    <w:rsid w:val="009851B6"/>
    <w:rsid w:val="00986E73"/>
    <w:rsid w:val="0099201A"/>
    <w:rsid w:val="00992585"/>
    <w:rsid w:val="00993C19"/>
    <w:rsid w:val="00994A9B"/>
    <w:rsid w:val="009A087F"/>
    <w:rsid w:val="009A2D25"/>
    <w:rsid w:val="009A43A2"/>
    <w:rsid w:val="009A4A5F"/>
    <w:rsid w:val="009B0BCF"/>
    <w:rsid w:val="009B0C1F"/>
    <w:rsid w:val="009B327E"/>
    <w:rsid w:val="009B3571"/>
    <w:rsid w:val="009B4556"/>
    <w:rsid w:val="009C2D9A"/>
    <w:rsid w:val="009D64D7"/>
    <w:rsid w:val="009D670E"/>
    <w:rsid w:val="009E14A4"/>
    <w:rsid w:val="009E4CD3"/>
    <w:rsid w:val="009E4D6E"/>
    <w:rsid w:val="009E7F1A"/>
    <w:rsid w:val="009F02E2"/>
    <w:rsid w:val="009F0A94"/>
    <w:rsid w:val="009F1CE2"/>
    <w:rsid w:val="009F287C"/>
    <w:rsid w:val="009F5A61"/>
    <w:rsid w:val="00A01B72"/>
    <w:rsid w:val="00A04E87"/>
    <w:rsid w:val="00A05125"/>
    <w:rsid w:val="00A1137A"/>
    <w:rsid w:val="00A1444A"/>
    <w:rsid w:val="00A17986"/>
    <w:rsid w:val="00A20058"/>
    <w:rsid w:val="00A21DA8"/>
    <w:rsid w:val="00A2658F"/>
    <w:rsid w:val="00A3090F"/>
    <w:rsid w:val="00A354E8"/>
    <w:rsid w:val="00A3552F"/>
    <w:rsid w:val="00A357C9"/>
    <w:rsid w:val="00A35D40"/>
    <w:rsid w:val="00A3633E"/>
    <w:rsid w:val="00A41D40"/>
    <w:rsid w:val="00A43353"/>
    <w:rsid w:val="00A441C6"/>
    <w:rsid w:val="00A44D3C"/>
    <w:rsid w:val="00A47581"/>
    <w:rsid w:val="00A52773"/>
    <w:rsid w:val="00A60650"/>
    <w:rsid w:val="00A613E0"/>
    <w:rsid w:val="00A6682D"/>
    <w:rsid w:val="00A674CC"/>
    <w:rsid w:val="00A703F9"/>
    <w:rsid w:val="00A714CE"/>
    <w:rsid w:val="00A732AB"/>
    <w:rsid w:val="00A74B8F"/>
    <w:rsid w:val="00A81490"/>
    <w:rsid w:val="00A851E7"/>
    <w:rsid w:val="00A8681D"/>
    <w:rsid w:val="00A90B63"/>
    <w:rsid w:val="00A90FDF"/>
    <w:rsid w:val="00A921BE"/>
    <w:rsid w:val="00AB08A3"/>
    <w:rsid w:val="00AB5F69"/>
    <w:rsid w:val="00AC0B06"/>
    <w:rsid w:val="00AC4746"/>
    <w:rsid w:val="00AC77DD"/>
    <w:rsid w:val="00AC7B08"/>
    <w:rsid w:val="00AD4BEF"/>
    <w:rsid w:val="00AD78DA"/>
    <w:rsid w:val="00AE01A7"/>
    <w:rsid w:val="00AE0A2E"/>
    <w:rsid w:val="00AE18D7"/>
    <w:rsid w:val="00AE7C57"/>
    <w:rsid w:val="00AF3DE2"/>
    <w:rsid w:val="00AF5D9F"/>
    <w:rsid w:val="00B00955"/>
    <w:rsid w:val="00B06F17"/>
    <w:rsid w:val="00B077EB"/>
    <w:rsid w:val="00B10D43"/>
    <w:rsid w:val="00B11FDC"/>
    <w:rsid w:val="00B220E2"/>
    <w:rsid w:val="00B22294"/>
    <w:rsid w:val="00B23CBD"/>
    <w:rsid w:val="00B25807"/>
    <w:rsid w:val="00B279B3"/>
    <w:rsid w:val="00B300D0"/>
    <w:rsid w:val="00B3558A"/>
    <w:rsid w:val="00B35AFF"/>
    <w:rsid w:val="00B35D78"/>
    <w:rsid w:val="00B41D67"/>
    <w:rsid w:val="00B44F0C"/>
    <w:rsid w:val="00B55288"/>
    <w:rsid w:val="00B57781"/>
    <w:rsid w:val="00B60C50"/>
    <w:rsid w:val="00B65C3E"/>
    <w:rsid w:val="00B70200"/>
    <w:rsid w:val="00B728F2"/>
    <w:rsid w:val="00B816B6"/>
    <w:rsid w:val="00B8211E"/>
    <w:rsid w:val="00B82469"/>
    <w:rsid w:val="00B91AA8"/>
    <w:rsid w:val="00B934BD"/>
    <w:rsid w:val="00B9504C"/>
    <w:rsid w:val="00BA10DE"/>
    <w:rsid w:val="00BA292A"/>
    <w:rsid w:val="00BB11E9"/>
    <w:rsid w:val="00BB2A2F"/>
    <w:rsid w:val="00BB34B1"/>
    <w:rsid w:val="00BB3B87"/>
    <w:rsid w:val="00BC41F5"/>
    <w:rsid w:val="00BD167D"/>
    <w:rsid w:val="00BE235E"/>
    <w:rsid w:val="00BE3AE4"/>
    <w:rsid w:val="00BE4810"/>
    <w:rsid w:val="00BF3095"/>
    <w:rsid w:val="00BF3F27"/>
    <w:rsid w:val="00C03086"/>
    <w:rsid w:val="00C10934"/>
    <w:rsid w:val="00C13D89"/>
    <w:rsid w:val="00C161C3"/>
    <w:rsid w:val="00C16632"/>
    <w:rsid w:val="00C1771C"/>
    <w:rsid w:val="00C2116F"/>
    <w:rsid w:val="00C26D5F"/>
    <w:rsid w:val="00C30952"/>
    <w:rsid w:val="00C33153"/>
    <w:rsid w:val="00C33F6F"/>
    <w:rsid w:val="00C35F3E"/>
    <w:rsid w:val="00C44591"/>
    <w:rsid w:val="00C46F7E"/>
    <w:rsid w:val="00C4789F"/>
    <w:rsid w:val="00C47929"/>
    <w:rsid w:val="00C548E2"/>
    <w:rsid w:val="00C56B62"/>
    <w:rsid w:val="00C5794C"/>
    <w:rsid w:val="00C629BA"/>
    <w:rsid w:val="00C71909"/>
    <w:rsid w:val="00C76C10"/>
    <w:rsid w:val="00C81945"/>
    <w:rsid w:val="00C83701"/>
    <w:rsid w:val="00C8478D"/>
    <w:rsid w:val="00C856C3"/>
    <w:rsid w:val="00C86511"/>
    <w:rsid w:val="00C907BA"/>
    <w:rsid w:val="00CA1A80"/>
    <w:rsid w:val="00CA2AC6"/>
    <w:rsid w:val="00CA2F73"/>
    <w:rsid w:val="00CA4897"/>
    <w:rsid w:val="00CA7227"/>
    <w:rsid w:val="00CB40B6"/>
    <w:rsid w:val="00CB5DC8"/>
    <w:rsid w:val="00CC33DB"/>
    <w:rsid w:val="00CC3DA2"/>
    <w:rsid w:val="00CC47DE"/>
    <w:rsid w:val="00CD12A3"/>
    <w:rsid w:val="00CD627E"/>
    <w:rsid w:val="00CE6AD5"/>
    <w:rsid w:val="00CE6FEB"/>
    <w:rsid w:val="00D0193C"/>
    <w:rsid w:val="00D03E6F"/>
    <w:rsid w:val="00D04B1D"/>
    <w:rsid w:val="00D1018B"/>
    <w:rsid w:val="00D10F83"/>
    <w:rsid w:val="00D160E7"/>
    <w:rsid w:val="00D2181D"/>
    <w:rsid w:val="00D23C19"/>
    <w:rsid w:val="00D23DF5"/>
    <w:rsid w:val="00D314FC"/>
    <w:rsid w:val="00D32713"/>
    <w:rsid w:val="00D35C59"/>
    <w:rsid w:val="00D35C91"/>
    <w:rsid w:val="00D370A8"/>
    <w:rsid w:val="00D42D3B"/>
    <w:rsid w:val="00D443A6"/>
    <w:rsid w:val="00D45D86"/>
    <w:rsid w:val="00D46F1E"/>
    <w:rsid w:val="00D50FE1"/>
    <w:rsid w:val="00D52AEC"/>
    <w:rsid w:val="00D52FC6"/>
    <w:rsid w:val="00D55B49"/>
    <w:rsid w:val="00D57AF7"/>
    <w:rsid w:val="00D60C2F"/>
    <w:rsid w:val="00D6270C"/>
    <w:rsid w:val="00D66BB7"/>
    <w:rsid w:val="00D67DCC"/>
    <w:rsid w:val="00D71401"/>
    <w:rsid w:val="00D73DB9"/>
    <w:rsid w:val="00D76B09"/>
    <w:rsid w:val="00D801E3"/>
    <w:rsid w:val="00D83668"/>
    <w:rsid w:val="00D85362"/>
    <w:rsid w:val="00D92FD8"/>
    <w:rsid w:val="00DA4D6B"/>
    <w:rsid w:val="00DA5D09"/>
    <w:rsid w:val="00DA667F"/>
    <w:rsid w:val="00DA78D6"/>
    <w:rsid w:val="00DB00C6"/>
    <w:rsid w:val="00DB2877"/>
    <w:rsid w:val="00DB3B0D"/>
    <w:rsid w:val="00DB5948"/>
    <w:rsid w:val="00DB6CD0"/>
    <w:rsid w:val="00DB74E4"/>
    <w:rsid w:val="00DC16E7"/>
    <w:rsid w:val="00DC61DE"/>
    <w:rsid w:val="00DC7D94"/>
    <w:rsid w:val="00DD0579"/>
    <w:rsid w:val="00DD4AE1"/>
    <w:rsid w:val="00DE216F"/>
    <w:rsid w:val="00DE5476"/>
    <w:rsid w:val="00DE6149"/>
    <w:rsid w:val="00DE6A1A"/>
    <w:rsid w:val="00DF16F8"/>
    <w:rsid w:val="00DF2D07"/>
    <w:rsid w:val="00DF4DED"/>
    <w:rsid w:val="00DF6DF8"/>
    <w:rsid w:val="00E01715"/>
    <w:rsid w:val="00E07580"/>
    <w:rsid w:val="00E07F78"/>
    <w:rsid w:val="00E12935"/>
    <w:rsid w:val="00E13112"/>
    <w:rsid w:val="00E154CE"/>
    <w:rsid w:val="00E17C73"/>
    <w:rsid w:val="00E17DE1"/>
    <w:rsid w:val="00E2033D"/>
    <w:rsid w:val="00E24230"/>
    <w:rsid w:val="00E248C0"/>
    <w:rsid w:val="00E25B21"/>
    <w:rsid w:val="00E25EEA"/>
    <w:rsid w:val="00E341A4"/>
    <w:rsid w:val="00E37CF9"/>
    <w:rsid w:val="00E403AD"/>
    <w:rsid w:val="00E405D2"/>
    <w:rsid w:val="00E416B4"/>
    <w:rsid w:val="00E452C4"/>
    <w:rsid w:val="00E45B10"/>
    <w:rsid w:val="00E46CD7"/>
    <w:rsid w:val="00E47489"/>
    <w:rsid w:val="00E474C3"/>
    <w:rsid w:val="00E51861"/>
    <w:rsid w:val="00E51C02"/>
    <w:rsid w:val="00E53F31"/>
    <w:rsid w:val="00E545D5"/>
    <w:rsid w:val="00E5571B"/>
    <w:rsid w:val="00E62071"/>
    <w:rsid w:val="00E6448D"/>
    <w:rsid w:val="00E6663B"/>
    <w:rsid w:val="00E66861"/>
    <w:rsid w:val="00E7004E"/>
    <w:rsid w:val="00E7022A"/>
    <w:rsid w:val="00E70643"/>
    <w:rsid w:val="00E708DD"/>
    <w:rsid w:val="00E909FA"/>
    <w:rsid w:val="00E9236A"/>
    <w:rsid w:val="00EA0D0A"/>
    <w:rsid w:val="00EA18F0"/>
    <w:rsid w:val="00EA2957"/>
    <w:rsid w:val="00EA2B67"/>
    <w:rsid w:val="00EA43E6"/>
    <w:rsid w:val="00EA771A"/>
    <w:rsid w:val="00EB095B"/>
    <w:rsid w:val="00EB4F5E"/>
    <w:rsid w:val="00EB50E9"/>
    <w:rsid w:val="00EB7B86"/>
    <w:rsid w:val="00EC46DF"/>
    <w:rsid w:val="00ED3EE4"/>
    <w:rsid w:val="00ED4DDE"/>
    <w:rsid w:val="00ED5574"/>
    <w:rsid w:val="00EE24D4"/>
    <w:rsid w:val="00EE27E8"/>
    <w:rsid w:val="00EE5A4C"/>
    <w:rsid w:val="00EF0366"/>
    <w:rsid w:val="00EF138A"/>
    <w:rsid w:val="00EF2535"/>
    <w:rsid w:val="00F06B86"/>
    <w:rsid w:val="00F07F52"/>
    <w:rsid w:val="00F10E57"/>
    <w:rsid w:val="00F13A61"/>
    <w:rsid w:val="00F16658"/>
    <w:rsid w:val="00F3246D"/>
    <w:rsid w:val="00F33706"/>
    <w:rsid w:val="00F408F4"/>
    <w:rsid w:val="00F44571"/>
    <w:rsid w:val="00F53615"/>
    <w:rsid w:val="00F53619"/>
    <w:rsid w:val="00F572E0"/>
    <w:rsid w:val="00F61743"/>
    <w:rsid w:val="00F648A9"/>
    <w:rsid w:val="00F67B09"/>
    <w:rsid w:val="00F705F8"/>
    <w:rsid w:val="00F70B1C"/>
    <w:rsid w:val="00F759C3"/>
    <w:rsid w:val="00F75F9F"/>
    <w:rsid w:val="00F80CC7"/>
    <w:rsid w:val="00F820E4"/>
    <w:rsid w:val="00F870BE"/>
    <w:rsid w:val="00FA1DCF"/>
    <w:rsid w:val="00FA1E84"/>
    <w:rsid w:val="00FA4176"/>
    <w:rsid w:val="00FB4698"/>
    <w:rsid w:val="00FC554D"/>
    <w:rsid w:val="00FC5E2B"/>
    <w:rsid w:val="00FC5F49"/>
    <w:rsid w:val="00FD1104"/>
    <w:rsid w:val="00FD28FD"/>
    <w:rsid w:val="00FD5189"/>
    <w:rsid w:val="00FD6C18"/>
    <w:rsid w:val="00FE5743"/>
    <w:rsid w:val="00FE5B11"/>
    <w:rsid w:val="00FF28FC"/>
    <w:rsid w:val="00FF2FC2"/>
    <w:rsid w:val="00FF34A5"/>
    <w:rsid w:val="00FF4139"/>
    <w:rsid w:val="00FF7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4205B"/>
  <w15:chartTrackingRefBased/>
  <w15:docId w15:val="{0AE042DF-5F9D-4F57-8DE4-B3E9589B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FED"/>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762FED"/>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762FED"/>
    <w:pPr>
      <w:outlineLvl w:val="1"/>
    </w:pPr>
    <w:rPr>
      <w:sz w:val="28"/>
    </w:rPr>
  </w:style>
  <w:style w:type="paragraph" w:styleId="Heading3">
    <w:name w:val="heading 3"/>
    <w:basedOn w:val="Normal"/>
    <w:next w:val="Normal"/>
    <w:link w:val="Heading3Char"/>
    <w:uiPriority w:val="9"/>
    <w:unhideWhenUsed/>
    <w:qFormat/>
    <w:rsid w:val="00762FED"/>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762FED"/>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762FE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762FED"/>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762FED"/>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762FE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762FE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FED"/>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762FED"/>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762FED"/>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762FED"/>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762FED"/>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762FED"/>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762FED"/>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762FED"/>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62FED"/>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762FED"/>
    <w:pPr>
      <w:ind w:left="862" w:right="862"/>
      <w:jc w:val="center"/>
    </w:pPr>
    <w:rPr>
      <w:i/>
      <w:iCs/>
      <w:color w:val="404040" w:themeColor="text1" w:themeTint="BF"/>
    </w:rPr>
  </w:style>
  <w:style w:type="character" w:customStyle="1" w:styleId="QuoteChar">
    <w:name w:val="Quote Char"/>
    <w:basedOn w:val="DefaultParagraphFont"/>
    <w:link w:val="Quote"/>
    <w:uiPriority w:val="29"/>
    <w:rsid w:val="00762FED"/>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762FED"/>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762FED"/>
    <w:pPr>
      <w:tabs>
        <w:tab w:val="center" w:pos="4320"/>
        <w:tab w:val="right" w:pos="8640"/>
      </w:tabs>
    </w:pPr>
  </w:style>
  <w:style w:type="character" w:customStyle="1" w:styleId="HeaderChar">
    <w:name w:val="Header Char"/>
    <w:basedOn w:val="DefaultParagraphFont"/>
    <w:link w:val="Header"/>
    <w:uiPriority w:val="99"/>
    <w:rsid w:val="00762FED"/>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762FED"/>
    <w:pPr>
      <w:tabs>
        <w:tab w:val="center" w:pos="4320"/>
        <w:tab w:val="right" w:pos="8640"/>
      </w:tabs>
    </w:pPr>
  </w:style>
  <w:style w:type="character" w:customStyle="1" w:styleId="FooterChar">
    <w:name w:val="Footer Char"/>
    <w:basedOn w:val="DefaultParagraphFont"/>
    <w:link w:val="Footer"/>
    <w:uiPriority w:val="99"/>
    <w:rsid w:val="00762FED"/>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762FED"/>
    <w:rPr>
      <w:noProof w:val="0"/>
    </w:rPr>
  </w:style>
  <w:style w:type="character" w:styleId="Hyperlink">
    <w:name w:val="Hyperlink"/>
    <w:basedOn w:val="DefaultParagraphFont"/>
    <w:uiPriority w:val="99"/>
    <w:unhideWhenUsed/>
    <w:rsid w:val="00762FED"/>
    <w:rPr>
      <w:noProof w:val="0"/>
      <w:color w:val="467886" w:themeColor="hyperlink"/>
      <w:u w:val="single"/>
    </w:rPr>
  </w:style>
  <w:style w:type="paragraph" w:styleId="Revision">
    <w:name w:val="Revision"/>
    <w:hidden/>
    <w:uiPriority w:val="99"/>
    <w:semiHidden/>
    <w:rsid w:val="00762FED"/>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762FED"/>
    <w:pPr>
      <w:spacing w:after="120"/>
    </w:pPr>
    <w:rPr>
      <w:b/>
      <w:bCs/>
      <w:color w:val="FFFFFF"/>
      <w:sz w:val="32"/>
      <w:szCs w:val="32"/>
    </w:rPr>
  </w:style>
  <w:style w:type="paragraph" w:customStyle="1" w:styleId="Headline">
    <w:name w:val="Headline"/>
    <w:basedOn w:val="Normal"/>
    <w:next w:val="Normal"/>
    <w:link w:val="HeadlineChar"/>
    <w:qFormat/>
    <w:rsid w:val="00762FED"/>
    <w:rPr>
      <w:rFonts w:ascii="Segoe UI Semilight" w:hAnsi="Segoe UI Semilight" w:cs="Segoe UI Semilight"/>
      <w:b/>
      <w:bCs/>
      <w:color w:val="FFFFFF"/>
      <w:sz w:val="40"/>
      <w:szCs w:val="40"/>
    </w:rPr>
  </w:style>
  <w:style w:type="paragraph" w:customStyle="1" w:styleId="ExhibitTitle">
    <w:name w:val="Exhibit Title"/>
    <w:basedOn w:val="Normal"/>
    <w:qFormat/>
    <w:rsid w:val="00762FED"/>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762FED"/>
    <w:pPr>
      <w:shd w:val="clear" w:color="auto" w:fill="D6E2FA"/>
      <w:spacing w:after="0"/>
    </w:pPr>
    <w:rPr>
      <w:color w:val="595959" w:themeColor="text1" w:themeTint="A6"/>
      <w:sz w:val="18"/>
    </w:rPr>
  </w:style>
  <w:style w:type="paragraph" w:customStyle="1" w:styleId="ExhibitSource">
    <w:name w:val="Exhibit Source"/>
    <w:next w:val="Normal"/>
    <w:qFormat/>
    <w:rsid w:val="00762FED"/>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762FED"/>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762FED"/>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762FED"/>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762FED"/>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762FED"/>
    <w:rPr>
      <w:rFonts w:ascii="Segoe UI" w:hAnsi="Segoe UI" w:cs="Segoe UI"/>
      <w:noProof w:val="0"/>
      <w:color w:val="000000" w:themeColor="text1"/>
    </w:rPr>
  </w:style>
  <w:style w:type="paragraph" w:customStyle="1" w:styleId="Summary">
    <w:name w:val="Summary"/>
    <w:basedOn w:val="Normal"/>
    <w:link w:val="SummaryChar"/>
    <w:qFormat/>
    <w:rsid w:val="00762FED"/>
    <w:pPr>
      <w:numPr>
        <w:numId w:val="1"/>
      </w:numPr>
      <w:ind w:left="1797" w:hanging="357"/>
    </w:pPr>
    <w:rPr>
      <w:kern w:val="2"/>
      <w:sz w:val="22"/>
      <w14:ligatures w14:val="standardContextual"/>
    </w:rPr>
  </w:style>
  <w:style w:type="paragraph" w:customStyle="1" w:styleId="TableData">
    <w:name w:val="Table Data"/>
    <w:link w:val="TableDataChar"/>
    <w:qFormat/>
    <w:rsid w:val="00762FED"/>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762FED"/>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762FED"/>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762FED"/>
    <w:pPr>
      <w:spacing w:before="0" w:after="0"/>
      <w:jc w:val="right"/>
    </w:pPr>
    <w:rPr>
      <w:color w:val="003469"/>
      <w:sz w:val="24"/>
      <w:szCs w:val="24"/>
    </w:rPr>
  </w:style>
  <w:style w:type="paragraph" w:customStyle="1" w:styleId="Author">
    <w:name w:val="Author"/>
    <w:basedOn w:val="Bullet"/>
    <w:link w:val="AuthorChar"/>
    <w:qFormat/>
    <w:rsid w:val="00762FED"/>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762FED"/>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762FED"/>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762FED"/>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762FED"/>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762FED"/>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762FED"/>
    <w:rPr>
      <w:color w:val="003469"/>
    </w:rPr>
  </w:style>
  <w:style w:type="character" w:customStyle="1" w:styleId="RepeatingFooterChar">
    <w:name w:val="Repeating Footer Char"/>
    <w:basedOn w:val="FooterChar"/>
    <w:link w:val="RepeatingFooter"/>
    <w:rsid w:val="00762FED"/>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762FED"/>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762FED"/>
    <w:rPr>
      <w:b/>
      <w:bCs/>
      <w:noProof w:val="0"/>
    </w:rPr>
  </w:style>
  <w:style w:type="character" w:customStyle="1" w:styleId="Italics">
    <w:name w:val="Italics"/>
    <w:uiPriority w:val="1"/>
    <w:qFormat/>
    <w:rsid w:val="00762FED"/>
    <w:rPr>
      <w:i/>
      <w:iCs/>
      <w:noProof w:val="0"/>
    </w:rPr>
  </w:style>
  <w:style w:type="table" w:customStyle="1" w:styleId="TableGridHeader">
    <w:name w:val="Table Grid Header"/>
    <w:basedOn w:val="TableNormal"/>
    <w:uiPriority w:val="99"/>
    <w:rsid w:val="00762FED"/>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89737">
      <w:bodyDiv w:val="1"/>
      <w:marLeft w:val="0"/>
      <w:marRight w:val="0"/>
      <w:marTop w:val="0"/>
      <w:marBottom w:val="0"/>
      <w:divBdr>
        <w:top w:val="none" w:sz="0" w:space="0" w:color="auto"/>
        <w:left w:val="none" w:sz="0" w:space="0" w:color="auto"/>
        <w:bottom w:val="none" w:sz="0" w:space="0" w:color="auto"/>
        <w:right w:val="none" w:sz="0" w:space="0" w:color="auto"/>
      </w:divBdr>
      <w:divsChild>
        <w:div w:id="1080368244">
          <w:marLeft w:val="0"/>
          <w:marRight w:val="0"/>
          <w:marTop w:val="0"/>
          <w:marBottom w:val="0"/>
          <w:divBdr>
            <w:top w:val="none" w:sz="0" w:space="0" w:color="auto"/>
            <w:left w:val="none" w:sz="0" w:space="0" w:color="auto"/>
            <w:bottom w:val="none" w:sz="0" w:space="0" w:color="auto"/>
            <w:right w:val="none" w:sz="0" w:space="0" w:color="auto"/>
          </w:divBdr>
          <w:divsChild>
            <w:div w:id="113839837">
              <w:marLeft w:val="0"/>
              <w:marRight w:val="0"/>
              <w:marTop w:val="0"/>
              <w:marBottom w:val="0"/>
              <w:divBdr>
                <w:top w:val="none" w:sz="0" w:space="0" w:color="auto"/>
                <w:left w:val="none" w:sz="0" w:space="0" w:color="auto"/>
                <w:bottom w:val="none" w:sz="0" w:space="0" w:color="auto"/>
                <w:right w:val="none" w:sz="0" w:space="0" w:color="auto"/>
              </w:divBdr>
            </w:div>
          </w:divsChild>
        </w:div>
        <w:div w:id="402526756">
          <w:marLeft w:val="0"/>
          <w:marRight w:val="0"/>
          <w:marTop w:val="0"/>
          <w:marBottom w:val="0"/>
          <w:divBdr>
            <w:top w:val="none" w:sz="0" w:space="0" w:color="auto"/>
            <w:left w:val="none" w:sz="0" w:space="0" w:color="auto"/>
            <w:bottom w:val="none" w:sz="0" w:space="0" w:color="auto"/>
            <w:right w:val="none" w:sz="0" w:space="0" w:color="auto"/>
          </w:divBdr>
          <w:divsChild>
            <w:div w:id="47437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841259">
      <w:bodyDiv w:val="1"/>
      <w:marLeft w:val="0"/>
      <w:marRight w:val="0"/>
      <w:marTop w:val="0"/>
      <w:marBottom w:val="0"/>
      <w:divBdr>
        <w:top w:val="none" w:sz="0" w:space="0" w:color="auto"/>
        <w:left w:val="none" w:sz="0" w:space="0" w:color="auto"/>
        <w:bottom w:val="none" w:sz="0" w:space="0" w:color="auto"/>
        <w:right w:val="none" w:sz="0" w:space="0" w:color="auto"/>
      </w:divBdr>
    </w:div>
    <w:div w:id="872573808">
      <w:bodyDiv w:val="1"/>
      <w:marLeft w:val="0"/>
      <w:marRight w:val="0"/>
      <w:marTop w:val="0"/>
      <w:marBottom w:val="0"/>
      <w:divBdr>
        <w:top w:val="none" w:sz="0" w:space="0" w:color="auto"/>
        <w:left w:val="none" w:sz="0" w:space="0" w:color="auto"/>
        <w:bottom w:val="none" w:sz="0" w:space="0" w:color="auto"/>
        <w:right w:val="none" w:sz="0" w:space="0" w:color="auto"/>
      </w:divBdr>
      <w:divsChild>
        <w:div w:id="38869943">
          <w:marLeft w:val="0"/>
          <w:marRight w:val="0"/>
          <w:marTop w:val="0"/>
          <w:marBottom w:val="0"/>
          <w:divBdr>
            <w:top w:val="none" w:sz="0" w:space="0" w:color="auto"/>
            <w:left w:val="none" w:sz="0" w:space="0" w:color="auto"/>
            <w:bottom w:val="none" w:sz="0" w:space="0" w:color="auto"/>
            <w:right w:val="none" w:sz="0" w:space="0" w:color="auto"/>
          </w:divBdr>
          <w:divsChild>
            <w:div w:id="863174769">
              <w:marLeft w:val="0"/>
              <w:marRight w:val="0"/>
              <w:marTop w:val="0"/>
              <w:marBottom w:val="0"/>
              <w:divBdr>
                <w:top w:val="none" w:sz="0" w:space="0" w:color="auto"/>
                <w:left w:val="none" w:sz="0" w:space="0" w:color="auto"/>
                <w:bottom w:val="none" w:sz="0" w:space="0" w:color="auto"/>
                <w:right w:val="none" w:sz="0" w:space="0" w:color="auto"/>
              </w:divBdr>
            </w:div>
          </w:divsChild>
        </w:div>
        <w:div w:id="1643119941">
          <w:marLeft w:val="0"/>
          <w:marRight w:val="0"/>
          <w:marTop w:val="0"/>
          <w:marBottom w:val="0"/>
          <w:divBdr>
            <w:top w:val="none" w:sz="0" w:space="0" w:color="auto"/>
            <w:left w:val="none" w:sz="0" w:space="0" w:color="auto"/>
            <w:bottom w:val="none" w:sz="0" w:space="0" w:color="auto"/>
            <w:right w:val="none" w:sz="0" w:space="0" w:color="auto"/>
          </w:divBdr>
          <w:divsChild>
            <w:div w:id="11693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9.png"/><Relationship Id="rId26" Type="http://schemas.openxmlformats.org/officeDocument/2006/relationships/hyperlink" Target="https://www.bankofengland.co.uk/speech/2025/october/alan-taylor-remarks-and-fireside-chat-with-gillian-tett-at-cambridge"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yperlink" Target="https://www.bankofengland.co.uk/decision-maker-panel/2025/september-2025" TargetMode="External"/><Relationship Id="rId25" Type="http://schemas.openxmlformats.org/officeDocument/2006/relationships/hyperlink" Target="https://www.bankofengland.co.uk/speech/2025/october/huw-pill-speech-at-institute-of-chartered-accountants-in-england-and-wales-annual-conference-2025"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oxfordeconomics.com/reports/1df86d2fa3CC4905a4552f" TargetMode="External"/><Relationship Id="rId20" Type="http://schemas.openxmlformats.org/officeDocument/2006/relationships/hyperlink" Target="https://my.oxfordeconomics.com/reportaction/7cc08cBe6dCD440f86f24c/Toc" TargetMode="External"/><Relationship Id="rId29" Type="http://schemas.openxmlformats.org/officeDocument/2006/relationships/hyperlink" Target="https://www.bankofengland.co.uk/speech/2025/september/sarah-breeden-speech-cardiff-business-school-afternoon-brief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my.oxfordeconomics.com/reports/98e8437c15514b25844A82" TargetMode="External"/><Relationship Id="rId32" Type="http://schemas.openxmlformats.org/officeDocument/2006/relationships/hyperlink" Target="https://www.bankofengland.co.uk/speech/2025/september/megan-greene-university-of-glasgow-business-school" TargetMode="External"/><Relationship Id="rId5" Type="http://schemas.openxmlformats.org/officeDocument/2006/relationships/footnotes" Target="footnotes.xml"/><Relationship Id="rId15" Type="http://schemas.openxmlformats.org/officeDocument/2006/relationships/hyperlink" Target="https://my.oxfordeconomics.com/reportaction/83f3Bc9c3cE74f76a18C5d/Toc" TargetMode="External"/><Relationship Id="rId23" Type="http://schemas.openxmlformats.org/officeDocument/2006/relationships/hyperlink" Target="https://www.bankofengland.co.uk/-/media/boe/files/speech/2025/october/evolving-uk-monetary-policy-in-an-evolving-world-speech-by-huw-pill.pdf" TargetMode="External"/><Relationship Id="rId28" Type="http://schemas.openxmlformats.org/officeDocument/2006/relationships/hyperlink" Target="https://www.bankofengland.co.uk/speech/2025/october/catherine-l-mann-keynote-speech-at-resolution-foundation" TargetMode="External"/><Relationship Id="rId10" Type="http://schemas.openxmlformats.org/officeDocument/2006/relationships/header" Target="header2.xml"/><Relationship Id="rId19" Type="http://schemas.openxmlformats.org/officeDocument/2006/relationships/image" Target="media/image10.svg"/><Relationship Id="rId31" Type="http://schemas.openxmlformats.org/officeDocument/2006/relationships/hyperlink" Target="https://www.thetimes.com/business-money/economics/article/inflation-looks-like-a-particularly-british-problem-but-it-isnt-nwfn0zwjv"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2.svg"/><Relationship Id="rId27" Type="http://schemas.openxmlformats.org/officeDocument/2006/relationships/hyperlink" Target="https://www.bloomberg.com/news/articles/2025-10-14/bank-of-england-s-bailey-airs-concern-over-weak-uk-jobs-market" TargetMode="External"/><Relationship Id="rId30" Type="http://schemas.openxmlformats.org/officeDocument/2006/relationships/hyperlink" Target="https://www.ecb.europa.eu/press/conferences/html/20250929_inflation_conference.en.html" TargetMode="External"/><Relationship Id="rId35" Type="http://schemas.openxmlformats.org/officeDocument/2006/relationships/theme" Target="theme/theme1.xml"/><Relationship Id="rId8" Type="http://schemas.openxmlformats.org/officeDocument/2006/relationships/image" Target="media/image2.sv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31B5297A-5C5C-4EF7-8A17-428E34B1DED8}"/>
      </w:docPartPr>
      <w:docPartBody>
        <w:p w:rsidR="006C5B33" w:rsidRDefault="006C5B33">
          <w:r w:rsidRPr="00582F47">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3"/>
    <w:rsid w:val="003469AD"/>
    <w:rsid w:val="003E64B8"/>
    <w:rsid w:val="004356FB"/>
    <w:rsid w:val="00461C36"/>
    <w:rsid w:val="0057340A"/>
    <w:rsid w:val="006C5B33"/>
    <w:rsid w:val="00AC11E7"/>
    <w:rsid w:val="00E341A4"/>
    <w:rsid w:val="00E9236A"/>
    <w:rsid w:val="00F870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1954</Words>
  <Characters>11143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29</cp:revision>
  <dcterms:created xsi:type="dcterms:W3CDTF">2025-10-28T09:37:00Z</dcterms:created>
  <dcterms:modified xsi:type="dcterms:W3CDTF">2025-10-30T18:27:00Z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2025-10-30T09:17:42.000Z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OEP_KEY_THEMES">
    <vt:lpwstr>interest rates,monetary policy</vt:lpwstr>
  </property>
  <property fmtid="{D5CDD505-2E9C-101B-9397-08002B2CF9AE}" pid="17" name="OEP_PRODUCT_CODE">
    <vt:lpwstr>1b5A93406a6C449fa60C87</vt:lpwstr>
  </property>
  <property fmtid="{D5CDD505-2E9C-101B-9397-08002B2CF9AE}" pid="18" name="OEP_PUBLISH_DATE">
    <vt:lpwstr>2025-10-30T09:32:42.000Z</vt:lpwstr>
  </property>
</Properties>
</file>