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A4ADF" w14:textId="149996F2" w:rsidR="00843545" w:rsidRDefault="00AE7B5A" w:rsidP="00843545">
      <w:pPr>
        <w:pStyle w:val="Bullet"/>
      </w:pPr>
      <w:r>
        <w:t xml:space="preserve">The Bank of England's Monetary Policy Committee narrowly voted to keep Bank Rate at 4% </w:t>
      </w:r>
      <w:r w:rsidR="00316340">
        <w:t xml:space="preserve">today but </w:t>
      </w:r>
      <w:r w:rsidR="005A78CB">
        <w:t xml:space="preserve">laid the ground to cut again in one of the next two meetings. We lean towards a </w:t>
      </w:r>
      <w:r>
        <w:t>December cut</w:t>
      </w:r>
      <w:r w:rsidR="00AA4ED1">
        <w:t>,</w:t>
      </w:r>
      <w:r>
        <w:t xml:space="preserve"> </w:t>
      </w:r>
      <w:r w:rsidR="005A78CB">
        <w:t xml:space="preserve">given </w:t>
      </w:r>
      <w:r w:rsidR="00786B45">
        <w:t xml:space="preserve">this month's </w:t>
      </w:r>
      <w:r w:rsidR="005A78CB">
        <w:t xml:space="preserve">Budget </w:t>
      </w:r>
      <w:r w:rsidR="00786B45">
        <w:t>is likely to</w:t>
      </w:r>
      <w:r w:rsidR="005A78CB">
        <w:t xml:space="preserve"> significantly tighten fiscal policy</w:t>
      </w:r>
      <w:r>
        <w:t>.</w:t>
      </w:r>
    </w:p>
    <w:p w14:paraId="11D04B48" w14:textId="2D7989B9" w:rsidR="00843545" w:rsidRDefault="005A78CB" w:rsidP="00843545">
      <w:pPr>
        <w:pStyle w:val="Bullet"/>
      </w:pPr>
      <w:r>
        <w:t xml:space="preserve">Governor Andrew Bailey was again the swing </w:t>
      </w:r>
      <w:proofErr w:type="spellStart"/>
      <w:r>
        <w:t>voter</w:t>
      </w:r>
      <w:proofErr w:type="spellEnd"/>
      <w:r>
        <w:t xml:space="preserve"> </w:t>
      </w:r>
      <w:r w:rsidR="00512F90">
        <w:t xml:space="preserve">in November. </w:t>
      </w:r>
      <w:r w:rsidR="00AE7B5A">
        <w:t xml:space="preserve">Though </w:t>
      </w:r>
      <w:r w:rsidR="00512F90">
        <w:t xml:space="preserve">he </w:t>
      </w:r>
      <w:r w:rsidR="00AE7B5A">
        <w:t>voted to hold, his statement was dovish</w:t>
      </w:r>
      <w:r w:rsidR="00506955">
        <w:t xml:space="preserve"> and the bar to </w:t>
      </w:r>
      <w:r w:rsidR="00512F90">
        <w:t xml:space="preserve">him </w:t>
      </w:r>
      <w:r w:rsidR="00506955">
        <w:t xml:space="preserve">switching vote looks low. </w:t>
      </w:r>
      <w:r w:rsidR="000C54F9">
        <w:t xml:space="preserve">We think </w:t>
      </w:r>
      <w:r w:rsidR="003C72B9">
        <w:t>a</w:t>
      </w:r>
      <w:r w:rsidR="000C54F9">
        <w:t xml:space="preserve"> fall in inf</w:t>
      </w:r>
      <w:r w:rsidR="00506955">
        <w:t>lation before the next meeting</w:t>
      </w:r>
      <w:r w:rsidR="000C54F9">
        <w:t xml:space="preserve"> </w:t>
      </w:r>
      <w:r w:rsidR="00506955">
        <w:t xml:space="preserve">and </w:t>
      </w:r>
      <w:r w:rsidR="000C54F9">
        <w:t>a front-loading of fiscal tightening would likely tip the balance</w:t>
      </w:r>
      <w:r w:rsidR="00506955">
        <w:t>.</w:t>
      </w:r>
    </w:p>
    <w:p w14:paraId="4304B40C" w14:textId="5FA5F596" w:rsidR="00843545" w:rsidRDefault="003C72B9" w:rsidP="00843545">
      <w:pPr>
        <w:pStyle w:val="Bullet"/>
      </w:pPr>
      <w:r>
        <w:t>Most of the MPC think policy is still restrictive and signalled that the risks to inflation ha</w:t>
      </w:r>
      <w:r w:rsidR="00C11B87">
        <w:t>ve</w:t>
      </w:r>
      <w:r>
        <w:t xml:space="preserve"> shifted from the upside into balance</w:t>
      </w:r>
      <w:r w:rsidR="00843545">
        <w:t>.</w:t>
      </w:r>
      <w:r>
        <w:t xml:space="preserve"> W</w:t>
      </w:r>
      <w:r w:rsidR="002B28EA">
        <w:t>e expect activity to disappoint the MPC's expectations next year, resulting in</w:t>
      </w:r>
      <w:r>
        <w:t xml:space="preserve"> two 25bps cuts </w:t>
      </w:r>
      <w:r w:rsidR="002B28EA">
        <w:t xml:space="preserve">that </w:t>
      </w:r>
      <w:r w:rsidR="00786B45">
        <w:t xml:space="preserve">lower </w:t>
      </w:r>
      <w:r w:rsidR="002B28EA">
        <w:t xml:space="preserve">Bank Rate </w:t>
      </w:r>
      <w:r w:rsidR="00786B45">
        <w:t xml:space="preserve">to </w:t>
      </w:r>
      <w:r w:rsidR="002B28EA">
        <w:t>3.25%</w:t>
      </w:r>
      <w:r w:rsidR="00786B45">
        <w:t xml:space="preserve"> by</w:t>
      </w:r>
      <w:r w:rsidR="00786B45" w:rsidRPr="00786B45">
        <w:t xml:space="preserve"> </w:t>
      </w:r>
      <w:r w:rsidR="00786B45">
        <w:t>end-2026.</w:t>
      </w:r>
    </w:p>
    <w:p w14:paraId="04C6A571" w14:textId="20490F3B" w:rsidR="009318B1" w:rsidRDefault="004E73FD" w:rsidP="00843545">
      <w:r w:rsidRPr="004E73FD">
        <w:t xml:space="preserve">The Bank of England's Monetary Policy Committee voted </w:t>
      </w:r>
      <w:r w:rsidR="0007595F">
        <w:t>5-4</w:t>
      </w:r>
      <w:r>
        <w:t xml:space="preserve"> </w:t>
      </w:r>
      <w:r w:rsidRPr="004E73FD">
        <w:t xml:space="preserve">to </w:t>
      </w:r>
      <w:r>
        <w:t xml:space="preserve">hold </w:t>
      </w:r>
      <w:r w:rsidRPr="004E73FD">
        <w:t xml:space="preserve">Bank Rate </w:t>
      </w:r>
      <w:r>
        <w:t>at</w:t>
      </w:r>
      <w:r w:rsidRPr="004E73FD">
        <w:t xml:space="preserve"> 4% at today's meeting</w:t>
      </w:r>
      <w:r w:rsidR="00843545">
        <w:t xml:space="preserve">. </w:t>
      </w:r>
      <w:r>
        <w:t xml:space="preserve">The </w:t>
      </w:r>
      <w:r w:rsidR="0007595F">
        <w:t>four</w:t>
      </w:r>
      <w:r>
        <w:t xml:space="preserve"> dissenters</w:t>
      </w:r>
      <w:r w:rsidR="00786B45">
        <w:t xml:space="preserve"> –</w:t>
      </w:r>
      <w:r>
        <w:t xml:space="preserve"> </w:t>
      </w:r>
      <w:r w:rsidR="0007595F">
        <w:t>Sarah Breed</w:t>
      </w:r>
      <w:r w:rsidR="002B0B7A">
        <w:t>o</w:t>
      </w:r>
      <w:r w:rsidR="0007595F">
        <w:t xml:space="preserve">n, </w:t>
      </w:r>
      <w:r>
        <w:t>Swati Dhingra</w:t>
      </w:r>
      <w:r w:rsidR="0007595F">
        <w:t>, Dave Ramsden,</w:t>
      </w:r>
      <w:r>
        <w:t xml:space="preserve"> and Alan Taylor</w:t>
      </w:r>
      <w:r w:rsidR="00786B45">
        <w:t xml:space="preserve"> –</w:t>
      </w:r>
      <w:r>
        <w:t xml:space="preserve"> preferred a 25bp cut.</w:t>
      </w:r>
    </w:p>
    <w:p w14:paraId="4BE5E343" w14:textId="4A66002D" w:rsidR="008A3828" w:rsidRDefault="009318B1" w:rsidP="00843545">
      <w:r>
        <w:t xml:space="preserve">Changes to the minutes meant </w:t>
      </w:r>
      <w:r w:rsidR="00786B45">
        <w:t xml:space="preserve">for the first time </w:t>
      </w:r>
      <w:r>
        <w:t xml:space="preserve">each member </w:t>
      </w:r>
      <w:r w:rsidR="00786B45">
        <w:t xml:space="preserve">presented </w:t>
      </w:r>
      <w:r>
        <w:t xml:space="preserve">a paragraph </w:t>
      </w:r>
      <w:r w:rsidR="00786B45">
        <w:t xml:space="preserve">summarising </w:t>
      </w:r>
      <w:r>
        <w:t xml:space="preserve">their views. </w:t>
      </w:r>
      <w:r w:rsidR="00AE7B5A">
        <w:t>Governor Andrew Bailey was the swing voter</w:t>
      </w:r>
      <w:r>
        <w:t>, and his paragraph s</w:t>
      </w:r>
      <w:r w:rsidR="009D5820">
        <w:t xml:space="preserve">uggested it was a close call. He felt that "upside risks to inflation have become less pressing" and that "the latest CPI data were promising". This gave the clear impression that Bailey will be willing to switch votes if headline inflation continues to fall. </w:t>
      </w:r>
    </w:p>
    <w:p w14:paraId="2B211F22" w14:textId="098B669A" w:rsidR="00C3270D" w:rsidRDefault="008A3828" w:rsidP="004F3F71">
      <w:r>
        <w:t xml:space="preserve">This leaves a December rate cut very much in play. </w:t>
      </w:r>
      <w:r w:rsidR="00786B45">
        <w:t>T</w:t>
      </w:r>
      <w:r w:rsidR="009D5820">
        <w:t xml:space="preserve">wo more inflation </w:t>
      </w:r>
      <w:r w:rsidR="00786B45">
        <w:t xml:space="preserve">prints will be released </w:t>
      </w:r>
      <w:r w:rsidR="009D5820">
        <w:t xml:space="preserve">before </w:t>
      </w:r>
      <w:r>
        <w:t xml:space="preserve">that </w:t>
      </w:r>
      <w:r w:rsidR="009D5820">
        <w:t>meeting</w:t>
      </w:r>
      <w:r w:rsidR="00855D95">
        <w:t>, but they may not provide a clear steer</w:t>
      </w:r>
      <w:r w:rsidR="00104198">
        <w:t xml:space="preserve">. Using the BoE's </w:t>
      </w:r>
      <w:r w:rsidR="00B80AA2">
        <w:t xml:space="preserve">staff </w:t>
      </w:r>
      <w:r w:rsidR="00104198">
        <w:t xml:space="preserve">forecast as a benchmark, we think </w:t>
      </w:r>
      <w:r w:rsidR="00786B45">
        <w:t xml:space="preserve">the </w:t>
      </w:r>
      <w:r w:rsidR="00104198">
        <w:t xml:space="preserve">October </w:t>
      </w:r>
      <w:r w:rsidR="00786B45">
        <w:t>figure</w:t>
      </w:r>
      <w:r w:rsidR="00104198">
        <w:t xml:space="preserve"> will come in </w:t>
      </w:r>
      <w:r w:rsidR="00786B45">
        <w:t xml:space="preserve">below </w:t>
      </w:r>
      <w:r w:rsidR="00104198">
        <w:t>expect</w:t>
      </w:r>
      <w:r w:rsidR="00786B45">
        <w:t>ations</w:t>
      </w:r>
      <w:r w:rsidR="00104198">
        <w:t xml:space="preserve"> and November will be </w:t>
      </w:r>
      <w:r w:rsidR="00855D95">
        <w:t>higher</w:t>
      </w:r>
      <w:r w:rsidR="00104198">
        <w:t xml:space="preserve"> (</w:t>
      </w:r>
      <w:r w:rsidR="000D3E8D" w:rsidRPr="00E42692">
        <w:rPr>
          <w:b/>
          <w:color w:val="003469"/>
        </w:rPr>
        <w:fldChar w:fldCharType="begin"/>
      </w:r>
      <w:r w:rsidR="00E42692" w:rsidRPr="00E42692">
        <w:rPr>
          <w:b/>
          <w:color w:val="003469"/>
        </w:rPr>
        <w:instrText xml:space="preserve">REF _Ref213332698 \h \* Charformat </w:instrText>
      </w:r>
      <w:r w:rsidR="000D3E8D" w:rsidRPr="00E42692">
        <w:rPr>
          <w:b/>
          <w:color w:val="003469"/>
        </w:rPr>
      </w:r>
      <w:r w:rsidR="000D3E8D" w:rsidRPr="00E42692">
        <w:rPr>
          <w:b/>
          <w:color w:val="003469"/>
        </w:rPr>
        <w:fldChar w:fldCharType="separate"/>
      </w:r>
      <w:r w:rsidR="002928C1" w:rsidRPr="002928C1">
        <w:rPr>
          <w:b/>
          <w:color w:val="003469"/>
        </w:rPr>
        <w:t>Chart 1</w:t>
      </w:r>
      <w:r w:rsidR="000D3E8D" w:rsidRPr="00E42692">
        <w:rPr>
          <w:b/>
          <w:color w:val="003469"/>
        </w:rPr>
        <w:fldChar w:fldCharType="end"/>
      </w:r>
      <w:r w:rsidR="00104198">
        <w:t>)</w:t>
      </w:r>
      <w:r w:rsidR="00855D95">
        <w:t>. But b</w:t>
      </w:r>
      <w:r w:rsidR="00104198">
        <w:t xml:space="preserve">oth </w:t>
      </w:r>
      <w:r w:rsidR="00855D95">
        <w:t xml:space="preserve">are </w:t>
      </w:r>
      <w:r w:rsidR="00104198">
        <w:t xml:space="preserve">likely to be lower than </w:t>
      </w:r>
      <w:r w:rsidR="00855D95">
        <w:t>September's</w:t>
      </w:r>
      <w:r w:rsidR="00B80AA2">
        <w:t>, suggest</w:t>
      </w:r>
      <w:r w:rsidR="00C3270D">
        <w:t>ing</w:t>
      </w:r>
      <w:r w:rsidR="00B80AA2">
        <w:t xml:space="preserve"> </w:t>
      </w:r>
      <w:r w:rsidR="00437C97">
        <w:t xml:space="preserve">more </w:t>
      </w:r>
      <w:r w:rsidR="00B80AA2">
        <w:t>progress on the disinflation front</w:t>
      </w:r>
      <w:r w:rsidR="00C3270D">
        <w:t>.</w:t>
      </w:r>
    </w:p>
    <w:p w14:paraId="1F0ECD31" w14:textId="77777777" w:rsidR="002928C1" w:rsidRDefault="00C3270D" w:rsidP="00C3270D">
      <w:r>
        <w:t xml:space="preserve">We think </w:t>
      </w:r>
      <w:r w:rsidR="00B80AA2">
        <w:t xml:space="preserve">the Budget on November 26 is likely to </w:t>
      </w:r>
      <w:r>
        <w:t xml:space="preserve">prove key. It looks increasingly likely that </w:t>
      </w:r>
      <w:r w:rsidR="00786B45">
        <w:t xml:space="preserve">the Chancellor </w:t>
      </w:r>
      <w:r>
        <w:t xml:space="preserve">will </w:t>
      </w:r>
      <w:r w:rsidR="00B80AA2">
        <w:t>tighten fiscal policy</w:t>
      </w:r>
      <w:r w:rsidR="00786B45">
        <w:t xml:space="preserve"> significantly</w:t>
      </w:r>
      <w:r w:rsidR="00B80AA2">
        <w:t xml:space="preserve">, </w:t>
      </w:r>
      <w:r>
        <w:t>and th</w:t>
      </w:r>
      <w:r w:rsidR="00B80AA2">
        <w:t>at a decent chunk of the measures will be front</w:t>
      </w:r>
      <w:r w:rsidR="00115CAE">
        <w:t>-</w:t>
      </w:r>
      <w:r w:rsidR="00B80AA2">
        <w:t>loaded.</w:t>
      </w:r>
      <w:r>
        <w:t xml:space="preserve"> If these assumptions prove correct, we think the </w:t>
      </w:r>
      <w:r w:rsidR="00B80AA2">
        <w:t xml:space="preserve">next </w:t>
      </w:r>
      <w:r w:rsidR="0034394D">
        <w:t xml:space="preserve">rate </w:t>
      </w:r>
      <w:r w:rsidR="00B80AA2">
        <w:t xml:space="preserve">cut </w:t>
      </w:r>
      <w:r>
        <w:t>will come</w:t>
      </w:r>
      <w:r w:rsidR="00B80AA2">
        <w:t xml:space="preserve"> in December, rather than February</w:t>
      </w:r>
      <w:r>
        <w:t>. B</w:t>
      </w:r>
      <w:r w:rsidR="00B80AA2">
        <w:t>ut it's likely to be another very close call</w:t>
      </w:r>
      <w:r w:rsidR="00CD0404">
        <w:t xml:space="preserve"> with the committee </w:t>
      </w:r>
      <w:r w:rsidR="00491E02">
        <w:t>deeply</w:t>
      </w:r>
      <w:r w:rsidR="00CD0404">
        <w:t xml:space="preserve"> divided on</w:t>
      </w:r>
      <w:r w:rsidR="0090508F">
        <w:t xml:space="preserve"> the outlook for</w:t>
      </w:r>
      <w:r w:rsidR="00CD0404">
        <w:t xml:space="preserve"> inflation</w:t>
      </w:r>
      <w:r w:rsidR="00B80AA2">
        <w:t>.</w:t>
      </w:r>
    </w:p>
    <w:p w14:paraId="074BCA11" w14:textId="2BAAD0BB" w:rsidR="00843545" w:rsidRDefault="00843545" w:rsidP="002928C1">
      <w:pPr>
        <w:pStyle w:val="ExhibitTitle"/>
        <w:jc w:val="center"/>
      </w:pPr>
      <w:bookmarkStart w:id="0" w:name="_Ref213332698"/>
      <w:r>
        <w:t xml:space="preserve">Chart </w:t>
      </w:r>
      <w:r>
        <w:fldChar w:fldCharType="begin"/>
      </w:r>
      <w:r w:rsidR="002928C1">
        <w:instrText>SEQ CHART</w:instrText>
      </w:r>
      <w:r>
        <w:fldChar w:fldCharType="separate"/>
      </w:r>
      <w:r w:rsidR="002928C1">
        <w:rPr>
          <w:noProof/>
        </w:rPr>
        <w:t>1</w:t>
      </w:r>
      <w:r>
        <w:fldChar w:fldCharType="end"/>
      </w:r>
      <w:bookmarkEnd w:id="0"/>
      <w:r>
        <w:t xml:space="preserve">: </w:t>
      </w:r>
      <w:r w:rsidR="00C3270D">
        <w:t>Like the BoE, we think inflation will fall before the December meeting</w:t>
      </w:r>
    </w:p>
    <w:p w14:paraId="1C8F49E5" w14:textId="22BF50B7" w:rsidR="002928C1" w:rsidRDefault="002928C1" w:rsidP="002928C1">
      <w:pPr>
        <w:spacing w:after="0"/>
        <w:jc w:val="center"/>
        <w:rPr>
          <w:noProof/>
        </w:rPr>
      </w:pPr>
      <w:r>
        <w:rPr>
          <w:noProof/>
        </w:rPr>
        <w:drawing>
          <wp:inline distT="0" distB="0" distL="0" distR="0" wp14:anchorId="20885400" wp14:editId="19A5994E">
            <wp:extent cx="4006964" cy="3136016"/>
            <wp:effectExtent l="0" t="0" r="0" b="7620"/>
            <wp:docPr id="149799725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97253" name=""/>
                    <pic:cNvPicPr/>
                  </pic:nvPicPr>
                  <pic:blipFill>
                    <a:blip r:embed="rId10">
                      <a:extLst>
                        <a:ext uri="{96DAC541-7B7A-43D3-8B79-37D633B846F1}">
                          <asvg:svgBlip xmlns:asvg="http://schemas.microsoft.com/office/drawing/2016/SVG/main" r:embed="rId11"/>
                        </a:ext>
                      </a:extLst>
                    </a:blip>
                    <a:srcRect b="1889"/>
                    <a:stretch>
                      <a:fillRect/>
                    </a:stretch>
                  </pic:blipFill>
                  <pic:spPr>
                    <a:xfrm>
                      <a:off x="0" y="0"/>
                      <a:ext cx="4006964" cy="3136016"/>
                    </a:xfrm>
                    <a:prstGeom prst="rect">
                      <a:avLst/>
                    </a:prstGeom>
                  </pic:spPr>
                </pic:pic>
              </a:graphicData>
            </a:graphic>
          </wp:inline>
        </w:drawing>
      </w:r>
    </w:p>
    <w:p w14:paraId="75EF5B78" w14:textId="3D2C7D30" w:rsidR="00843545" w:rsidRDefault="002928C1" w:rsidP="002928C1">
      <w:pPr>
        <w:pStyle w:val="ExhibitSource"/>
        <w:jc w:val="center"/>
      </w:pPr>
      <w:r>
        <w:t>Sources: Oxford Economics, Bank of England</w:t>
      </w:r>
    </w:p>
    <w:p w14:paraId="4FC584DC" w14:textId="11BF60C0" w:rsidR="00843545" w:rsidRDefault="00843545" w:rsidP="00843545">
      <w:pPr>
        <w:pStyle w:val="ExhibitSource"/>
        <w:sectPr w:rsidR="00843545" w:rsidSect="002928C1">
          <w:headerReference w:type="even" r:id="rId12"/>
          <w:headerReference w:type="default" r:id="rId13"/>
          <w:footerReference w:type="even" r:id="rId14"/>
          <w:footerReference w:type="default" r:id="rId15"/>
          <w:headerReference w:type="first" r:id="rId16"/>
          <w:footerReference w:type="first" r:id="rId17"/>
          <w:pgSz w:w="11906" w:h="16838"/>
          <w:pgMar w:top="2665" w:right="1276" w:bottom="958" w:left="1134" w:header="198" w:footer="442" w:gutter="0"/>
          <w:cols w:space="708"/>
          <w:titlePg/>
          <w:docGrid w:linePitch="360"/>
        </w:sectPr>
      </w:pPr>
    </w:p>
    <w:p w14:paraId="5F278E51" w14:textId="3D003220" w:rsidR="00715C12" w:rsidRDefault="001411AD" w:rsidP="00591195">
      <w:r>
        <w:lastRenderedPageBreak/>
        <w:t>T</w:t>
      </w:r>
      <w:r w:rsidR="00885464">
        <w:t xml:space="preserve">he MPC's core messages were </w:t>
      </w:r>
      <w:r w:rsidR="00371F31">
        <w:t xml:space="preserve">first, </w:t>
      </w:r>
      <w:r w:rsidR="00885464">
        <w:t>that Bank Rate is likely to be cut further, provided disinflation continues</w:t>
      </w:r>
      <w:r w:rsidR="00371F31">
        <w:t>, and second</w:t>
      </w:r>
      <w:r w:rsidR="00786B45">
        <w:t>,</w:t>
      </w:r>
      <w:r w:rsidR="00371F31">
        <w:t xml:space="preserve"> that t</w:t>
      </w:r>
      <w:r w:rsidR="003F4C74">
        <w:t xml:space="preserve">he </w:t>
      </w:r>
      <w:r w:rsidR="00885464">
        <w:t>risks to the inflation outlook have become more balanced</w:t>
      </w:r>
      <w:r w:rsidR="00371F31">
        <w:t>. Th</w:t>
      </w:r>
      <w:r w:rsidR="003F4C74">
        <w:t>e risk fr</w:t>
      </w:r>
      <w:r w:rsidR="00F236B6">
        <w:t>o</w:t>
      </w:r>
      <w:r w:rsidR="003F4C74">
        <w:t xml:space="preserve">m greater inflation persistence </w:t>
      </w:r>
      <w:r w:rsidR="00371F31">
        <w:t xml:space="preserve">is </w:t>
      </w:r>
      <w:r w:rsidR="003F4C74">
        <w:t>less pronounced and the risk from weaker demand more apparent</w:t>
      </w:r>
      <w:r w:rsidR="00885464">
        <w:t>.</w:t>
      </w:r>
      <w:r w:rsidR="00715C12">
        <w:t xml:space="preserve"> </w:t>
      </w:r>
      <w:r w:rsidR="003F4C74">
        <w:t xml:space="preserve">But the individual statements from MPC members </w:t>
      </w:r>
      <w:r w:rsidR="00786B45">
        <w:t xml:space="preserve">showed </w:t>
      </w:r>
      <w:r w:rsidR="003F4C74">
        <w:t>a wide range of views on the balance of risks.</w:t>
      </w:r>
    </w:p>
    <w:p w14:paraId="391B52FA" w14:textId="3CADAB9C" w:rsidR="00843545" w:rsidRDefault="003F4C74" w:rsidP="00591195">
      <w:r>
        <w:t>The Monetary Policy Report presented two scenarios</w:t>
      </w:r>
      <w:r w:rsidR="00DB7B06">
        <w:t>:</w:t>
      </w:r>
      <w:r>
        <w:t xml:space="preserve"> one </w:t>
      </w:r>
      <w:r w:rsidR="00DB7B06">
        <w:t>in which</w:t>
      </w:r>
      <w:r w:rsidR="00591195">
        <w:t xml:space="preserve"> high past inflation continues to affect wage and price setting in </w:t>
      </w:r>
      <w:r w:rsidR="00DB7B06">
        <w:t xml:space="preserve">the </w:t>
      </w:r>
      <w:r w:rsidR="00591195">
        <w:t>future</w:t>
      </w:r>
      <w:r w:rsidR="00DB7B06">
        <w:t>;</w:t>
      </w:r>
      <w:r w:rsidR="00591195">
        <w:t xml:space="preserve"> and another </w:t>
      </w:r>
      <w:r w:rsidR="00DB7B06">
        <w:t>in which</w:t>
      </w:r>
      <w:r w:rsidR="00591195">
        <w:t xml:space="preserve"> weak demand causes inflationary pressures to fade more quickly</w:t>
      </w:r>
      <w:r w:rsidR="00CE5ED0">
        <w:t>,</w:t>
      </w:r>
      <w:r w:rsidR="00591195">
        <w:t xml:space="preserve"> driven by consumer spending weakness. These scenarios were presented relative to a </w:t>
      </w:r>
      <w:r w:rsidR="006C3B61">
        <w:t>central forecast</w:t>
      </w:r>
      <w:r w:rsidR="00591195">
        <w:t>, which most of</w:t>
      </w:r>
      <w:r w:rsidR="006C3B61">
        <w:t xml:space="preserve"> the MPC consider to be a "reasonable baseline"</w:t>
      </w:r>
      <w:r w:rsidR="00591195">
        <w:t xml:space="preserve"> (</w:t>
      </w:r>
      <w:r w:rsidR="000D3E8D" w:rsidRPr="00E42692">
        <w:rPr>
          <w:b/>
          <w:color w:val="003469"/>
        </w:rPr>
        <w:fldChar w:fldCharType="begin"/>
      </w:r>
      <w:r w:rsidR="00E42692" w:rsidRPr="00E42692">
        <w:rPr>
          <w:b/>
          <w:color w:val="003469"/>
        </w:rPr>
        <w:instrText xml:space="preserve">REF _Ref213332699 \h \* Charformat </w:instrText>
      </w:r>
      <w:r w:rsidR="000D3E8D" w:rsidRPr="00E42692">
        <w:rPr>
          <w:b/>
          <w:color w:val="003469"/>
        </w:rPr>
      </w:r>
      <w:r w:rsidR="000D3E8D" w:rsidRPr="00E42692">
        <w:rPr>
          <w:b/>
          <w:color w:val="003469"/>
        </w:rPr>
        <w:fldChar w:fldCharType="separate"/>
      </w:r>
      <w:r w:rsidR="002928C1" w:rsidRPr="002928C1">
        <w:rPr>
          <w:b/>
          <w:color w:val="003469"/>
        </w:rPr>
        <w:t>Chart 2</w:t>
      </w:r>
      <w:r w:rsidR="000D3E8D" w:rsidRPr="00E42692">
        <w:rPr>
          <w:b/>
          <w:color w:val="003469"/>
        </w:rPr>
        <w:fldChar w:fldCharType="end"/>
      </w:r>
      <w:r w:rsidR="00591195">
        <w:t>)</w:t>
      </w:r>
      <w:r w:rsidR="006C3B61">
        <w:t>.</w:t>
      </w:r>
    </w:p>
    <w:p w14:paraId="6667EAB7" w14:textId="76019B2C" w:rsidR="00843545" w:rsidRDefault="00843545" w:rsidP="00956171">
      <w:pPr>
        <w:pStyle w:val="ExhibitTitle"/>
      </w:pPr>
      <w:bookmarkStart w:id="1" w:name="_Ref213332699"/>
      <w:r>
        <w:t xml:space="preserve">Chart </w:t>
      </w:r>
      <w:r>
        <w:fldChar w:fldCharType="begin"/>
      </w:r>
      <w:r w:rsidR="002928C1">
        <w:instrText>SEQ CHART</w:instrText>
      </w:r>
      <w:r>
        <w:fldChar w:fldCharType="separate"/>
      </w:r>
      <w:r w:rsidR="002928C1">
        <w:rPr>
          <w:noProof/>
        </w:rPr>
        <w:t>2</w:t>
      </w:r>
      <w:r>
        <w:fldChar w:fldCharType="end"/>
      </w:r>
      <w:bookmarkEnd w:id="1"/>
      <w:r>
        <w:t xml:space="preserve">: </w:t>
      </w:r>
      <w:r w:rsidR="007708C2">
        <w:t>MPC members back a range of different inflation scenarios</w:t>
      </w:r>
    </w:p>
    <w:p w14:paraId="28082181" w14:textId="4923B8CE" w:rsidR="002928C1" w:rsidRDefault="002928C1" w:rsidP="00956171">
      <w:pPr>
        <w:spacing w:after="0"/>
        <w:rPr>
          <w:noProof/>
        </w:rPr>
      </w:pPr>
      <w:r>
        <w:rPr>
          <w:noProof/>
        </w:rPr>
        <w:drawing>
          <wp:inline distT="0" distB="0" distL="0" distR="0" wp14:anchorId="7A7599AA" wp14:editId="1DBF94B8">
            <wp:extent cx="3250933" cy="2548068"/>
            <wp:effectExtent l="0" t="0" r="6985" b="5080"/>
            <wp:docPr id="67507577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75770" name=""/>
                    <pic:cNvPicPr/>
                  </pic:nvPicPr>
                  <pic:blipFill>
                    <a:blip r:embed="rId18">
                      <a:extLst>
                        <a:ext uri="{96DAC541-7B7A-43D3-8B79-37D633B846F1}">
                          <asvg:svgBlip xmlns:asvg="http://schemas.microsoft.com/office/drawing/2016/SVG/main" r:embed="rId19"/>
                        </a:ext>
                      </a:extLst>
                    </a:blip>
                    <a:srcRect b="1886"/>
                    <a:stretch>
                      <a:fillRect/>
                    </a:stretch>
                  </pic:blipFill>
                  <pic:spPr>
                    <a:xfrm>
                      <a:off x="0" y="0"/>
                      <a:ext cx="3250933" cy="2548068"/>
                    </a:xfrm>
                    <a:prstGeom prst="rect">
                      <a:avLst/>
                    </a:prstGeom>
                  </pic:spPr>
                </pic:pic>
              </a:graphicData>
            </a:graphic>
          </wp:inline>
        </w:drawing>
      </w:r>
    </w:p>
    <w:p w14:paraId="76CC5120" w14:textId="58B9192C" w:rsidR="00843545" w:rsidRDefault="002928C1" w:rsidP="00956171">
      <w:pPr>
        <w:pStyle w:val="ExhibitSource"/>
      </w:pPr>
      <w:r>
        <w:t>Source: Bank of England</w:t>
      </w:r>
    </w:p>
    <w:p w14:paraId="14B6A969" w14:textId="28000CFD" w:rsidR="007D2FEB" w:rsidRDefault="00EB6C82" w:rsidP="00843545">
      <w:r>
        <w:t xml:space="preserve">The paragraphs of individual members suggested at least two members (Taylor and Dhingra) </w:t>
      </w:r>
      <w:r w:rsidR="00DB7B06">
        <w:t xml:space="preserve">put </w:t>
      </w:r>
      <w:r w:rsidR="00715C12">
        <w:t>the highest weight on an outcome close</w:t>
      </w:r>
      <w:r w:rsidR="00CE5ED0">
        <w:t>st</w:t>
      </w:r>
      <w:r w:rsidR="00715C12">
        <w:t xml:space="preserve"> to the downside scenario, </w:t>
      </w:r>
      <w:r w:rsidR="00DB7B06">
        <w:t xml:space="preserve">whereas </w:t>
      </w:r>
      <w:r w:rsidR="00715C12">
        <w:t xml:space="preserve">three (Megan Greene, Catherine Mann, and Huw Pill) </w:t>
      </w:r>
      <w:r w:rsidR="00CE5ED0">
        <w:t>cited</w:t>
      </w:r>
      <w:r w:rsidR="00715C12">
        <w:t xml:space="preserve"> concerns about elevated inflation expectations that echo</w:t>
      </w:r>
      <w:r w:rsidR="00CE5ED0">
        <w:t>ed</w:t>
      </w:r>
      <w:r w:rsidR="00715C12">
        <w:t xml:space="preserve"> the upside scenario</w:t>
      </w:r>
      <w:r w:rsidR="00CE5ED0">
        <w:t xml:space="preserve">. </w:t>
      </w:r>
      <w:r w:rsidR="00715C12">
        <w:t xml:space="preserve">Clare </w:t>
      </w:r>
      <w:proofErr w:type="spellStart"/>
      <w:r w:rsidR="00715C12">
        <w:t>Lombardelli</w:t>
      </w:r>
      <w:proofErr w:type="spellEnd"/>
      <w:r w:rsidR="00715C12">
        <w:t xml:space="preserve"> </w:t>
      </w:r>
      <w:r w:rsidR="00CE5ED0">
        <w:t xml:space="preserve">shared </w:t>
      </w:r>
      <w:r w:rsidR="00715C12">
        <w:t>those worries</w:t>
      </w:r>
      <w:r w:rsidR="00CE5ED0">
        <w:t>,</w:t>
      </w:r>
      <w:r w:rsidR="00715C12">
        <w:t xml:space="preserve"> while also acknowledging the downside risks from weak consumption.</w:t>
      </w:r>
    </w:p>
    <w:p w14:paraId="4D4F814C" w14:textId="33E90064" w:rsidR="008864B9" w:rsidRDefault="0075202F" w:rsidP="00843545">
      <w:r>
        <w:t xml:space="preserve">This </w:t>
      </w:r>
      <w:r w:rsidR="00575023">
        <w:t xml:space="preserve">wide divergence of views </w:t>
      </w:r>
      <w:r>
        <w:t>suggests that votes are likely to remain close for the foreseeable future</w:t>
      </w:r>
      <w:r w:rsidR="002E38D8">
        <w:t xml:space="preserve">, with Bailey likely to continue to act as the swing voter. </w:t>
      </w:r>
      <w:r w:rsidR="00FF21B3">
        <w:t>It was notable that Bailey effectively endorsed market pricing in his paragraph</w:t>
      </w:r>
      <w:r w:rsidR="00DB7B06">
        <w:t xml:space="preserve"> –</w:t>
      </w:r>
      <w:r w:rsidR="00FF21B3">
        <w:t xml:space="preserve"> </w:t>
      </w:r>
      <w:r w:rsidR="00E575A5">
        <w:t>coming into the November meeting</w:t>
      </w:r>
      <w:r w:rsidR="00DB7B06">
        <w:t>, this</w:t>
      </w:r>
      <w:r w:rsidR="00E575A5">
        <w:t xml:space="preserve"> </w:t>
      </w:r>
      <w:r w:rsidR="007D2FEB">
        <w:t>implie</w:t>
      </w:r>
      <w:r w:rsidR="00DB7B06">
        <w:t>s</w:t>
      </w:r>
      <w:r w:rsidR="007D2FEB">
        <w:t xml:space="preserve"> a little </w:t>
      </w:r>
      <w:r w:rsidR="00DB7B06">
        <w:t>over</w:t>
      </w:r>
      <w:r w:rsidR="007D2FEB">
        <w:t xml:space="preserve"> two 25bps rate cuts by the end of 2026.</w:t>
      </w:r>
    </w:p>
    <w:p w14:paraId="6292C463" w14:textId="3A9B4A5A" w:rsidR="007D2FEB" w:rsidRDefault="007D2FEB" w:rsidP="00843545">
      <w:r>
        <w:t xml:space="preserve">We think </w:t>
      </w:r>
      <w:r w:rsidR="005C6AF6">
        <w:t>activity is likely to surprise the MPC on the downside</w:t>
      </w:r>
      <w:r w:rsidR="00E575A5">
        <w:t xml:space="preserve"> over the coming year</w:t>
      </w:r>
      <w:r w:rsidR="005C6AF6">
        <w:t xml:space="preserve">, reflecting the large drag from fiscal policy </w:t>
      </w:r>
      <w:r w:rsidR="00DB7B06">
        <w:t xml:space="preserve">– </w:t>
      </w:r>
      <w:r w:rsidR="005C6AF6">
        <w:t xml:space="preserve">both </w:t>
      </w:r>
      <w:r w:rsidR="00816C41">
        <w:t xml:space="preserve">the </w:t>
      </w:r>
      <w:r w:rsidR="005C6AF6">
        <w:t xml:space="preserve">measures already in place and those likely to be introduced on November 26. </w:t>
      </w:r>
      <w:proofErr w:type="gramStart"/>
      <w:r w:rsidR="005C6AF6">
        <w:t>So</w:t>
      </w:r>
      <w:proofErr w:type="gramEnd"/>
      <w:r w:rsidR="005C6AF6">
        <w:t xml:space="preserve"> after a December cut, we expect the MPC to cut twice more next year, </w:t>
      </w:r>
      <w:r w:rsidR="00DB7B06">
        <w:t xml:space="preserve">lowering </w:t>
      </w:r>
      <w:r w:rsidR="005C6AF6">
        <w:t xml:space="preserve">Bank Rate </w:t>
      </w:r>
      <w:r w:rsidR="00DB7B06">
        <w:t>to</w:t>
      </w:r>
      <w:r w:rsidR="005C6AF6">
        <w:t xml:space="preserve"> 3.25% </w:t>
      </w:r>
      <w:r w:rsidR="00DB7B06">
        <w:t xml:space="preserve">by </w:t>
      </w:r>
      <w:r w:rsidR="005C6AF6">
        <w:t>the end of 2026. This is 25bps lower than our previous forecast.</w:t>
      </w:r>
    </w:p>
    <w:sectPr w:rsidR="007D2FEB" w:rsidSect="002928C1">
      <w:pgSz w:w="11906" w:h="16838"/>
      <w:pgMar w:top="1417" w:right="1276" w:bottom="95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4F186" w14:textId="77777777" w:rsidR="00843545" w:rsidRDefault="00843545" w:rsidP="00843545">
      <w:pPr>
        <w:spacing w:before="0" w:after="0"/>
      </w:pPr>
      <w:r>
        <w:separator/>
      </w:r>
    </w:p>
  </w:endnote>
  <w:endnote w:type="continuationSeparator" w:id="0">
    <w:p w14:paraId="145976F8" w14:textId="77777777" w:rsidR="00843545" w:rsidRDefault="00843545" w:rsidP="0084354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FE999" w14:textId="77777777" w:rsidR="006114E3" w:rsidRDefault="006114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074C3" w14:textId="1D6BB853" w:rsidR="00843545" w:rsidRPr="00843545" w:rsidRDefault="00843545" w:rsidP="00843545">
    <w:pPr>
      <w:pStyle w:val="RepeatingFooter"/>
      <w:tabs>
        <w:tab w:val="clear" w:pos="4320"/>
        <w:tab w:val="center" w:pos="3685"/>
      </w:tabs>
    </w:pPr>
    <w:r>
      <w:t xml:space="preserve">Page </w:t>
    </w:r>
    <w:r>
      <w:fldChar w:fldCharType="begin"/>
    </w:r>
    <w:r>
      <w:instrText xml:space="preserve"> PAGE </w:instrText>
    </w:r>
    <w:r>
      <w:fldChar w:fldCharType="separate"/>
    </w:r>
    <w:r>
      <w:rPr>
        <w:noProof/>
      </w:rPr>
      <w:t>3</w:t>
    </w:r>
    <w:r>
      <w:fldChar w:fldCharType="end"/>
    </w:r>
    <w:r>
      <w:tab/>
      <w:t>Andrew Goodwin - agoodwin@oxfordeconomics.com</w:t>
    </w:r>
    <w:r w:rsidRPr="00843545">
      <w:rPr>
        <w:noProof/>
      </w:rPr>
      <w:drawing>
        <wp:anchor distT="0" distB="0" distL="114300" distR="114300" simplePos="0" relativeHeight="251661312" behindDoc="0" locked="0" layoutInCell="1" allowOverlap="1" wp14:anchorId="488AF8C8" wp14:editId="1676E614">
          <wp:simplePos x="0" y="0"/>
          <wp:positionH relativeFrom="margin">
            <wp:posOffset>5077460</wp:posOffset>
          </wp:positionH>
          <wp:positionV relativeFrom="margin">
            <wp:posOffset>9246870</wp:posOffset>
          </wp:positionV>
          <wp:extent cx="1657498" cy="234000"/>
          <wp:effectExtent l="0" t="0" r="0" b="0"/>
          <wp:wrapSquare wrapText="bothSides"/>
          <wp:docPr id="6764033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1821" name="Graphic 2091361821"/>
                  <pic:cNvPicPr/>
                </pic:nvPicPr>
                <pic:blipFill>
                  <a:blip r:embed="rId1">
                    <a:extLst>
                      <a:ext uri="{96DAC541-7B7A-43D3-8B79-37D633B846F1}">
                        <asvg:svgBlip xmlns:asvg="http://schemas.microsoft.com/office/drawing/2016/SVG/main" r:embed="rId2"/>
                      </a:ext>
                    </a:extLst>
                  </a:blip>
                  <a:stretch>
                    <a:fillRect/>
                  </a:stretch>
                </pic:blipFill>
                <pic:spPr>
                  <a:xfrm>
                    <a:off x="0" y="0"/>
                    <a:ext cx="1657498" cy="23400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97FB9" w14:textId="7303E27A" w:rsidR="00843545" w:rsidRDefault="00843545" w:rsidP="00843545">
    <w:pPr>
      <w:pStyle w:val="Author"/>
    </w:pPr>
    <w:r>
      <w:t>Andrew Goodwin</w:t>
    </w:r>
    <w:r w:rsidR="00956171">
      <w:t xml:space="preserve"> - </w:t>
    </w:r>
    <w:r>
      <w:t>Chief UK Economist</w:t>
    </w:r>
    <w:r w:rsidR="00956171">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E4EA7" w14:textId="77777777" w:rsidR="00843545" w:rsidRDefault="00843545" w:rsidP="00843545">
      <w:pPr>
        <w:spacing w:before="0" w:after="0"/>
      </w:pPr>
      <w:r>
        <w:separator/>
      </w:r>
    </w:p>
  </w:footnote>
  <w:footnote w:type="continuationSeparator" w:id="0">
    <w:p w14:paraId="70366297" w14:textId="77777777" w:rsidR="00843545" w:rsidRDefault="00843545" w:rsidP="00843545">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A21D4" w14:textId="77777777" w:rsidR="00843545" w:rsidRDefault="00843545">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EEB32" w14:textId="2353E224" w:rsidR="00843545" w:rsidRDefault="00843545" w:rsidP="00843545">
    <w:pPr>
      <w:pStyle w:val="Headline"/>
      <w:spacing w:before="120"/>
      <w:ind w:right="-1000"/>
    </w:pPr>
    <w:r w:rsidRPr="00843545">
      <w:rPr>
        <w:noProof/>
      </w:rPr>
      <w:drawing>
        <wp:anchor distT="0" distB="0" distL="114300" distR="114300" simplePos="0" relativeHeight="251657214" behindDoc="1" locked="1" layoutInCell="1" allowOverlap="1" wp14:anchorId="11BAB2AB" wp14:editId="7227F3C7">
          <wp:simplePos x="0" y="0"/>
          <wp:positionH relativeFrom="page">
            <wp:posOffset>0</wp:posOffset>
          </wp:positionH>
          <wp:positionV relativeFrom="page">
            <wp:posOffset>0</wp:posOffset>
          </wp:positionV>
          <wp:extent cx="7564120" cy="10670540"/>
          <wp:effectExtent l="0" t="0" r="0" b="0"/>
          <wp:wrapNone/>
          <wp:docPr id="51989585" name="Picture 8"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3687" name="Picture 8" descr="A white background with black dots&#10;&#10;AI-generated content may be incorrect."/>
                  <pic:cNvPicPr/>
                </pic:nvPicPr>
                <pic:blipFill>
                  <a:blip r:embed="rId1"/>
                  <a:stretch>
                    <a:fillRect/>
                  </a:stretch>
                </pic:blipFill>
                <pic:spPr>
                  <a:xfrm>
                    <a:off x="0" y="0"/>
                    <a:ext cx="7564120" cy="10670540"/>
                  </a:xfrm>
                  <a:prstGeom prst="rect">
                    <a:avLst/>
                  </a:prstGeom>
                </pic:spPr>
              </pic:pic>
            </a:graphicData>
          </a:graphic>
          <wp14:sizeRelH relativeFrom="page">
            <wp14:pctWidth>0</wp14:pctWidth>
          </wp14:sizeRelH>
          <wp14:sizeRelV relativeFrom="page">
            <wp14:pctHeight>0</wp14:pctHeight>
          </wp14:sizeRelV>
        </wp:anchor>
      </w:drawing>
    </w:r>
    <w:r w:rsidR="00DD6A09" w:rsidRPr="00DD6A09">
      <w:t>Dovish hold in November puts a December rate cut in play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838F7" w14:textId="387C8B79" w:rsidR="00843545" w:rsidRPr="00843545" w:rsidRDefault="00843545" w:rsidP="00843545">
    <w:pPr>
      <w:rPr>
        <w:sz w:val="4"/>
      </w:rPr>
    </w:pPr>
    <w:r w:rsidRPr="00843545">
      <w:rPr>
        <w:noProof/>
        <w:sz w:val="4"/>
      </w:rPr>
      <w:drawing>
        <wp:anchor distT="0" distB="0" distL="114300" distR="114300" simplePos="0" relativeHeight="251658239" behindDoc="1" locked="1" layoutInCell="1" allowOverlap="1" wp14:anchorId="1CFF66A5" wp14:editId="78058DFE">
          <wp:simplePos x="0" y="0"/>
          <wp:positionH relativeFrom="page">
            <wp:posOffset>114300</wp:posOffset>
          </wp:positionH>
          <wp:positionV relativeFrom="page">
            <wp:posOffset>161925</wp:posOffset>
          </wp:positionV>
          <wp:extent cx="1594485" cy="359410"/>
          <wp:effectExtent l="0" t="0" r="5715" b="2540"/>
          <wp:wrapNone/>
          <wp:docPr id="1906984037"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8740" name="Graphic 1918318740"/>
                  <pic:cNvPicPr/>
                </pic:nvPicPr>
                <pic:blipFill>
                  <a:blip r:embed="rId1">
                    <a:extLst>
                      <a:ext uri="{96DAC541-7B7A-43D3-8B79-37D633B846F1}">
                        <asvg:svgBlip xmlns:asvg="http://schemas.microsoft.com/office/drawing/2016/SVG/main" r:embed="rId2"/>
                      </a:ext>
                    </a:extLst>
                  </a:blip>
                  <a:stretch>
                    <a:fillRect/>
                  </a:stretch>
                </pic:blipFill>
                <pic:spPr>
                  <a:xfrm>
                    <a:off x="0" y="0"/>
                    <a:ext cx="1594485" cy="359410"/>
                  </a:xfrm>
                  <a:prstGeom prst="rect">
                    <a:avLst/>
                  </a:prstGeom>
                </pic:spPr>
              </pic:pic>
            </a:graphicData>
          </a:graphic>
          <wp14:sizeRelH relativeFrom="page">
            <wp14:pctWidth>0</wp14:pctWidth>
          </wp14:sizeRelH>
          <wp14:sizeRelV relativeFrom="page">
            <wp14:pctHeight>0</wp14:pctHeight>
          </wp14:sizeRelV>
        </wp:anchor>
      </w:drawing>
    </w:r>
    <w:r w:rsidRPr="00843545">
      <w:rPr>
        <w:noProof/>
        <w:sz w:val="4"/>
      </w:rPr>
      <w:drawing>
        <wp:anchor distT="0" distB="0" distL="114300" distR="114300" simplePos="0" relativeHeight="251659264" behindDoc="1" locked="1" layoutInCell="1" allowOverlap="1" wp14:anchorId="77989987" wp14:editId="436944AD">
          <wp:simplePos x="0" y="0"/>
          <wp:positionH relativeFrom="page">
            <wp:posOffset>0</wp:posOffset>
          </wp:positionH>
          <wp:positionV relativeFrom="page">
            <wp:posOffset>673100</wp:posOffset>
          </wp:positionV>
          <wp:extent cx="7569200" cy="1029737"/>
          <wp:effectExtent l="0" t="0" r="0" b="0"/>
          <wp:wrapNone/>
          <wp:docPr id="1435216123"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68" name="Picture 2" descr="A blue square with white lines&#10;&#10;AI-generated content may be incorrect."/>
                  <pic:cNvPicPr/>
                </pic:nvPicPr>
                <pic:blipFill>
                  <a:blip r:embed="rId3"/>
                  <a:stretch>
                    <a:fillRect/>
                  </a:stretch>
                </pic:blipFill>
                <pic:spPr>
                  <a:xfrm>
                    <a:off x="0" y="0"/>
                    <a:ext cx="7569200" cy="1029737"/>
                  </a:xfrm>
                  <a:prstGeom prst="rect">
                    <a:avLst/>
                  </a:prstGeom>
                </pic:spPr>
              </pic:pic>
            </a:graphicData>
          </a:graphic>
          <wp14:sizeRelH relativeFrom="margin">
            <wp14:pctWidth>0</wp14:pctWidth>
          </wp14:sizeRelH>
        </wp:anchor>
      </w:drawing>
    </w:r>
  </w:p>
  <w:sdt>
    <w:sdtPr>
      <w:id w:val="-640040113"/>
      <w:lock w:val="sdtLocked"/>
      <w:placeholder>
        <w:docPart w:val="DefaultPlaceholder_-1854013437"/>
      </w:placeholder>
      <w:date w:fullDate="2025-11-06T00:00:00Z">
        <w:dateFormat w:val="d MMMM yyyy"/>
        <w:lid w:val="en-GB"/>
        <w:storeMappedDataAs w:val="dateTime"/>
        <w:calendar w:val="gregorian"/>
      </w:date>
    </w:sdtPr>
    <w:sdtEndPr/>
    <w:sdtContent>
      <w:p w14:paraId="1F8E5964" w14:textId="7941B0E3" w:rsidR="00843545" w:rsidRPr="00843545" w:rsidRDefault="00843545" w:rsidP="00843545">
        <w:pPr>
          <w:pStyle w:val="PublishDate"/>
          <w:framePr w:w="2835" w:h="340" w:hRule="exact" w:hSpace="180" w:wrap="around" w:vAnchor="page" w:hAnchor="page" w:x="7801" w:y="601" w:anchorLock="1"/>
        </w:pPr>
        <w:r>
          <w:t>6 November 2025</w:t>
        </w:r>
      </w:p>
    </w:sdtContent>
  </w:sdt>
  <w:p w14:paraId="76315101" w14:textId="0F8189C7" w:rsidR="00843545" w:rsidRDefault="00843545" w:rsidP="00843545">
    <w:pPr>
      <w:pStyle w:val="ProductDescription"/>
      <w:framePr w:w="11339" w:h="1474" w:hRule="exact" w:hSpace="180" w:wrap="around" w:vAnchor="page" w:hAnchor="page" w:x="401" w:y="1141" w:anchorLock="1"/>
      <w:spacing w:after="200"/>
    </w:pPr>
    <w:r>
      <w:t>Research Briefing | UK</w:t>
    </w:r>
  </w:p>
  <w:p w14:paraId="5DCB9543" w14:textId="6F676184" w:rsidR="00843545" w:rsidRDefault="00E8440E" w:rsidP="00843545">
    <w:pPr>
      <w:pStyle w:val="Headline"/>
      <w:framePr w:w="11339" w:h="1474" w:hRule="exact" w:hSpace="180" w:wrap="around" w:vAnchor="page" w:hAnchor="page" w:x="401" w:y="1141" w:anchorLock="1"/>
      <w:spacing w:line="200" w:lineRule="auto"/>
    </w:pPr>
    <w:r>
      <w:t xml:space="preserve">Dovish hold </w:t>
    </w:r>
    <w:r w:rsidR="00C3270D">
      <w:t xml:space="preserve">in November </w:t>
    </w:r>
    <w:r>
      <w:t>puts a December rate cut in play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D126495A"/>
    <w:lvl w:ilvl="0" w:tplc="C0D665C8">
      <w:start w:val="1"/>
      <w:numFmt w:val="bullet"/>
      <w:pStyle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2"/>
  </w:num>
  <w:num w:numId="2" w16cid:durableId="2074311132">
    <w:abstractNumId w:val="1"/>
  </w:num>
  <w:num w:numId="3" w16cid:durableId="1590693657">
    <w:abstractNumId w:val="3"/>
  </w:num>
  <w:num w:numId="4" w16cid:durableId="159003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formatting="1" w:enforcement="1"/>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545"/>
    <w:rsid w:val="00003BA7"/>
    <w:rsid w:val="00014CDD"/>
    <w:rsid w:val="00022761"/>
    <w:rsid w:val="0005491E"/>
    <w:rsid w:val="0007595F"/>
    <w:rsid w:val="000759F5"/>
    <w:rsid w:val="000C0ADF"/>
    <w:rsid w:val="000C54F9"/>
    <w:rsid w:val="000D3E43"/>
    <w:rsid w:val="000D3E8D"/>
    <w:rsid w:val="000D6C43"/>
    <w:rsid w:val="000E2BD3"/>
    <w:rsid w:val="000F3F52"/>
    <w:rsid w:val="001018E9"/>
    <w:rsid w:val="00104198"/>
    <w:rsid w:val="00112D50"/>
    <w:rsid w:val="00115CAE"/>
    <w:rsid w:val="00120D7A"/>
    <w:rsid w:val="00124E58"/>
    <w:rsid w:val="001411AD"/>
    <w:rsid w:val="00160F71"/>
    <w:rsid w:val="0016316B"/>
    <w:rsid w:val="0017078A"/>
    <w:rsid w:val="00180625"/>
    <w:rsid w:val="00190C04"/>
    <w:rsid w:val="00192CDF"/>
    <w:rsid w:val="00195F9A"/>
    <w:rsid w:val="001A134C"/>
    <w:rsid w:val="001A5775"/>
    <w:rsid w:val="001A6993"/>
    <w:rsid w:val="001A749F"/>
    <w:rsid w:val="001B2B67"/>
    <w:rsid w:val="001B2C32"/>
    <w:rsid w:val="001D4B18"/>
    <w:rsid w:val="001D7057"/>
    <w:rsid w:val="001E0785"/>
    <w:rsid w:val="001E0C4A"/>
    <w:rsid w:val="001F3317"/>
    <w:rsid w:val="001F5624"/>
    <w:rsid w:val="00242E5E"/>
    <w:rsid w:val="0025573B"/>
    <w:rsid w:val="002615F6"/>
    <w:rsid w:val="00262D94"/>
    <w:rsid w:val="00263E48"/>
    <w:rsid w:val="0026602B"/>
    <w:rsid w:val="002702CE"/>
    <w:rsid w:val="002745D6"/>
    <w:rsid w:val="00282A8A"/>
    <w:rsid w:val="00286754"/>
    <w:rsid w:val="002928C1"/>
    <w:rsid w:val="0029566B"/>
    <w:rsid w:val="002A3534"/>
    <w:rsid w:val="002B0B7A"/>
    <w:rsid w:val="002B28EA"/>
    <w:rsid w:val="002B61B4"/>
    <w:rsid w:val="002C1955"/>
    <w:rsid w:val="002D0DC9"/>
    <w:rsid w:val="002E0DB7"/>
    <w:rsid w:val="002E38D8"/>
    <w:rsid w:val="002F68A1"/>
    <w:rsid w:val="003017D9"/>
    <w:rsid w:val="0031169C"/>
    <w:rsid w:val="00316340"/>
    <w:rsid w:val="00316CBE"/>
    <w:rsid w:val="0034394D"/>
    <w:rsid w:val="00370974"/>
    <w:rsid w:val="00371F31"/>
    <w:rsid w:val="00373630"/>
    <w:rsid w:val="00374E02"/>
    <w:rsid w:val="003B0CAB"/>
    <w:rsid w:val="003B715A"/>
    <w:rsid w:val="003C1BB1"/>
    <w:rsid w:val="003C72B9"/>
    <w:rsid w:val="003E7F3C"/>
    <w:rsid w:val="003F0F4E"/>
    <w:rsid w:val="003F4C74"/>
    <w:rsid w:val="00400CF6"/>
    <w:rsid w:val="0040359C"/>
    <w:rsid w:val="00405A12"/>
    <w:rsid w:val="00405D65"/>
    <w:rsid w:val="004258C9"/>
    <w:rsid w:val="00437C97"/>
    <w:rsid w:val="004458BB"/>
    <w:rsid w:val="004602D9"/>
    <w:rsid w:val="0046292D"/>
    <w:rsid w:val="004677EA"/>
    <w:rsid w:val="004827E3"/>
    <w:rsid w:val="00491E02"/>
    <w:rsid w:val="00495DE7"/>
    <w:rsid w:val="004A2A92"/>
    <w:rsid w:val="004B205A"/>
    <w:rsid w:val="004B4F66"/>
    <w:rsid w:val="004C7923"/>
    <w:rsid w:val="004D473F"/>
    <w:rsid w:val="004D5B83"/>
    <w:rsid w:val="004D650E"/>
    <w:rsid w:val="004D6FED"/>
    <w:rsid w:val="004E73FD"/>
    <w:rsid w:val="004F108F"/>
    <w:rsid w:val="004F3C6C"/>
    <w:rsid w:val="004F3F71"/>
    <w:rsid w:val="004F5EEA"/>
    <w:rsid w:val="005058BD"/>
    <w:rsid w:val="00506955"/>
    <w:rsid w:val="00512F90"/>
    <w:rsid w:val="00516C0A"/>
    <w:rsid w:val="005176F2"/>
    <w:rsid w:val="005178D1"/>
    <w:rsid w:val="00524103"/>
    <w:rsid w:val="00535C71"/>
    <w:rsid w:val="005414BA"/>
    <w:rsid w:val="0054280C"/>
    <w:rsid w:val="0054606D"/>
    <w:rsid w:val="005473C6"/>
    <w:rsid w:val="0055218C"/>
    <w:rsid w:val="00563FEB"/>
    <w:rsid w:val="00575023"/>
    <w:rsid w:val="00575045"/>
    <w:rsid w:val="00576CB8"/>
    <w:rsid w:val="00591195"/>
    <w:rsid w:val="00592138"/>
    <w:rsid w:val="005A78CB"/>
    <w:rsid w:val="005B21DE"/>
    <w:rsid w:val="005C6AF6"/>
    <w:rsid w:val="005E404F"/>
    <w:rsid w:val="005F0616"/>
    <w:rsid w:val="005F1791"/>
    <w:rsid w:val="005F7DDF"/>
    <w:rsid w:val="006114E3"/>
    <w:rsid w:val="006125A3"/>
    <w:rsid w:val="006154A2"/>
    <w:rsid w:val="006166EE"/>
    <w:rsid w:val="00633BE2"/>
    <w:rsid w:val="006540C6"/>
    <w:rsid w:val="0066208F"/>
    <w:rsid w:val="00671564"/>
    <w:rsid w:val="006739BF"/>
    <w:rsid w:val="0067595A"/>
    <w:rsid w:val="00681BC5"/>
    <w:rsid w:val="006A1630"/>
    <w:rsid w:val="006A676D"/>
    <w:rsid w:val="006B6D73"/>
    <w:rsid w:val="006B76A5"/>
    <w:rsid w:val="006C02BA"/>
    <w:rsid w:val="006C3B61"/>
    <w:rsid w:val="006C7C06"/>
    <w:rsid w:val="006C7C55"/>
    <w:rsid w:val="006F60F1"/>
    <w:rsid w:val="00706807"/>
    <w:rsid w:val="00715C12"/>
    <w:rsid w:val="00716C07"/>
    <w:rsid w:val="00721102"/>
    <w:rsid w:val="00730E79"/>
    <w:rsid w:val="0074116D"/>
    <w:rsid w:val="007475D0"/>
    <w:rsid w:val="0075202F"/>
    <w:rsid w:val="007708C2"/>
    <w:rsid w:val="007723AE"/>
    <w:rsid w:val="00786B45"/>
    <w:rsid w:val="00786D8F"/>
    <w:rsid w:val="00794372"/>
    <w:rsid w:val="007A0F18"/>
    <w:rsid w:val="007B57CD"/>
    <w:rsid w:val="007D283E"/>
    <w:rsid w:val="007D2FEB"/>
    <w:rsid w:val="007E4703"/>
    <w:rsid w:val="007F5D5D"/>
    <w:rsid w:val="00800651"/>
    <w:rsid w:val="00816C41"/>
    <w:rsid w:val="00843545"/>
    <w:rsid w:val="00847933"/>
    <w:rsid w:val="00855D52"/>
    <w:rsid w:val="00855D68"/>
    <w:rsid w:val="00855D95"/>
    <w:rsid w:val="0086090E"/>
    <w:rsid w:val="008742FC"/>
    <w:rsid w:val="00874B7C"/>
    <w:rsid w:val="0088455B"/>
    <w:rsid w:val="00885464"/>
    <w:rsid w:val="008864B9"/>
    <w:rsid w:val="008973DE"/>
    <w:rsid w:val="008A3828"/>
    <w:rsid w:val="008D4F08"/>
    <w:rsid w:val="008E11F0"/>
    <w:rsid w:val="008E721D"/>
    <w:rsid w:val="008F1A70"/>
    <w:rsid w:val="0090508F"/>
    <w:rsid w:val="009148F6"/>
    <w:rsid w:val="00914983"/>
    <w:rsid w:val="00920D15"/>
    <w:rsid w:val="0093114B"/>
    <w:rsid w:val="009318B1"/>
    <w:rsid w:val="00933B30"/>
    <w:rsid w:val="00956171"/>
    <w:rsid w:val="009634AC"/>
    <w:rsid w:val="00963AA5"/>
    <w:rsid w:val="00973624"/>
    <w:rsid w:val="009772A9"/>
    <w:rsid w:val="00995E6B"/>
    <w:rsid w:val="00997E4B"/>
    <w:rsid w:val="009B723B"/>
    <w:rsid w:val="009C7C16"/>
    <w:rsid w:val="009D5820"/>
    <w:rsid w:val="009E07F1"/>
    <w:rsid w:val="009E5F70"/>
    <w:rsid w:val="009F37D1"/>
    <w:rsid w:val="009F3F01"/>
    <w:rsid w:val="00A25234"/>
    <w:rsid w:val="00A332D4"/>
    <w:rsid w:val="00A50835"/>
    <w:rsid w:val="00A52669"/>
    <w:rsid w:val="00A576A0"/>
    <w:rsid w:val="00A63323"/>
    <w:rsid w:val="00A66B32"/>
    <w:rsid w:val="00A77085"/>
    <w:rsid w:val="00A9430E"/>
    <w:rsid w:val="00AA4ED1"/>
    <w:rsid w:val="00AB24B7"/>
    <w:rsid w:val="00AB6B99"/>
    <w:rsid w:val="00AC2054"/>
    <w:rsid w:val="00AD07ED"/>
    <w:rsid w:val="00AE76E6"/>
    <w:rsid w:val="00AE7B5A"/>
    <w:rsid w:val="00AF6DCD"/>
    <w:rsid w:val="00B04E07"/>
    <w:rsid w:val="00B1004C"/>
    <w:rsid w:val="00B15E91"/>
    <w:rsid w:val="00B16B5A"/>
    <w:rsid w:val="00B21FFF"/>
    <w:rsid w:val="00B47020"/>
    <w:rsid w:val="00B711D0"/>
    <w:rsid w:val="00B7343B"/>
    <w:rsid w:val="00B80AA2"/>
    <w:rsid w:val="00B82DFB"/>
    <w:rsid w:val="00B846EA"/>
    <w:rsid w:val="00B85044"/>
    <w:rsid w:val="00B910EA"/>
    <w:rsid w:val="00BB6195"/>
    <w:rsid w:val="00BE1485"/>
    <w:rsid w:val="00BF0BED"/>
    <w:rsid w:val="00BF6A2A"/>
    <w:rsid w:val="00C11B87"/>
    <w:rsid w:val="00C17065"/>
    <w:rsid w:val="00C3270D"/>
    <w:rsid w:val="00C46A8A"/>
    <w:rsid w:val="00C46FBD"/>
    <w:rsid w:val="00C51B0E"/>
    <w:rsid w:val="00C61C46"/>
    <w:rsid w:val="00C65A69"/>
    <w:rsid w:val="00C71A9B"/>
    <w:rsid w:val="00C72052"/>
    <w:rsid w:val="00C75153"/>
    <w:rsid w:val="00C76458"/>
    <w:rsid w:val="00C83421"/>
    <w:rsid w:val="00C84AD7"/>
    <w:rsid w:val="00C90D41"/>
    <w:rsid w:val="00C93538"/>
    <w:rsid w:val="00C9768F"/>
    <w:rsid w:val="00CA2481"/>
    <w:rsid w:val="00CA4BF3"/>
    <w:rsid w:val="00CB23EC"/>
    <w:rsid w:val="00CB7716"/>
    <w:rsid w:val="00CC0F42"/>
    <w:rsid w:val="00CC3321"/>
    <w:rsid w:val="00CD0404"/>
    <w:rsid w:val="00CE0E14"/>
    <w:rsid w:val="00CE3160"/>
    <w:rsid w:val="00CE5ED0"/>
    <w:rsid w:val="00D01861"/>
    <w:rsid w:val="00D01AEE"/>
    <w:rsid w:val="00D07416"/>
    <w:rsid w:val="00D17653"/>
    <w:rsid w:val="00D341D3"/>
    <w:rsid w:val="00D361A8"/>
    <w:rsid w:val="00D379EC"/>
    <w:rsid w:val="00D43E03"/>
    <w:rsid w:val="00D44219"/>
    <w:rsid w:val="00D645EE"/>
    <w:rsid w:val="00D82250"/>
    <w:rsid w:val="00DA0E15"/>
    <w:rsid w:val="00DB0BE6"/>
    <w:rsid w:val="00DB0C4B"/>
    <w:rsid w:val="00DB7B06"/>
    <w:rsid w:val="00DC3B6C"/>
    <w:rsid w:val="00DD6A09"/>
    <w:rsid w:val="00DE568D"/>
    <w:rsid w:val="00DF68CB"/>
    <w:rsid w:val="00DF73F9"/>
    <w:rsid w:val="00E10235"/>
    <w:rsid w:val="00E176D8"/>
    <w:rsid w:val="00E213A8"/>
    <w:rsid w:val="00E23560"/>
    <w:rsid w:val="00E34C84"/>
    <w:rsid w:val="00E41BDC"/>
    <w:rsid w:val="00E42692"/>
    <w:rsid w:val="00E575A5"/>
    <w:rsid w:val="00E60491"/>
    <w:rsid w:val="00E8440E"/>
    <w:rsid w:val="00EA0803"/>
    <w:rsid w:val="00EA2025"/>
    <w:rsid w:val="00EB4898"/>
    <w:rsid w:val="00EB6C82"/>
    <w:rsid w:val="00EC10CA"/>
    <w:rsid w:val="00ED615F"/>
    <w:rsid w:val="00ED6FF0"/>
    <w:rsid w:val="00EE2FD1"/>
    <w:rsid w:val="00F236B6"/>
    <w:rsid w:val="00F23937"/>
    <w:rsid w:val="00F2643F"/>
    <w:rsid w:val="00F30CC2"/>
    <w:rsid w:val="00F52C66"/>
    <w:rsid w:val="00F72F2A"/>
    <w:rsid w:val="00F96453"/>
    <w:rsid w:val="00FC1EA7"/>
    <w:rsid w:val="00FE0EF6"/>
    <w:rsid w:val="00FE36D0"/>
    <w:rsid w:val="00FE5C10"/>
    <w:rsid w:val="00FF21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4:docId w14:val="7301BA2C"/>
  <w15:chartTrackingRefBased/>
  <w15:docId w15:val="{C98B2981-0D52-47F5-9A65-C817BF2D9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3545"/>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843545"/>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843545"/>
    <w:pPr>
      <w:outlineLvl w:val="1"/>
    </w:pPr>
    <w:rPr>
      <w:sz w:val="28"/>
    </w:rPr>
  </w:style>
  <w:style w:type="paragraph" w:styleId="Heading3">
    <w:name w:val="heading 3"/>
    <w:basedOn w:val="Normal"/>
    <w:next w:val="Normal"/>
    <w:link w:val="Heading3Char"/>
    <w:uiPriority w:val="9"/>
    <w:unhideWhenUsed/>
    <w:qFormat/>
    <w:rsid w:val="00843545"/>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843545"/>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84354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843545"/>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843545"/>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843545"/>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843545"/>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545"/>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843545"/>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843545"/>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843545"/>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843545"/>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843545"/>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843545"/>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843545"/>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843545"/>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843545"/>
    <w:pPr>
      <w:ind w:left="862" w:right="862"/>
      <w:jc w:val="center"/>
    </w:pPr>
    <w:rPr>
      <w:i/>
      <w:iCs/>
      <w:color w:val="404040" w:themeColor="text1" w:themeTint="BF"/>
    </w:rPr>
  </w:style>
  <w:style w:type="character" w:customStyle="1" w:styleId="QuoteChar">
    <w:name w:val="Quote Char"/>
    <w:basedOn w:val="DefaultParagraphFont"/>
    <w:link w:val="Quote"/>
    <w:uiPriority w:val="29"/>
    <w:rsid w:val="00843545"/>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843545"/>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843545"/>
    <w:pPr>
      <w:tabs>
        <w:tab w:val="center" w:pos="4320"/>
        <w:tab w:val="right" w:pos="8640"/>
      </w:tabs>
    </w:pPr>
  </w:style>
  <w:style w:type="character" w:customStyle="1" w:styleId="HeaderChar">
    <w:name w:val="Header Char"/>
    <w:basedOn w:val="DefaultParagraphFont"/>
    <w:link w:val="Header"/>
    <w:uiPriority w:val="99"/>
    <w:rsid w:val="00843545"/>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843545"/>
    <w:pPr>
      <w:tabs>
        <w:tab w:val="center" w:pos="4320"/>
        <w:tab w:val="right" w:pos="8640"/>
      </w:tabs>
    </w:pPr>
  </w:style>
  <w:style w:type="character" w:customStyle="1" w:styleId="FooterChar">
    <w:name w:val="Footer Char"/>
    <w:basedOn w:val="DefaultParagraphFont"/>
    <w:link w:val="Footer"/>
    <w:uiPriority w:val="99"/>
    <w:rsid w:val="00843545"/>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843545"/>
    <w:rPr>
      <w:noProof w:val="0"/>
    </w:rPr>
  </w:style>
  <w:style w:type="character" w:styleId="Hyperlink">
    <w:name w:val="Hyperlink"/>
    <w:basedOn w:val="DefaultParagraphFont"/>
    <w:uiPriority w:val="99"/>
    <w:unhideWhenUsed/>
    <w:rsid w:val="00843545"/>
    <w:rPr>
      <w:noProof w:val="0"/>
      <w:color w:val="467886" w:themeColor="hyperlink"/>
      <w:u w:val="single"/>
    </w:rPr>
  </w:style>
  <w:style w:type="paragraph" w:styleId="Revision">
    <w:name w:val="Revision"/>
    <w:hidden/>
    <w:uiPriority w:val="99"/>
    <w:semiHidden/>
    <w:rsid w:val="00843545"/>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843545"/>
    <w:pPr>
      <w:spacing w:after="120"/>
    </w:pPr>
    <w:rPr>
      <w:b/>
      <w:bCs/>
      <w:color w:val="FFFFFF"/>
      <w:sz w:val="32"/>
      <w:szCs w:val="32"/>
    </w:rPr>
  </w:style>
  <w:style w:type="paragraph" w:customStyle="1" w:styleId="Headline">
    <w:name w:val="Headline"/>
    <w:basedOn w:val="Normal"/>
    <w:next w:val="Normal"/>
    <w:link w:val="HeadlineChar"/>
    <w:qFormat/>
    <w:rsid w:val="00843545"/>
    <w:rPr>
      <w:rFonts w:ascii="Segoe UI Semilight" w:hAnsi="Segoe UI Semilight" w:cs="Segoe UI Semilight"/>
      <w:b/>
      <w:bCs/>
      <w:color w:val="FFFFFF"/>
      <w:sz w:val="40"/>
      <w:szCs w:val="40"/>
    </w:rPr>
  </w:style>
  <w:style w:type="paragraph" w:customStyle="1" w:styleId="ExhibitTitle">
    <w:name w:val="Exhibit Title"/>
    <w:basedOn w:val="Normal"/>
    <w:qFormat/>
    <w:rsid w:val="00843545"/>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843545"/>
    <w:pPr>
      <w:shd w:val="clear" w:color="auto" w:fill="D6E2FA"/>
      <w:spacing w:after="0"/>
    </w:pPr>
    <w:rPr>
      <w:color w:val="595959" w:themeColor="text1" w:themeTint="A6"/>
      <w:sz w:val="18"/>
    </w:rPr>
  </w:style>
  <w:style w:type="paragraph" w:customStyle="1" w:styleId="ExhibitSource">
    <w:name w:val="Exhibit Source"/>
    <w:next w:val="Normal"/>
    <w:qFormat/>
    <w:rsid w:val="00843545"/>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rsid w:val="00843545"/>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843545"/>
    <w:pPr>
      <w:numPr>
        <w:numId w:val="2"/>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843545"/>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843545"/>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843545"/>
    <w:rPr>
      <w:rFonts w:ascii="Segoe UI" w:hAnsi="Segoe UI" w:cs="Segoe UI"/>
      <w:noProof w:val="0"/>
      <w:color w:val="000000" w:themeColor="text1"/>
    </w:rPr>
  </w:style>
  <w:style w:type="paragraph" w:customStyle="1" w:styleId="Summary">
    <w:name w:val="Summary"/>
    <w:basedOn w:val="Normal"/>
    <w:link w:val="SummaryChar"/>
    <w:qFormat/>
    <w:rsid w:val="00843545"/>
    <w:pPr>
      <w:numPr>
        <w:numId w:val="1"/>
      </w:numPr>
      <w:ind w:left="1797" w:hanging="357"/>
    </w:pPr>
    <w:rPr>
      <w:kern w:val="2"/>
      <w:sz w:val="22"/>
      <w14:ligatures w14:val="standardContextual"/>
    </w:rPr>
  </w:style>
  <w:style w:type="paragraph" w:customStyle="1" w:styleId="TableData">
    <w:name w:val="Table Data"/>
    <w:link w:val="TableDataChar"/>
    <w:qFormat/>
    <w:rsid w:val="00843545"/>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843545"/>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843545"/>
    <w:rPr>
      <w:rFonts w:ascii="Segoe UI Semilight" w:hAnsi="Segoe UI Semilight" w:cs="Segoe UI Semilight"/>
      <w:b/>
      <w:bCs/>
      <w:noProof w:val="0"/>
      <w:color w:val="FFFFFF"/>
      <w:kern w:val="0"/>
      <w:sz w:val="40"/>
      <w:szCs w:val="40"/>
      <w14:ligatures w14:val="none"/>
    </w:rPr>
  </w:style>
  <w:style w:type="paragraph" w:customStyle="1" w:styleId="PublishDate">
    <w:name w:val="Publish Date"/>
    <w:basedOn w:val="Normal"/>
    <w:link w:val="PublishDateChar"/>
    <w:qFormat/>
    <w:rsid w:val="00843545"/>
    <w:pPr>
      <w:spacing w:before="0" w:after="0"/>
      <w:jc w:val="right"/>
    </w:pPr>
    <w:rPr>
      <w:color w:val="003469"/>
      <w:sz w:val="24"/>
      <w:szCs w:val="24"/>
    </w:rPr>
  </w:style>
  <w:style w:type="paragraph" w:customStyle="1" w:styleId="Author">
    <w:name w:val="Author"/>
    <w:basedOn w:val="Bullet"/>
    <w:link w:val="AuthorChar"/>
    <w:qFormat/>
    <w:rsid w:val="00843545"/>
    <w:pPr>
      <w:numPr>
        <w:numId w:val="0"/>
      </w:numPr>
      <w:spacing w:after="0" w:line="240" w:lineRule="auto"/>
    </w:pPr>
    <w:rPr>
      <w:color w:val="7F7F7F" w:themeColor="text1" w:themeTint="80"/>
      <w:szCs w:val="22"/>
    </w:rPr>
  </w:style>
  <w:style w:type="character" w:customStyle="1" w:styleId="PublishDateChar">
    <w:name w:val="Publish Date Char"/>
    <w:basedOn w:val="DefaultParagraphFont"/>
    <w:link w:val="PublishDate"/>
    <w:rsid w:val="00843545"/>
    <w:rPr>
      <w:rFonts w:ascii="Segoe UI" w:hAnsi="Segoe UI" w:cs="Segoe UI"/>
      <w:noProof w:val="0"/>
      <w:color w:val="003469"/>
      <w:kern w:val="0"/>
      <w:sz w:val="24"/>
      <w:szCs w:val="24"/>
      <w14:ligatures w14:val="none"/>
    </w:rPr>
  </w:style>
  <w:style w:type="character" w:customStyle="1" w:styleId="AuthorChar">
    <w:name w:val="Author Char"/>
    <w:basedOn w:val="FooterChar"/>
    <w:link w:val="Author"/>
    <w:rsid w:val="00843545"/>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843545"/>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843545"/>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843545"/>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843545"/>
    <w:rPr>
      <w:color w:val="003469"/>
    </w:rPr>
  </w:style>
  <w:style w:type="character" w:customStyle="1" w:styleId="RepeatingFooterChar">
    <w:name w:val="Repeating Footer Char"/>
    <w:basedOn w:val="FooterChar"/>
    <w:link w:val="RepeatingFooter"/>
    <w:rsid w:val="00843545"/>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843545"/>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843545"/>
    <w:rPr>
      <w:b/>
      <w:bCs/>
      <w:noProof w:val="0"/>
    </w:rPr>
  </w:style>
  <w:style w:type="character" w:customStyle="1" w:styleId="Italics">
    <w:name w:val="Italics"/>
    <w:uiPriority w:val="1"/>
    <w:qFormat/>
    <w:rsid w:val="00843545"/>
    <w:rPr>
      <w:i/>
      <w:iCs/>
      <w:noProof w:val="0"/>
    </w:rPr>
  </w:style>
  <w:style w:type="table" w:customStyle="1" w:styleId="TableGridHeader">
    <w:name w:val="Table Grid Header"/>
    <w:basedOn w:val="TableNormal"/>
    <w:uiPriority w:val="99"/>
    <w:rsid w:val="00843545"/>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styleId="CommentReference">
    <w:name w:val="annotation reference"/>
    <w:basedOn w:val="DefaultParagraphFont"/>
    <w:uiPriority w:val="99"/>
    <w:semiHidden/>
    <w:unhideWhenUsed/>
    <w:rsid w:val="002B0B7A"/>
    <w:rPr>
      <w:sz w:val="16"/>
      <w:szCs w:val="16"/>
    </w:rPr>
  </w:style>
  <w:style w:type="paragraph" w:styleId="CommentText">
    <w:name w:val="annotation text"/>
    <w:basedOn w:val="Normal"/>
    <w:link w:val="CommentTextChar"/>
    <w:uiPriority w:val="99"/>
    <w:semiHidden/>
    <w:unhideWhenUsed/>
    <w:rsid w:val="002B0B7A"/>
    <w:rPr>
      <w:szCs w:val="20"/>
    </w:rPr>
  </w:style>
  <w:style w:type="character" w:customStyle="1" w:styleId="CommentTextChar">
    <w:name w:val="Comment Text Char"/>
    <w:basedOn w:val="DefaultParagraphFont"/>
    <w:link w:val="CommentText"/>
    <w:uiPriority w:val="99"/>
    <w:semiHidden/>
    <w:rsid w:val="002B0B7A"/>
    <w:rPr>
      <w:rFonts w:ascii="Segoe UI" w:hAnsi="Segoe UI" w:cs="Segoe UI"/>
      <w:color w:val="000000" w:themeColor="text1"/>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B0B7A"/>
    <w:rPr>
      <w:b/>
      <w:bCs/>
    </w:rPr>
  </w:style>
  <w:style w:type="character" w:customStyle="1" w:styleId="CommentSubjectChar">
    <w:name w:val="Comment Subject Char"/>
    <w:basedOn w:val="CommentTextChar"/>
    <w:link w:val="CommentSubject"/>
    <w:uiPriority w:val="99"/>
    <w:semiHidden/>
    <w:rsid w:val="002B0B7A"/>
    <w:rPr>
      <w:rFonts w:ascii="Segoe UI" w:hAnsi="Segoe UI" w:cs="Segoe UI"/>
      <w:b/>
      <w:bCs/>
      <w:color w:val="000000" w:themeColor="text1"/>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10.sv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sv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FDADB27C-37BF-45B7-9D8D-0B315C8A4214}"/>
      </w:docPartPr>
      <w:docPartBody>
        <w:p w:rsidR="00CC5B69" w:rsidRDefault="00CC5B69">
          <w:r w:rsidRPr="00E420E4">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B69"/>
    <w:rsid w:val="0025573B"/>
    <w:rsid w:val="00400CF6"/>
    <w:rsid w:val="005058BD"/>
    <w:rsid w:val="005B21DE"/>
    <w:rsid w:val="00CC5B69"/>
    <w:rsid w:val="00D43E03"/>
    <w:rsid w:val="00FE36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a4fa494edcada582a62beb01314e869d">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0adcf859876449d22c8b075f837fd515"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5B0F6B-5283-4259-95F2-06DD78AF8B0D}">
  <ds:schemaRefs>
    <ds:schemaRef ds:uri="http://purl.org/dc/elements/1.1/"/>
    <ds:schemaRef ds:uri="http://purl.org/dc/dcmitype/"/>
    <ds:schemaRef ds:uri="http://www.w3.org/XML/1998/namespace"/>
    <ds:schemaRef ds:uri="http://schemas.microsoft.com/office/2006/documentManagement/types"/>
    <ds:schemaRef ds:uri="http://purl.org/dc/terms/"/>
    <ds:schemaRef ds:uri="6c77b332-7df6-4eff-997f-266963d55fc4"/>
    <ds:schemaRef ds:uri="http://schemas.microsoft.com/office/2006/metadata/properties"/>
    <ds:schemaRef ds:uri="http://schemas.microsoft.com/office/infopath/2007/PartnerControls"/>
    <ds:schemaRef ds:uri="http://schemas.openxmlformats.org/package/2006/metadata/core-properties"/>
    <ds:schemaRef ds:uri="6ec33f61-c765-4e3b-9958-53c32fd1fd0b"/>
  </ds:schemaRefs>
</ds:datastoreItem>
</file>

<file path=customXml/itemProps2.xml><?xml version="1.0" encoding="utf-8"?>
<ds:datastoreItem xmlns:ds="http://schemas.openxmlformats.org/officeDocument/2006/customXml" ds:itemID="{8AC89495-AF63-44AA-8916-D345AA91E938}">
  <ds:schemaRefs>
    <ds:schemaRef ds:uri="http://schemas.microsoft.com/sharepoint/v3/contenttype/forms"/>
  </ds:schemaRefs>
</ds:datastoreItem>
</file>

<file path=customXml/itemProps3.xml><?xml version="1.0" encoding="utf-8"?>
<ds:datastoreItem xmlns:ds="http://schemas.openxmlformats.org/officeDocument/2006/customXml" ds:itemID="{8F90ADFB-27E3-4FBE-80BA-35901008BA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744</Words>
  <Characters>3818</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21</cp:revision>
  <dcterms:created xsi:type="dcterms:W3CDTF">2025-11-06T15:06:00Z</dcterms:created>
  <dcterms:modified xsi:type="dcterms:W3CDTF">2025-11-07T09:31:00Z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2025-11-07T09:31:22.000Z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v0.8.2.0</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EXHIBIT_FILEPATHS">
    <vt:lpwstr>Z:\UK Team\UK Research Briefing\20251106 RB UK MPC reaction.xlsx</vt:lpwstr>
  </property>
  <property fmtid="{D5CDD505-2E9C-101B-9397-08002B2CF9AE}" pid="15" name="OEP_CATEGORIES">
    <vt:lpwstr>AnalysisbyRegion-Europe-UnitedKingdom,Macro-ResearchBriefings-UnitedKingdom</vt:lpwstr>
  </property>
  <property fmtid="{D5CDD505-2E9C-101B-9397-08002B2CF9AE}" pid="16" name="OEP_TAGS">
    <vt:lpwstr>Key Themes:interest rates,monetary policy</vt:lpwstr>
  </property>
  <property fmtid="{D5CDD505-2E9C-101B-9397-08002B2CF9AE}" pid="17" name="OEP_KEY_THEMES">
    <vt:lpwstr>interest rates,monetary policy</vt:lpwstr>
  </property>
  <property fmtid="{D5CDD505-2E9C-101B-9397-08002B2CF9AE}" pid="18" name="ContentTypeId">
    <vt:lpwstr>0x01010009401BB7205AF745BAD4FA98BDE0B98F</vt:lpwstr>
  </property>
  <property fmtid="{D5CDD505-2E9C-101B-9397-08002B2CF9AE}" pid="19" name="OEP_PRODUCT_CODE">
    <vt:lpwstr>028AC15385F14989a02618</vt:lpwstr>
  </property>
  <property fmtid="{D5CDD505-2E9C-101B-9397-08002B2CF9AE}" pid="20" name="OEP_PUBLISH_DATE">
    <vt:lpwstr>2025-11-06T15:23:16.000Z</vt:lpwstr>
  </property>
</Properties>
</file>