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625C" w14:textId="708971F3" w:rsidR="00881697" w:rsidRPr="00B03E73" w:rsidRDefault="00C51600" w:rsidP="00881697">
      <w:pPr>
        <w:pStyle w:val="Bullet"/>
      </w:pPr>
      <w:r w:rsidRPr="00B03E73">
        <w:t xml:space="preserve">On balance, we expect the Monetary </w:t>
      </w:r>
      <w:r w:rsidR="003C63B4" w:rsidRPr="00B03E73">
        <w:t xml:space="preserve">Policy Committee </w:t>
      </w:r>
      <w:r w:rsidRPr="00B03E73">
        <w:t>will cut Bank Rate by 25bp</w:t>
      </w:r>
      <w:r w:rsidR="00B03E73">
        <w:t>s</w:t>
      </w:r>
      <w:r w:rsidRPr="00B03E73">
        <w:t xml:space="preserve"> at next week's </w:t>
      </w:r>
      <w:r w:rsidR="003C63B4" w:rsidRPr="00B03E73">
        <w:t>meeting</w:t>
      </w:r>
      <w:r w:rsidRPr="00B03E73">
        <w:t>. But it's a very close call and will likel</w:t>
      </w:r>
      <w:r w:rsidR="003C63B4" w:rsidRPr="00B03E73">
        <w:t xml:space="preserve">y be another </w:t>
      </w:r>
      <w:r w:rsidR="00B03E73">
        <w:t>split</w:t>
      </w:r>
      <w:r w:rsidR="003C63B4" w:rsidRPr="00B03E73">
        <w:t xml:space="preserve"> </w:t>
      </w:r>
      <w:r w:rsidR="00B03E73">
        <w:t>decision</w:t>
      </w:r>
      <w:r w:rsidR="003C63B4" w:rsidRPr="00B03E73">
        <w:t xml:space="preserve">, with Governor Andrew Bailey casting the decisive vote. </w:t>
      </w:r>
      <w:r w:rsidR="0093519F" w:rsidRPr="00B03E73">
        <w:t>If the Bank of England doesn't cut in December, we think it will cut in February instead.</w:t>
      </w:r>
    </w:p>
    <w:p w14:paraId="24FFE5F0" w14:textId="04C299C3" w:rsidR="00881697" w:rsidRPr="00B03E73" w:rsidRDefault="001E603A" w:rsidP="00881697">
      <w:pPr>
        <w:pStyle w:val="Bullet"/>
      </w:pPr>
      <w:r w:rsidRPr="00B03E73">
        <w:t>Bailey's statement in</w:t>
      </w:r>
      <w:r w:rsidR="00B03E73">
        <w:t xml:space="preserve"> the</w:t>
      </w:r>
      <w:r w:rsidRPr="00B03E73">
        <w:t xml:space="preserve"> </w:t>
      </w:r>
      <w:r w:rsidR="00211E5A" w:rsidRPr="00B03E73">
        <w:t xml:space="preserve">November </w:t>
      </w:r>
      <w:r w:rsidRPr="00B03E73">
        <w:t>minutes sug</w:t>
      </w:r>
      <w:r w:rsidR="008441EB" w:rsidRPr="00B03E73">
        <w:t xml:space="preserve">gested </w:t>
      </w:r>
      <w:r w:rsidR="008F57B4" w:rsidRPr="00B03E73">
        <w:t>evidence that inflation is falling would be enough to justify switching his vote.</w:t>
      </w:r>
      <w:r w:rsidR="0093519F" w:rsidRPr="00B03E73">
        <w:t xml:space="preserve"> </w:t>
      </w:r>
      <w:r w:rsidR="008F57B4" w:rsidRPr="00B03E73">
        <w:t xml:space="preserve">November inflation data – due to be published on Wednesday – </w:t>
      </w:r>
      <w:r w:rsidR="003C682A" w:rsidRPr="00B03E73">
        <w:t xml:space="preserve">could be pivotal. Though we think the figure will be higher than </w:t>
      </w:r>
      <w:r w:rsidR="00B03E73" w:rsidRPr="00B03E73">
        <w:t>th</w:t>
      </w:r>
      <w:r w:rsidR="00B03E73">
        <w:t>at</w:t>
      </w:r>
      <w:r w:rsidR="00B03E73" w:rsidRPr="00B03E73">
        <w:t xml:space="preserve"> </w:t>
      </w:r>
      <w:r w:rsidR="001742A6" w:rsidRPr="00B03E73">
        <w:t xml:space="preserve">forecast by </w:t>
      </w:r>
      <w:r w:rsidR="003C682A" w:rsidRPr="00B03E73">
        <w:t>BoE staff, it should be lower than September's outturn</w:t>
      </w:r>
      <w:r w:rsidR="0093519F" w:rsidRPr="00B03E73">
        <w:t xml:space="preserve">, </w:t>
      </w:r>
      <w:r w:rsidR="003C682A" w:rsidRPr="00B03E73">
        <w:t>fulfilling Bailey's criteria for cutting</w:t>
      </w:r>
      <w:r w:rsidR="006358F6" w:rsidRPr="00B03E73">
        <w:t>.</w:t>
      </w:r>
    </w:p>
    <w:p w14:paraId="2EC35681" w14:textId="1CB21C89" w:rsidR="00881697" w:rsidRPr="00B03E73" w:rsidRDefault="00211E5A" w:rsidP="00881697">
      <w:r w:rsidRPr="00B03E73">
        <w:t>Since the summer, the Bank of England's Monetary Policy Committee has split into two camps</w:t>
      </w:r>
      <w:r w:rsidR="00881697" w:rsidRPr="00B03E73">
        <w:t xml:space="preserve">. </w:t>
      </w:r>
      <w:r w:rsidRPr="00B03E73">
        <w:t>Four members are concerned that structural shifts in inflation expectations and price setting make it more likely inflation will remain high. Four others are worried about downside risks</w:t>
      </w:r>
      <w:r w:rsidR="000A1303" w:rsidRPr="00B03E73">
        <w:t xml:space="preserve"> to inflation</w:t>
      </w:r>
      <w:r w:rsidRPr="00B03E73">
        <w:t xml:space="preserve"> from weaker activity. Governor Andrew Bailey has been the swing voter</w:t>
      </w:r>
      <w:r w:rsidR="00881697" w:rsidRPr="00B03E73">
        <w:t xml:space="preserve"> </w:t>
      </w:r>
      <w:r w:rsidR="00B03E73">
        <w:t>at</w:t>
      </w:r>
      <w:r w:rsidR="00B03E73" w:rsidRPr="00B03E73">
        <w:t xml:space="preserve"> </w:t>
      </w:r>
      <w:r w:rsidRPr="00B03E73">
        <w:t>two of the past three meetings, tipping the balance for a cut in August and a hold in November. Baile</w:t>
      </w:r>
      <w:r w:rsidR="00AC21F2" w:rsidRPr="00B03E73">
        <w:t xml:space="preserve">y's vote </w:t>
      </w:r>
      <w:r w:rsidR="000A1303" w:rsidRPr="00B03E73">
        <w:t>will</w:t>
      </w:r>
      <w:r w:rsidR="00AC21F2" w:rsidRPr="00B03E73">
        <w:t xml:space="preserve"> </w:t>
      </w:r>
      <w:r w:rsidR="00AD1FC8" w:rsidRPr="00B03E73">
        <w:t xml:space="preserve">likely </w:t>
      </w:r>
      <w:r w:rsidR="00AC21F2" w:rsidRPr="00B03E73">
        <w:t>prove decisive again in December.</w:t>
      </w:r>
    </w:p>
    <w:p w14:paraId="55216035" w14:textId="35715D12" w:rsidR="00881697" w:rsidRPr="00B03E73" w:rsidRDefault="005F11DD" w:rsidP="00881697">
      <w:r w:rsidRPr="00B03E73">
        <w:t>In November, for the first time the minutes contained a paragraph from each member summarising their views</w:t>
      </w:r>
      <w:r w:rsidR="00C61B1E" w:rsidRPr="00B03E73">
        <w:t xml:space="preserve"> (</w:t>
      </w:r>
      <w:r w:rsidR="000441FE" w:rsidRPr="005C22DC">
        <w:rPr>
          <w:b/>
          <w:color w:val="003469"/>
        </w:rPr>
        <w:fldChar w:fldCharType="begin"/>
      </w:r>
      <w:r w:rsidR="005C22DC" w:rsidRPr="005C22DC">
        <w:rPr>
          <w:b/>
          <w:color w:val="003469"/>
        </w:rPr>
        <w:instrText xml:space="preserve">REF _Ref216189749 \h \* Charformat </w:instrText>
      </w:r>
      <w:r w:rsidR="005C22DC" w:rsidRPr="005C22DC">
        <w:rPr>
          <w:b/>
          <w:color w:val="003469"/>
        </w:rPr>
      </w:r>
      <w:r w:rsidR="000441FE" w:rsidRPr="005C22DC">
        <w:rPr>
          <w:b/>
          <w:color w:val="003469"/>
        </w:rPr>
        <w:fldChar w:fldCharType="separate"/>
      </w:r>
      <w:r w:rsidR="005C22DC" w:rsidRPr="005C22DC">
        <w:rPr>
          <w:b/>
          <w:color w:val="003469"/>
        </w:rPr>
        <w:t>Table 1</w:t>
      </w:r>
      <w:r w:rsidR="000441FE" w:rsidRPr="005C22DC">
        <w:rPr>
          <w:b/>
          <w:color w:val="003469"/>
        </w:rPr>
        <w:fldChar w:fldCharType="end"/>
      </w:r>
      <w:r w:rsidR="00BD6FA0" w:rsidRPr="00B03E73">
        <w:t xml:space="preserve"> </w:t>
      </w:r>
      <w:r w:rsidR="00C61B1E" w:rsidRPr="00B03E73">
        <w:t xml:space="preserve">shows the key quotes </w:t>
      </w:r>
      <w:r w:rsidR="007A6AA6" w:rsidRPr="00B03E73">
        <w:t>for each member</w:t>
      </w:r>
      <w:r w:rsidR="00C61B1E" w:rsidRPr="00B03E73">
        <w:t>)</w:t>
      </w:r>
      <w:r w:rsidRPr="00B03E73">
        <w:t xml:space="preserve">. </w:t>
      </w:r>
      <w:r w:rsidR="00461345" w:rsidRPr="00B03E73">
        <w:t xml:space="preserve">These contributions suggested the views of the two rival camps were well entrenched and </w:t>
      </w:r>
      <w:r w:rsidR="00C61B1E" w:rsidRPr="00B03E73">
        <w:t>testimony from four members at the Treasury Select Committee on December 9 reinforced that view.</w:t>
      </w:r>
    </w:p>
    <w:p w14:paraId="0BA21D7A" w14:textId="1D73D9A7" w:rsidR="00A80A99" w:rsidRPr="00B03E73" w:rsidRDefault="009808A5" w:rsidP="002A0445">
      <w:r w:rsidRPr="00B03E73">
        <w:t xml:space="preserve">Bailey's paragraph suggested </w:t>
      </w:r>
      <w:r w:rsidR="004D773B" w:rsidRPr="00B03E73">
        <w:t xml:space="preserve">that </w:t>
      </w:r>
      <w:r w:rsidR="000E56E7" w:rsidRPr="00B03E73">
        <w:t xml:space="preserve">his vote in </w:t>
      </w:r>
      <w:r w:rsidR="004D773B" w:rsidRPr="00B03E73">
        <w:t>November</w:t>
      </w:r>
      <w:r w:rsidRPr="00B03E73">
        <w:t xml:space="preserve"> was </w:t>
      </w:r>
      <w:r w:rsidR="009C7C9E" w:rsidRPr="00B03E73">
        <w:t>finely balanced</w:t>
      </w:r>
      <w:r w:rsidRPr="00B03E73">
        <w:t>. He felt that "upside risks to inflation have become less pressing" and that "the latest CPI data were promising"</w:t>
      </w:r>
      <w:r w:rsidR="00B03E73">
        <w:t>,</w:t>
      </w:r>
      <w:r w:rsidRPr="00B03E73">
        <w:t xml:space="preserve"> </w:t>
      </w:r>
      <w:r w:rsidR="001624FE" w:rsidRPr="00B03E73">
        <w:t>but</w:t>
      </w:r>
      <w:r w:rsidR="004D773B" w:rsidRPr="00B03E73">
        <w:t xml:space="preserve"> suggested </w:t>
      </w:r>
      <w:r w:rsidR="001624FE" w:rsidRPr="00B03E73">
        <w:t>he wanted to see</w:t>
      </w:r>
      <w:r w:rsidR="004D773B" w:rsidRPr="00B03E73">
        <w:t xml:space="preserve"> more evidence that inflation was falling</w:t>
      </w:r>
      <w:r w:rsidR="001624FE" w:rsidRPr="00B03E73">
        <w:t xml:space="preserve"> before voting to cut</w:t>
      </w:r>
      <w:r w:rsidR="004D773B" w:rsidRPr="00B03E73">
        <w:t>.</w:t>
      </w:r>
      <w:r w:rsidR="001624FE" w:rsidRPr="00B03E73">
        <w:t xml:space="preserve"> Inflation fell to 3.6% in October from 3.8% in September. November data will be published on December 17, the day before the MPC announcement. We expect the headline rate to hold steady at 3.6%</w:t>
      </w:r>
      <w:r w:rsidR="00A369D2" w:rsidRPr="00B03E73">
        <w:t xml:space="preserve"> (</w:t>
      </w:r>
      <w:r w:rsidR="000441FE" w:rsidRPr="005C22DC">
        <w:rPr>
          <w:b/>
          <w:color w:val="003469"/>
        </w:rPr>
        <w:fldChar w:fldCharType="begin"/>
      </w:r>
      <w:r w:rsidR="005C22DC" w:rsidRPr="005C22DC">
        <w:rPr>
          <w:b/>
          <w:color w:val="003469"/>
        </w:rPr>
        <w:instrText xml:space="preserve">REF _Ref216189747 \h \* Charformat </w:instrText>
      </w:r>
      <w:r w:rsidR="005C22DC" w:rsidRPr="005C22DC">
        <w:rPr>
          <w:b/>
          <w:color w:val="003469"/>
        </w:rPr>
      </w:r>
      <w:r w:rsidR="000441FE" w:rsidRPr="005C22DC">
        <w:rPr>
          <w:b/>
          <w:color w:val="003469"/>
        </w:rPr>
        <w:fldChar w:fldCharType="separate"/>
      </w:r>
      <w:r w:rsidR="005C22DC" w:rsidRPr="005C22DC">
        <w:rPr>
          <w:b/>
          <w:color w:val="003469"/>
        </w:rPr>
        <w:t>Chart 1</w:t>
      </w:r>
      <w:r w:rsidR="000441FE" w:rsidRPr="005C22DC">
        <w:rPr>
          <w:b/>
          <w:color w:val="003469"/>
        </w:rPr>
        <w:fldChar w:fldCharType="end"/>
      </w:r>
      <w:r w:rsidR="00A369D2" w:rsidRPr="00B03E73">
        <w:t>)</w:t>
      </w:r>
      <w:r w:rsidR="00B03E73">
        <w:t>, which is</w:t>
      </w:r>
      <w:r w:rsidR="001624FE" w:rsidRPr="00B03E73">
        <w:t xml:space="preserve"> 0.2ppts above the BoE's staff forecast</w:t>
      </w:r>
      <w:r w:rsidR="00B03E73">
        <w:t>.</w:t>
      </w:r>
      <w:r w:rsidR="001624FE" w:rsidRPr="00B03E73">
        <w:t xml:space="preserve"> </w:t>
      </w:r>
      <w:r w:rsidR="00B03E73">
        <w:t>B</w:t>
      </w:r>
      <w:r w:rsidR="001624FE" w:rsidRPr="00B03E73">
        <w:t xml:space="preserve">ut </w:t>
      </w:r>
      <w:r w:rsidR="00B03E73">
        <w:t xml:space="preserve">it </w:t>
      </w:r>
      <w:r w:rsidR="00C51600" w:rsidRPr="00B03E73">
        <w:t>could be interpreted as</w:t>
      </w:r>
      <w:r w:rsidR="00270CC0" w:rsidRPr="00B03E73">
        <w:t xml:space="preserve"> </w:t>
      </w:r>
      <w:r w:rsidR="001624FE" w:rsidRPr="00B03E73">
        <w:t>fulfil</w:t>
      </w:r>
      <w:r w:rsidR="00C51600" w:rsidRPr="00B03E73">
        <w:t>ling</w:t>
      </w:r>
      <w:r w:rsidR="001624FE" w:rsidRPr="00B03E73">
        <w:t xml:space="preserve"> Bailey's criteria </w:t>
      </w:r>
      <w:r w:rsidR="00270CC0" w:rsidRPr="00B03E73">
        <w:t xml:space="preserve">because </w:t>
      </w:r>
      <w:r w:rsidR="001624FE" w:rsidRPr="00B03E73">
        <w:t>inflation would</w:t>
      </w:r>
      <w:r w:rsidR="00B03E73">
        <w:t xml:space="preserve"> still</w:t>
      </w:r>
      <w:r w:rsidR="001624FE" w:rsidRPr="00B03E73">
        <w:t xml:space="preserve"> be lower than it was ahead of the November meeting.</w:t>
      </w:r>
    </w:p>
    <w:p w14:paraId="3B11EB4F" w14:textId="34CD06AF" w:rsidR="00881697" w:rsidRPr="00B03E73" w:rsidRDefault="00881697" w:rsidP="00A80A99">
      <w:pPr>
        <w:pStyle w:val="ExhibitTitle"/>
        <w:jc w:val="center"/>
      </w:pPr>
      <w:bookmarkStart w:id="0" w:name="_Ref216189747"/>
      <w:r w:rsidRPr="00B03E73">
        <w:t xml:space="preserve">Chart </w:t>
      </w:r>
      <w:r w:rsidRPr="00B03E73">
        <w:fldChar w:fldCharType="begin"/>
      </w:r>
      <w:r w:rsidR="00A80A99" w:rsidRPr="00B03E73">
        <w:instrText>SEQ CHART</w:instrText>
      </w:r>
      <w:r w:rsidRPr="00B03E73">
        <w:fldChar w:fldCharType="separate"/>
      </w:r>
      <w:r w:rsidR="00A80A99" w:rsidRPr="00B03E73">
        <w:t>1</w:t>
      </w:r>
      <w:r w:rsidRPr="00B03E73">
        <w:fldChar w:fldCharType="end"/>
      </w:r>
      <w:bookmarkEnd w:id="0"/>
      <w:r w:rsidRPr="00B03E73">
        <w:t xml:space="preserve">: </w:t>
      </w:r>
      <w:r w:rsidR="00542FCB" w:rsidRPr="00B03E73">
        <w:t>Inflation should be lower than it was before the November meeting</w:t>
      </w:r>
    </w:p>
    <w:p w14:paraId="55C2332B" w14:textId="111EA223" w:rsidR="00A80A99" w:rsidRPr="00B03E73" w:rsidRDefault="00A80A99" w:rsidP="00A80A99">
      <w:pPr>
        <w:spacing w:after="0"/>
        <w:jc w:val="center"/>
      </w:pPr>
      <w:r w:rsidRPr="00B03E73">
        <w:rPr>
          <w:noProof/>
        </w:rPr>
        <w:drawing>
          <wp:inline distT="0" distB="0" distL="0" distR="0" wp14:anchorId="5F3ECC6A" wp14:editId="2E51F0AE">
            <wp:extent cx="4006964" cy="3140642"/>
            <wp:effectExtent l="0" t="0" r="0" b="3175"/>
            <wp:docPr id="1356692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692110" name=""/>
                    <pic:cNvPicPr/>
                  </pic:nvPicPr>
                  <pic:blipFill>
                    <a:blip r:embed="rId10">
                      <a:extLst>
                        <a:ext uri="{96DAC541-7B7A-43D3-8B79-37D633B846F1}">
                          <asvg:svgBlip xmlns:asvg="http://schemas.microsoft.com/office/drawing/2016/SVG/main" r:embed="rId11"/>
                        </a:ext>
                      </a:extLst>
                    </a:blip>
                    <a:srcRect b="1886"/>
                    <a:stretch>
                      <a:fillRect/>
                    </a:stretch>
                  </pic:blipFill>
                  <pic:spPr>
                    <a:xfrm>
                      <a:off x="0" y="0"/>
                      <a:ext cx="4006964" cy="3140642"/>
                    </a:xfrm>
                    <a:prstGeom prst="rect">
                      <a:avLst/>
                    </a:prstGeom>
                  </pic:spPr>
                </pic:pic>
              </a:graphicData>
            </a:graphic>
          </wp:inline>
        </w:drawing>
      </w:r>
    </w:p>
    <w:p w14:paraId="3173F5BC" w14:textId="0EAAF396" w:rsidR="00881697" w:rsidRPr="00B03E73" w:rsidRDefault="00A80A99" w:rsidP="00A80A99">
      <w:pPr>
        <w:pStyle w:val="ExhibitSource"/>
        <w:jc w:val="center"/>
      </w:pPr>
      <w:r w:rsidRPr="00B03E73">
        <w:t>Sources: Oxford Economics, Bank of England</w:t>
      </w:r>
    </w:p>
    <w:p w14:paraId="243F447F" w14:textId="7AA545CE" w:rsidR="00881697" w:rsidRPr="00B03E73" w:rsidRDefault="00881697" w:rsidP="00881697">
      <w:pPr>
        <w:pStyle w:val="ExhibitSource"/>
        <w:jc w:val="center"/>
        <w:sectPr w:rsidR="00881697" w:rsidRPr="00B03E73" w:rsidSect="00A80A99">
          <w:headerReference w:type="even" r:id="rId12"/>
          <w:headerReference w:type="default" r:id="rId13"/>
          <w:footerReference w:type="default" r:id="rId14"/>
          <w:headerReference w:type="first" r:id="rId15"/>
          <w:footerReference w:type="first" r:id="rId16"/>
          <w:pgSz w:w="11906" w:h="16838"/>
          <w:pgMar w:top="2665" w:right="1276" w:bottom="838" w:left="1134" w:header="708" w:footer="300" w:gutter="0"/>
          <w:cols w:space="708"/>
          <w:titlePg/>
          <w:docGrid w:linePitch="360"/>
        </w:sectPr>
      </w:pPr>
    </w:p>
    <w:p w14:paraId="75EA515E" w14:textId="3060F562" w:rsidR="001624FE" w:rsidRPr="00B03E73" w:rsidRDefault="00936680" w:rsidP="00881697">
      <w:r w:rsidRPr="00B03E73">
        <w:lastRenderedPageBreak/>
        <w:t>Bailey</w:t>
      </w:r>
      <w:r w:rsidR="001624FE" w:rsidRPr="00B03E73">
        <w:t xml:space="preserve"> also </w:t>
      </w:r>
      <w:r w:rsidRPr="00B03E73">
        <w:t xml:space="preserve">suggested that </w:t>
      </w:r>
      <w:r w:rsidR="001624FE" w:rsidRPr="00B03E73">
        <w:t>market pricing</w:t>
      </w:r>
      <w:r w:rsidRPr="00B03E73">
        <w:t xml:space="preserve"> at the time of the November meeting was "a fair description of my position." When Bailey wrote that line, markets p</w:t>
      </w:r>
      <w:r w:rsidR="001624FE" w:rsidRPr="00B03E73">
        <w:t>ut a 60%-70% chance on a December cut and fully priced a cut by February</w:t>
      </w:r>
      <w:r w:rsidRPr="00B03E73">
        <w:t>.</w:t>
      </w:r>
      <w:r w:rsidR="001561E5" w:rsidRPr="00B03E73">
        <w:t xml:space="preserve"> Since then, pric</w:t>
      </w:r>
      <w:r w:rsidR="00BC0909" w:rsidRPr="00B03E73">
        <w:t>i</w:t>
      </w:r>
      <w:r w:rsidR="001561E5" w:rsidRPr="00B03E73">
        <w:t xml:space="preserve">ng </w:t>
      </w:r>
      <w:r w:rsidR="00BC0909" w:rsidRPr="00B03E73">
        <w:t xml:space="preserve">has firmed, implying a probability of </w:t>
      </w:r>
      <w:r w:rsidR="00E02D54" w:rsidRPr="00B03E73">
        <w:t>nearly</w:t>
      </w:r>
      <w:r w:rsidR="00BC0909" w:rsidRPr="00B03E73">
        <w:t xml:space="preserve"> </w:t>
      </w:r>
      <w:r w:rsidR="00E02D54" w:rsidRPr="00B03E73">
        <w:t>9</w:t>
      </w:r>
      <w:r w:rsidR="00BC0909" w:rsidRPr="00B03E73">
        <w:t>0% that Bank Rate will be cut next week</w:t>
      </w:r>
      <w:r w:rsidR="001766F0" w:rsidRPr="00B03E73">
        <w:t xml:space="preserve"> (</w:t>
      </w:r>
      <w:r w:rsidR="000441FE" w:rsidRPr="005C22DC">
        <w:rPr>
          <w:b/>
          <w:color w:val="003469"/>
        </w:rPr>
        <w:fldChar w:fldCharType="begin"/>
      </w:r>
      <w:r w:rsidR="005C22DC" w:rsidRPr="005C22DC">
        <w:rPr>
          <w:b/>
          <w:color w:val="003469"/>
        </w:rPr>
        <w:instrText xml:space="preserve">REF _Ref216189748 \h \* Charformat </w:instrText>
      </w:r>
      <w:r w:rsidR="005C22DC" w:rsidRPr="005C22DC">
        <w:rPr>
          <w:b/>
          <w:color w:val="003469"/>
        </w:rPr>
      </w:r>
      <w:r w:rsidR="000441FE" w:rsidRPr="005C22DC">
        <w:rPr>
          <w:b/>
          <w:color w:val="003469"/>
        </w:rPr>
        <w:fldChar w:fldCharType="separate"/>
      </w:r>
      <w:r w:rsidR="005C22DC" w:rsidRPr="005C22DC">
        <w:rPr>
          <w:b/>
          <w:color w:val="003469"/>
        </w:rPr>
        <w:t>Chart 2</w:t>
      </w:r>
      <w:r w:rsidR="000441FE" w:rsidRPr="005C22DC">
        <w:rPr>
          <w:b/>
          <w:color w:val="003469"/>
        </w:rPr>
        <w:fldChar w:fldCharType="end"/>
      </w:r>
      <w:r w:rsidR="001766F0" w:rsidRPr="00B03E73">
        <w:t>)</w:t>
      </w:r>
      <w:r w:rsidR="00BC0909" w:rsidRPr="00B03E73">
        <w:t>.</w:t>
      </w:r>
    </w:p>
    <w:p w14:paraId="519A7495" w14:textId="0B8C4292" w:rsidR="00881697" w:rsidRPr="00B03E73" w:rsidRDefault="00881697" w:rsidP="006E02FE">
      <w:pPr>
        <w:pStyle w:val="ExhibitTitle"/>
      </w:pPr>
      <w:bookmarkStart w:id="2" w:name="_Ref216189748"/>
      <w:r w:rsidRPr="00B03E73">
        <w:t xml:space="preserve">Chart </w:t>
      </w:r>
      <w:r w:rsidRPr="00B03E73">
        <w:fldChar w:fldCharType="begin"/>
      </w:r>
      <w:r w:rsidR="00A80A99" w:rsidRPr="00B03E73">
        <w:instrText>SEQ CHART</w:instrText>
      </w:r>
      <w:r w:rsidRPr="00B03E73">
        <w:fldChar w:fldCharType="separate"/>
      </w:r>
      <w:r w:rsidR="00A80A99" w:rsidRPr="00B03E73">
        <w:t>2</w:t>
      </w:r>
      <w:r w:rsidRPr="00B03E73">
        <w:fldChar w:fldCharType="end"/>
      </w:r>
      <w:bookmarkEnd w:id="2"/>
      <w:r w:rsidRPr="00B03E73">
        <w:t xml:space="preserve">: </w:t>
      </w:r>
      <w:r w:rsidR="00AB29B7" w:rsidRPr="00B03E73">
        <w:t>Market pricing implies a December rate cut is almost certain</w:t>
      </w:r>
    </w:p>
    <w:p w14:paraId="4A241CC3" w14:textId="7DCAC33B" w:rsidR="00A80A99" w:rsidRPr="00B03E73" w:rsidRDefault="00A80A99" w:rsidP="006E02FE">
      <w:pPr>
        <w:spacing w:after="0"/>
      </w:pPr>
      <w:r w:rsidRPr="00B03E73">
        <w:rPr>
          <w:noProof/>
        </w:rPr>
        <w:drawing>
          <wp:inline distT="0" distB="0" distL="0" distR="0" wp14:anchorId="66B0B9E0" wp14:editId="274322CF">
            <wp:extent cx="3250933" cy="2548068"/>
            <wp:effectExtent l="0" t="0" r="6985" b="5080"/>
            <wp:docPr id="104905967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59674" name=""/>
                    <pic:cNvPicPr/>
                  </pic:nvPicPr>
                  <pic:blipFill>
                    <a:blip r:embed="rId17">
                      <a:extLst>
                        <a:ext uri="{96DAC541-7B7A-43D3-8B79-37D633B846F1}">
                          <asvg:svgBlip xmlns:asvg="http://schemas.microsoft.com/office/drawing/2016/SVG/main" r:embed="rId18"/>
                        </a:ext>
                      </a:extLst>
                    </a:blip>
                    <a:srcRect b="1886"/>
                    <a:stretch>
                      <a:fillRect/>
                    </a:stretch>
                  </pic:blipFill>
                  <pic:spPr>
                    <a:xfrm>
                      <a:off x="0" y="0"/>
                      <a:ext cx="3250933" cy="2548068"/>
                    </a:xfrm>
                    <a:prstGeom prst="rect">
                      <a:avLst/>
                    </a:prstGeom>
                  </pic:spPr>
                </pic:pic>
              </a:graphicData>
            </a:graphic>
          </wp:inline>
        </w:drawing>
      </w:r>
    </w:p>
    <w:p w14:paraId="33F0FCB3" w14:textId="1175FFC2" w:rsidR="00881697" w:rsidRPr="00B03E73" w:rsidRDefault="00A80A99" w:rsidP="006E02FE">
      <w:pPr>
        <w:pStyle w:val="ExhibitSource"/>
      </w:pPr>
      <w:r w:rsidRPr="00B03E73">
        <w:t>Source: Oxford Economics calculations using data from Haver Analytics</w:t>
      </w:r>
    </w:p>
    <w:p w14:paraId="4EB1A663" w14:textId="726B1D43" w:rsidR="00881697" w:rsidRPr="00B03E73" w:rsidRDefault="00092C88" w:rsidP="00881697">
      <w:r w:rsidRPr="00B03E73">
        <w:t>We think the decision is a much closer call</w:t>
      </w:r>
      <w:r w:rsidR="0090246D" w:rsidRPr="00B03E73">
        <w:t xml:space="preserve"> than market pricing indicates</w:t>
      </w:r>
      <w:r w:rsidRPr="00B03E73">
        <w:t>. But it</w:t>
      </w:r>
      <w:r w:rsidR="00861A52" w:rsidRPr="00B03E73">
        <w:t>'</w:t>
      </w:r>
      <w:r w:rsidRPr="00B03E73">
        <w:t xml:space="preserve">s notable that Bailey has chosen not to push back against </w:t>
      </w:r>
      <w:r w:rsidR="000D1328" w:rsidRPr="00B03E73">
        <w:t>expectations of a December cut</w:t>
      </w:r>
      <w:r w:rsidRPr="00B03E73">
        <w:t xml:space="preserve">. </w:t>
      </w:r>
      <w:r w:rsidR="00861A52" w:rsidRPr="00B03E73">
        <w:t xml:space="preserve">And given his implicit endorsement of a move at one of the next couple of meetings, he will probably prefer to support a December cut rather than go against market pricing and potentially </w:t>
      </w:r>
      <w:r w:rsidR="00B15737" w:rsidRPr="00B03E73">
        <w:t>weaken</w:t>
      </w:r>
      <w:r w:rsidR="00861A52" w:rsidRPr="00B03E73">
        <w:t xml:space="preserve"> the credibility of future signalling of the outlook for rates</w:t>
      </w:r>
      <w:r w:rsidR="00881697" w:rsidRPr="00B03E73">
        <w:t>.</w:t>
      </w:r>
    </w:p>
    <w:p w14:paraId="39C93337" w14:textId="7CACD58A" w:rsidR="00670CD7" w:rsidRPr="00B03E73" w:rsidRDefault="00B15737" w:rsidP="00881697">
      <w:r w:rsidRPr="00B03E73">
        <w:t>Developments since the November meeting are unlikely to have altered committee members' views on the outlook for inflation</w:t>
      </w:r>
      <w:r w:rsidR="008D5533" w:rsidRPr="00B03E73">
        <w:t xml:space="preserve"> further out</w:t>
      </w:r>
      <w:r w:rsidR="00881697" w:rsidRPr="00B03E73">
        <w:t>.</w:t>
      </w:r>
      <w:r w:rsidRPr="00B03E73">
        <w:t xml:space="preserve"> </w:t>
      </w:r>
      <w:r w:rsidR="00735C2F" w:rsidRPr="00B03E73">
        <w:t xml:space="preserve">At this week's Treasury Select Committee hearing, Clare Lombardelli </w:t>
      </w:r>
      <w:r w:rsidR="00B03E73">
        <w:t>stated</w:t>
      </w:r>
      <w:r w:rsidR="00B03E73" w:rsidRPr="00B03E73">
        <w:t xml:space="preserve"> </w:t>
      </w:r>
      <w:r w:rsidR="00735C2F" w:rsidRPr="00B03E73">
        <w:t xml:space="preserve">that BoE staff estimate the Budget will lower inflation by 0.4ppts-0.5ppts for a year from April. But she emphasised that it would be a one-off impact and suggested that members tend to look through such changes. On the activity side, </w:t>
      </w:r>
      <w:r w:rsidRPr="00B03E73">
        <w:t>the Budget loosened the fiscal stance a little in the near-term,</w:t>
      </w:r>
      <w:r w:rsidR="000D1328" w:rsidRPr="00B03E73">
        <w:t xml:space="preserve"> but</w:t>
      </w:r>
      <w:r w:rsidRPr="00B03E73">
        <w:t xml:space="preserve"> the scale of the change was small. </w:t>
      </w:r>
    </w:p>
    <w:p w14:paraId="36039299" w14:textId="38EEBE28" w:rsidR="005611A2" w:rsidRPr="00B03E73" w:rsidRDefault="00670CD7" w:rsidP="00881697">
      <w:r w:rsidRPr="00B03E73">
        <w:t xml:space="preserve">Labour market data have generally been softer, with some evidence of a renewed fall in private sector employment, particularly in lower-paid sectors. </w:t>
      </w:r>
      <w:r w:rsidR="00134AAB" w:rsidRPr="00B03E73">
        <w:t>So</w:t>
      </w:r>
      <w:r w:rsidRPr="00B03E73">
        <w:t xml:space="preserve"> far, this has been reflected in falling earnings growth, with private sector regular pay – the BoE's favoured measure – </w:t>
      </w:r>
      <w:r w:rsidR="005611A2" w:rsidRPr="00B03E73">
        <w:t>slipping to a near five-year low on a y/y basis in September.</w:t>
      </w:r>
    </w:p>
    <w:p w14:paraId="637A96EA" w14:textId="2B972C6F" w:rsidR="00645D1B" w:rsidRPr="00B03E73" w:rsidRDefault="005611A2" w:rsidP="00881697">
      <w:r w:rsidRPr="00B03E73">
        <w:t xml:space="preserve">But there's still </w:t>
      </w:r>
      <w:r w:rsidR="00FD71D3" w:rsidRPr="00B03E73">
        <w:t>significant</w:t>
      </w:r>
      <w:r w:rsidRPr="00B03E73">
        <w:t xml:space="preserve"> uncertainty about the direction of pay growth in the new year. The BoE's Decision Maker Panel reported that firms' expectations for pay growth over the coming year nudged up in November</w:t>
      </w:r>
      <w:r w:rsidR="00800601">
        <w:t>,</w:t>
      </w:r>
      <w:r w:rsidRPr="00B03E73">
        <w:t xml:space="preserve"> and are at a level higher than would be consistent with the BoE achieving its inflation target over the medium-term. </w:t>
      </w:r>
    </w:p>
    <w:p w14:paraId="71BFA2FB" w14:textId="42752569" w:rsidR="00881697" w:rsidRPr="00B03E73" w:rsidRDefault="005611A2" w:rsidP="00881697">
      <w:r w:rsidRPr="00B03E73">
        <w:t xml:space="preserve">The minutes of December's meeting should include an update of intelligence from the BoE's regional agents on the </w:t>
      </w:r>
      <w:r w:rsidR="00645D1B" w:rsidRPr="00B03E73">
        <w:t xml:space="preserve">likely outcome of 2026 pay settlements. Early indications reported in last month's Monetary Policy Report put 2026 settlements at around 3.5%, down from 3.9% in 2025. </w:t>
      </w:r>
      <w:r w:rsidR="000B4DBB" w:rsidRPr="00B03E73">
        <w:t xml:space="preserve">This would be </w:t>
      </w:r>
      <w:r w:rsidR="000D1328" w:rsidRPr="00B03E73">
        <w:t xml:space="preserve">a little above </w:t>
      </w:r>
      <w:r w:rsidR="00800601">
        <w:t xml:space="preserve">the </w:t>
      </w:r>
      <w:r w:rsidR="000D1328" w:rsidRPr="00B03E73">
        <w:t>level</w:t>
      </w:r>
      <w:r w:rsidR="000B4DBB" w:rsidRPr="00B03E73">
        <w:t xml:space="preserve"> that most MPC members would be comfortable with</w:t>
      </w:r>
      <w:r w:rsidR="00ED7F17" w:rsidRPr="00B03E73">
        <w:t xml:space="preserve">. </w:t>
      </w:r>
      <w:r w:rsidR="00800601">
        <w:t>I</w:t>
      </w:r>
      <w:r w:rsidR="000B4DBB" w:rsidRPr="00B03E73">
        <w:t xml:space="preserve">f the agents find that settlements are settling at that level, it will reinforce the likelihood that the committee continues to </w:t>
      </w:r>
      <w:r w:rsidR="00800601">
        <w:t>take</w:t>
      </w:r>
      <w:r w:rsidR="00800601" w:rsidRPr="00B03E73">
        <w:t xml:space="preserve"> </w:t>
      </w:r>
      <w:r w:rsidR="000B4DBB" w:rsidRPr="00B03E73">
        <w:t>a cautious approach to loosening policy.</w:t>
      </w:r>
    </w:p>
    <w:p w14:paraId="1ED711FF" w14:textId="2EA8B4E3" w:rsidR="007704E4" w:rsidRPr="00B03E73" w:rsidRDefault="00D05F1C" w:rsidP="00881697">
      <w:r w:rsidRPr="00B03E73">
        <w:t xml:space="preserve">Therefore, assuming we're correct that the MPC will cut in December, we think it's unlikely they </w:t>
      </w:r>
      <w:r w:rsidR="00800601">
        <w:t>would</w:t>
      </w:r>
      <w:r w:rsidR="00800601" w:rsidRPr="00B03E73">
        <w:t xml:space="preserve"> </w:t>
      </w:r>
      <w:r w:rsidRPr="00B03E73">
        <w:t xml:space="preserve">follow up with another cut in February. </w:t>
      </w:r>
      <w:r w:rsidR="006B2104" w:rsidRPr="00B03E73">
        <w:t xml:space="preserve">So </w:t>
      </w:r>
      <w:r w:rsidR="00C5636A" w:rsidRPr="00B03E73">
        <w:t xml:space="preserve">while </w:t>
      </w:r>
      <w:r w:rsidR="006B2104" w:rsidRPr="00B03E73">
        <w:t xml:space="preserve">we expect the minutes will suggest that further loosening is likely next year, the need for caution will be emphasised. Indeed, the individual statements of some of those voting to cut </w:t>
      </w:r>
      <w:r w:rsidR="00AD4EB0" w:rsidRPr="00B03E73">
        <w:t>may play down the chances of there being back-to-back cuts.</w:t>
      </w:r>
    </w:p>
    <w:p w14:paraId="525F2496" w14:textId="77777777" w:rsidR="00E428A6" w:rsidRPr="00B03E73" w:rsidRDefault="00E428A6">
      <w:pPr>
        <w:spacing w:before="0" w:after="160" w:line="259" w:lineRule="auto"/>
        <w:rPr>
          <w:rFonts w:ascii="Segoe UI Semibold" w:hAnsi="Segoe UI Semibold" w:cs="Segoe UI Semibold"/>
          <w:color w:val="003469"/>
          <w:szCs w:val="24"/>
        </w:rPr>
      </w:pPr>
      <w:r w:rsidRPr="00B03E73">
        <w:br w:type="page"/>
      </w:r>
    </w:p>
    <w:p w14:paraId="77123065" w14:textId="7ECA0F5C" w:rsidR="007704E4" w:rsidRPr="00B03E73" w:rsidRDefault="007704E4" w:rsidP="006E02FE">
      <w:pPr>
        <w:pStyle w:val="ExhibitTitle"/>
      </w:pPr>
      <w:bookmarkStart w:id="3" w:name="_Ref216189749"/>
      <w:r w:rsidRPr="00B03E73">
        <w:lastRenderedPageBreak/>
        <w:t xml:space="preserve">Table </w:t>
      </w:r>
      <w:r w:rsidRPr="00B03E73">
        <w:fldChar w:fldCharType="begin"/>
      </w:r>
      <w:r w:rsidR="000441FE" w:rsidRPr="00B03E73">
        <w:instrText>SEQ TABLE</w:instrText>
      </w:r>
      <w:r w:rsidRPr="00B03E73">
        <w:fldChar w:fldCharType="separate"/>
      </w:r>
      <w:r w:rsidR="00A80A99" w:rsidRPr="00B03E73">
        <w:t>1</w:t>
      </w:r>
      <w:r w:rsidRPr="00B03E73">
        <w:fldChar w:fldCharType="end"/>
      </w:r>
      <w:bookmarkEnd w:id="3"/>
      <w:r w:rsidRPr="00B03E73">
        <w:t xml:space="preserve">: </w:t>
      </w:r>
      <w:r w:rsidR="009B2B90" w:rsidRPr="00B03E73">
        <w:t xml:space="preserve">Our analysis of </w:t>
      </w:r>
      <w:r w:rsidRPr="00B03E73">
        <w:t>MPC members</w:t>
      </w:r>
      <w:r w:rsidR="009B2B90" w:rsidRPr="00B03E73">
        <w:t>' views</w:t>
      </w:r>
    </w:p>
    <w:tbl>
      <w:tblPr>
        <w:tblStyle w:val="TableGridHeader"/>
        <w:tblW w:w="5000" w:type="pct"/>
        <w:tblLook w:val="04A0" w:firstRow="1" w:lastRow="0" w:firstColumn="1" w:lastColumn="0" w:noHBand="0" w:noVBand="1"/>
      </w:tblPr>
      <w:tblGrid>
        <w:gridCol w:w="1257"/>
        <w:gridCol w:w="1210"/>
        <w:gridCol w:w="1211"/>
        <w:gridCol w:w="5802"/>
      </w:tblGrid>
      <w:tr w:rsidR="006E321E" w:rsidRPr="00B03E73" w14:paraId="1149086B" w14:textId="77777777" w:rsidTr="006E02FE">
        <w:trPr>
          <w:cnfStyle w:val="100000000000" w:firstRow="1" w:lastRow="0" w:firstColumn="0" w:lastColumn="0" w:oddVBand="0" w:evenVBand="0" w:oddHBand="0" w:evenHBand="0" w:firstRowFirstColumn="0" w:firstRowLastColumn="0" w:lastRowFirstColumn="0" w:lastRowLastColumn="0"/>
          <w:tblHeader/>
        </w:trPr>
        <w:tc>
          <w:tcPr>
            <w:tcW w:w="1257" w:type="dxa"/>
          </w:tcPr>
          <w:p w14:paraId="614832D7" w14:textId="2E224BFA" w:rsidR="006E321E" w:rsidRPr="00B03E73" w:rsidRDefault="006E321E" w:rsidP="007704E4">
            <w:pPr>
              <w:pStyle w:val="TableHeader"/>
            </w:pPr>
            <w:r w:rsidRPr="00B03E73">
              <w:t>Member</w:t>
            </w:r>
          </w:p>
        </w:tc>
        <w:tc>
          <w:tcPr>
            <w:tcW w:w="1210" w:type="dxa"/>
          </w:tcPr>
          <w:p w14:paraId="29D35400" w14:textId="1DF751C9" w:rsidR="006E321E" w:rsidRPr="00B03E73" w:rsidRDefault="006E321E" w:rsidP="007704E4">
            <w:pPr>
              <w:pStyle w:val="TableHeader"/>
            </w:pPr>
            <w:r w:rsidRPr="00B03E73">
              <w:t>Last vote</w:t>
            </w:r>
          </w:p>
        </w:tc>
        <w:tc>
          <w:tcPr>
            <w:tcW w:w="1211" w:type="dxa"/>
          </w:tcPr>
          <w:p w14:paraId="7567EFA9" w14:textId="1DEFA685" w:rsidR="006E321E" w:rsidRPr="00B03E73" w:rsidRDefault="006E321E" w:rsidP="007704E4">
            <w:pPr>
              <w:pStyle w:val="TableHeader"/>
            </w:pPr>
            <w:r w:rsidRPr="00B03E73">
              <w:t>Expected vote</w:t>
            </w:r>
          </w:p>
        </w:tc>
        <w:tc>
          <w:tcPr>
            <w:tcW w:w="5802" w:type="dxa"/>
          </w:tcPr>
          <w:p w14:paraId="59C90EC9" w14:textId="1641CD26" w:rsidR="006E321E" w:rsidRPr="00B03E73" w:rsidRDefault="006E321E" w:rsidP="007704E4">
            <w:pPr>
              <w:pStyle w:val="TableHeader"/>
            </w:pPr>
            <w:r w:rsidRPr="00B03E73">
              <w:t>Latest comments</w:t>
            </w:r>
          </w:p>
        </w:tc>
      </w:tr>
      <w:tr w:rsidR="006E321E" w:rsidRPr="00B03E73" w14:paraId="2815CCB9" w14:textId="77777777" w:rsidTr="006E02FE">
        <w:tc>
          <w:tcPr>
            <w:tcW w:w="1257" w:type="dxa"/>
          </w:tcPr>
          <w:p w14:paraId="39D4AAB7" w14:textId="56C0DCE1" w:rsidR="006E321E" w:rsidRPr="00B03E73" w:rsidRDefault="006E321E" w:rsidP="007704E4">
            <w:pPr>
              <w:pStyle w:val="TableData"/>
            </w:pPr>
            <w:r w:rsidRPr="00B03E73">
              <w:t>Bailey</w:t>
            </w:r>
          </w:p>
        </w:tc>
        <w:tc>
          <w:tcPr>
            <w:tcW w:w="1210" w:type="dxa"/>
          </w:tcPr>
          <w:p w14:paraId="2EA61103" w14:textId="0FB4854E" w:rsidR="006E321E" w:rsidRPr="00B03E73" w:rsidRDefault="006E321E" w:rsidP="007704E4">
            <w:pPr>
              <w:pStyle w:val="TableData"/>
            </w:pPr>
            <w:r w:rsidRPr="00B03E73">
              <w:t>Hold</w:t>
            </w:r>
          </w:p>
        </w:tc>
        <w:tc>
          <w:tcPr>
            <w:tcW w:w="1211" w:type="dxa"/>
          </w:tcPr>
          <w:p w14:paraId="63053230" w14:textId="1B52124A" w:rsidR="006E321E" w:rsidRPr="00B03E73" w:rsidRDefault="006E321E" w:rsidP="007704E4">
            <w:pPr>
              <w:pStyle w:val="TableData"/>
            </w:pPr>
            <w:r w:rsidRPr="00B03E73">
              <w:t>Cut</w:t>
            </w:r>
            <w:r w:rsidR="00971AAF" w:rsidRPr="00B03E73">
              <w:t xml:space="preserve"> 25bps</w:t>
            </w:r>
          </w:p>
        </w:tc>
        <w:tc>
          <w:tcPr>
            <w:tcW w:w="5802" w:type="dxa"/>
          </w:tcPr>
          <w:p w14:paraId="516B9A93" w14:textId="7FC23FFA" w:rsidR="006E321E" w:rsidRPr="00B03E73" w:rsidRDefault="006E321E" w:rsidP="00E257E7">
            <w:pPr>
              <w:pStyle w:val="TableData"/>
            </w:pPr>
            <w:r w:rsidRPr="00B03E73">
              <w:t>"I see further policy easing to come if disinflation becomes more clearly established in the period ahead". "I find the mechanisms underlying upside risks less convincing than those underlying the downside". "Rather than cutting Bank Rate now, I would prefer to wait and see if the durability in disinflation is confirmed in upcoming economic developments this year.</w:t>
            </w:r>
            <w:r w:rsidR="00E628D6" w:rsidRPr="00B03E73">
              <w:t>"</w:t>
            </w:r>
            <w:r w:rsidR="00E257E7">
              <w:t xml:space="preserve"> </w:t>
            </w:r>
            <w:r w:rsidRPr="00B03E73">
              <w:t>"Current market pricing…. is a fair description of my position."</w:t>
            </w:r>
          </w:p>
        </w:tc>
      </w:tr>
      <w:tr w:rsidR="006E321E" w:rsidRPr="00B03E73" w14:paraId="3815508B" w14:textId="77777777" w:rsidTr="006E02FE">
        <w:tc>
          <w:tcPr>
            <w:tcW w:w="1257" w:type="dxa"/>
          </w:tcPr>
          <w:p w14:paraId="675BAE72" w14:textId="46806758" w:rsidR="006E321E" w:rsidRPr="00B03E73" w:rsidRDefault="006E321E" w:rsidP="007704E4">
            <w:pPr>
              <w:pStyle w:val="TableData"/>
            </w:pPr>
            <w:r w:rsidRPr="00B03E73">
              <w:t>Breed</w:t>
            </w:r>
            <w:r w:rsidR="006B2104" w:rsidRPr="00B03E73">
              <w:t>e</w:t>
            </w:r>
            <w:r w:rsidRPr="00B03E73">
              <w:t>n</w:t>
            </w:r>
          </w:p>
        </w:tc>
        <w:tc>
          <w:tcPr>
            <w:tcW w:w="1210" w:type="dxa"/>
          </w:tcPr>
          <w:p w14:paraId="43403211" w14:textId="42A520B4" w:rsidR="006E321E" w:rsidRPr="00B03E73" w:rsidRDefault="00971AAF" w:rsidP="007704E4">
            <w:pPr>
              <w:pStyle w:val="TableData"/>
            </w:pPr>
            <w:r w:rsidRPr="00B03E73">
              <w:t>Cut 25bps</w:t>
            </w:r>
          </w:p>
        </w:tc>
        <w:tc>
          <w:tcPr>
            <w:tcW w:w="1211" w:type="dxa"/>
          </w:tcPr>
          <w:p w14:paraId="4FDFC0DE" w14:textId="76669F99" w:rsidR="006E321E" w:rsidRPr="00B03E73" w:rsidRDefault="00971AAF" w:rsidP="007704E4">
            <w:pPr>
              <w:pStyle w:val="TableData"/>
            </w:pPr>
            <w:r w:rsidRPr="00B03E73">
              <w:t>Cut 25bps</w:t>
            </w:r>
          </w:p>
        </w:tc>
        <w:tc>
          <w:tcPr>
            <w:tcW w:w="5802" w:type="dxa"/>
          </w:tcPr>
          <w:p w14:paraId="383A8537" w14:textId="33C5A1E9" w:rsidR="00126B48" w:rsidRPr="00B03E73" w:rsidRDefault="00126B48" w:rsidP="00E257E7">
            <w:pPr>
              <w:pStyle w:val="TableData"/>
            </w:pPr>
            <w:r w:rsidRPr="00B03E73">
              <w:t>"Data since August have provided me with greater confidence that the disinflation process remains on track and that upside risks to inflation are not materialising."</w:t>
            </w:r>
            <w:r w:rsidR="00E257E7">
              <w:t xml:space="preserve"> </w:t>
            </w:r>
            <w:r w:rsidRPr="00B03E73">
              <w:t>"While the upside risks to inflation have diminished somewhat since the August Report, downside risks from the outlook for demand have become more prominent."</w:t>
            </w:r>
          </w:p>
        </w:tc>
      </w:tr>
      <w:tr w:rsidR="006E321E" w:rsidRPr="00B03E73" w14:paraId="717789BB" w14:textId="77777777" w:rsidTr="006E02FE">
        <w:tc>
          <w:tcPr>
            <w:tcW w:w="1257" w:type="dxa"/>
          </w:tcPr>
          <w:p w14:paraId="24BFBBDD" w14:textId="09F8A2B3" w:rsidR="006E321E" w:rsidRPr="00B03E73" w:rsidRDefault="006E321E" w:rsidP="007704E4">
            <w:pPr>
              <w:pStyle w:val="TableData"/>
            </w:pPr>
            <w:r w:rsidRPr="00B03E73">
              <w:t>Dhingra</w:t>
            </w:r>
          </w:p>
        </w:tc>
        <w:tc>
          <w:tcPr>
            <w:tcW w:w="1210" w:type="dxa"/>
          </w:tcPr>
          <w:p w14:paraId="6A96DF2E" w14:textId="3080749B" w:rsidR="006E321E" w:rsidRPr="00B03E73" w:rsidRDefault="00971AAF" w:rsidP="007704E4">
            <w:pPr>
              <w:pStyle w:val="TableData"/>
            </w:pPr>
            <w:r w:rsidRPr="00B03E73">
              <w:t>Cut 25bps</w:t>
            </w:r>
          </w:p>
        </w:tc>
        <w:tc>
          <w:tcPr>
            <w:tcW w:w="1211" w:type="dxa"/>
          </w:tcPr>
          <w:p w14:paraId="7B0A0FD8" w14:textId="0C21915D" w:rsidR="006E321E" w:rsidRPr="00B03E73" w:rsidRDefault="00971AAF" w:rsidP="007704E4">
            <w:pPr>
              <w:pStyle w:val="TableData"/>
            </w:pPr>
            <w:r w:rsidRPr="00B03E73">
              <w:t>Cut 25bps</w:t>
            </w:r>
          </w:p>
        </w:tc>
        <w:tc>
          <w:tcPr>
            <w:tcW w:w="5802" w:type="dxa"/>
          </w:tcPr>
          <w:p w14:paraId="56AACC96" w14:textId="3CC8842E" w:rsidR="00E428A6" w:rsidRPr="00B03E73" w:rsidRDefault="00E428A6" w:rsidP="00E257E7">
            <w:pPr>
              <w:pStyle w:val="TableData"/>
            </w:pPr>
            <w:r w:rsidRPr="00B03E73">
              <w:t>"Disinflation remains clearly on track, with balanced risks to inflation and downside risks to activity."</w:t>
            </w:r>
            <w:r w:rsidR="00E257E7">
              <w:t xml:space="preserve"> </w:t>
            </w:r>
            <w:r w:rsidRPr="00B03E73">
              <w:t>"My view remains that Bank Rate should have been lower already to account for lags in its transmission to the real economy. Policy is overly restrictive and could exacerbate risks from weak demand and reduced supply."</w:t>
            </w:r>
          </w:p>
        </w:tc>
      </w:tr>
      <w:tr w:rsidR="006E321E" w:rsidRPr="00B03E73" w14:paraId="70EA492E" w14:textId="77777777" w:rsidTr="006E02FE">
        <w:tc>
          <w:tcPr>
            <w:tcW w:w="1257" w:type="dxa"/>
          </w:tcPr>
          <w:p w14:paraId="11EBB2B6" w14:textId="7BACF62B" w:rsidR="006E321E" w:rsidRPr="00B03E73" w:rsidRDefault="006E321E" w:rsidP="007704E4">
            <w:pPr>
              <w:pStyle w:val="TableData"/>
            </w:pPr>
            <w:r w:rsidRPr="00B03E73">
              <w:t>Ramsden</w:t>
            </w:r>
          </w:p>
        </w:tc>
        <w:tc>
          <w:tcPr>
            <w:tcW w:w="1210" w:type="dxa"/>
          </w:tcPr>
          <w:p w14:paraId="1A33B9A0" w14:textId="7CCC33E8" w:rsidR="006E321E" w:rsidRPr="00B03E73" w:rsidRDefault="00971AAF" w:rsidP="007704E4">
            <w:pPr>
              <w:pStyle w:val="TableData"/>
            </w:pPr>
            <w:r w:rsidRPr="00B03E73">
              <w:t>Cut 25bps</w:t>
            </w:r>
          </w:p>
        </w:tc>
        <w:tc>
          <w:tcPr>
            <w:tcW w:w="1211" w:type="dxa"/>
          </w:tcPr>
          <w:p w14:paraId="714C1142" w14:textId="0772A1CD" w:rsidR="006E321E" w:rsidRPr="00B03E73" w:rsidRDefault="00971AAF" w:rsidP="007704E4">
            <w:pPr>
              <w:pStyle w:val="TableData"/>
            </w:pPr>
            <w:r w:rsidRPr="00B03E73">
              <w:t>Cut 25bps</w:t>
            </w:r>
          </w:p>
        </w:tc>
        <w:tc>
          <w:tcPr>
            <w:tcW w:w="5802" w:type="dxa"/>
          </w:tcPr>
          <w:p w14:paraId="336CD313" w14:textId="1E1DC021" w:rsidR="00E428A6" w:rsidRPr="00B03E73" w:rsidRDefault="00E428A6" w:rsidP="00E257E7">
            <w:pPr>
              <w:pStyle w:val="TableData"/>
            </w:pPr>
            <w:r w:rsidRPr="00B03E73">
              <w:t>"I place weight on our central projection and see risks around it as broadly balanced, although the downside risks are now more prominent for me relative to August."</w:t>
            </w:r>
            <w:r w:rsidR="00E257E7">
              <w:t xml:space="preserve"> </w:t>
            </w:r>
            <w:r w:rsidR="00ED085A" w:rsidRPr="00B03E73">
              <w:t>"I judge that our policy stance continues to be restrictive and, based on my outlook, expect that a gradual removal of policy restraint will remain appropriate."</w:t>
            </w:r>
          </w:p>
        </w:tc>
      </w:tr>
      <w:tr w:rsidR="006E321E" w:rsidRPr="00B03E73" w14:paraId="40611FC8" w14:textId="77777777" w:rsidTr="006E02FE">
        <w:tc>
          <w:tcPr>
            <w:tcW w:w="1257" w:type="dxa"/>
          </w:tcPr>
          <w:p w14:paraId="67065C46" w14:textId="577D922C" w:rsidR="006E321E" w:rsidRPr="00B03E73" w:rsidRDefault="006E321E" w:rsidP="007704E4">
            <w:pPr>
              <w:pStyle w:val="TableData"/>
            </w:pPr>
            <w:r w:rsidRPr="00B03E73">
              <w:t>Taylor</w:t>
            </w:r>
          </w:p>
        </w:tc>
        <w:tc>
          <w:tcPr>
            <w:tcW w:w="1210" w:type="dxa"/>
          </w:tcPr>
          <w:p w14:paraId="7A0EDF4A" w14:textId="080FC81D" w:rsidR="006E321E" w:rsidRPr="00B03E73" w:rsidRDefault="00971AAF" w:rsidP="007704E4">
            <w:pPr>
              <w:pStyle w:val="TableData"/>
            </w:pPr>
            <w:r w:rsidRPr="00B03E73">
              <w:t>Cut 25bps</w:t>
            </w:r>
          </w:p>
        </w:tc>
        <w:tc>
          <w:tcPr>
            <w:tcW w:w="1211" w:type="dxa"/>
          </w:tcPr>
          <w:p w14:paraId="22CB1752" w14:textId="3794A641" w:rsidR="006E321E" w:rsidRPr="00B03E73" w:rsidRDefault="00971AAF" w:rsidP="007704E4">
            <w:pPr>
              <w:pStyle w:val="TableData"/>
            </w:pPr>
            <w:r w:rsidRPr="00B03E73">
              <w:t>Cut 25bps</w:t>
            </w:r>
          </w:p>
        </w:tc>
        <w:tc>
          <w:tcPr>
            <w:tcW w:w="5802" w:type="dxa"/>
          </w:tcPr>
          <w:p w14:paraId="35EF8229" w14:textId="45D09E25" w:rsidR="006E321E" w:rsidRPr="00B03E73" w:rsidRDefault="00ED085A" w:rsidP="007704E4">
            <w:pPr>
              <w:pStyle w:val="TableData"/>
            </w:pPr>
            <w:r w:rsidRPr="00B03E73">
              <w:t>"I disagree with the central projection and my own outlook is weaker. I judge that the current level of slack is larger, and the terminal rate is lower, implying that the current stance is more restrictive than intended."</w:t>
            </w:r>
          </w:p>
        </w:tc>
      </w:tr>
      <w:tr w:rsidR="006E321E" w:rsidRPr="00B03E73" w14:paraId="25CC9B10" w14:textId="77777777" w:rsidTr="006E02FE">
        <w:tc>
          <w:tcPr>
            <w:tcW w:w="1257" w:type="dxa"/>
          </w:tcPr>
          <w:p w14:paraId="6B47DCBE" w14:textId="7CA678C3" w:rsidR="006E321E" w:rsidRPr="00B03E73" w:rsidRDefault="006E321E" w:rsidP="007704E4">
            <w:pPr>
              <w:pStyle w:val="TableData"/>
            </w:pPr>
            <w:r w:rsidRPr="00B03E73">
              <w:t>Greene</w:t>
            </w:r>
          </w:p>
        </w:tc>
        <w:tc>
          <w:tcPr>
            <w:tcW w:w="1210" w:type="dxa"/>
          </w:tcPr>
          <w:p w14:paraId="3EEC5BC9" w14:textId="7C934C06" w:rsidR="006E321E" w:rsidRPr="00B03E73" w:rsidRDefault="006E321E" w:rsidP="007704E4">
            <w:pPr>
              <w:pStyle w:val="TableData"/>
            </w:pPr>
            <w:r w:rsidRPr="00B03E73">
              <w:t>Hold</w:t>
            </w:r>
          </w:p>
        </w:tc>
        <w:tc>
          <w:tcPr>
            <w:tcW w:w="1211" w:type="dxa"/>
          </w:tcPr>
          <w:p w14:paraId="17AF6642" w14:textId="3FC3C50A" w:rsidR="006E321E" w:rsidRPr="00B03E73" w:rsidRDefault="006E321E" w:rsidP="007704E4">
            <w:pPr>
              <w:pStyle w:val="TableData"/>
            </w:pPr>
            <w:r w:rsidRPr="00B03E73">
              <w:t>Hold</w:t>
            </w:r>
          </w:p>
        </w:tc>
        <w:tc>
          <w:tcPr>
            <w:tcW w:w="5802" w:type="dxa"/>
          </w:tcPr>
          <w:p w14:paraId="0C8A041E" w14:textId="1C03B5F2" w:rsidR="006E321E" w:rsidRPr="00B03E73" w:rsidRDefault="00096C5C" w:rsidP="007704E4">
            <w:pPr>
              <w:pStyle w:val="TableData"/>
            </w:pPr>
            <w:r w:rsidRPr="00B03E73">
              <w:t>"I continue to believe inflation risks are to the upside and worry that the disinflationary process has slowed".</w:t>
            </w:r>
          </w:p>
        </w:tc>
      </w:tr>
      <w:tr w:rsidR="006E321E" w:rsidRPr="00B03E73" w14:paraId="6679BA5A" w14:textId="77777777" w:rsidTr="006E02FE">
        <w:tc>
          <w:tcPr>
            <w:tcW w:w="1257" w:type="dxa"/>
          </w:tcPr>
          <w:p w14:paraId="35657613" w14:textId="2F6CBAAC" w:rsidR="006E321E" w:rsidRPr="00B03E73" w:rsidRDefault="006E321E" w:rsidP="007704E4">
            <w:pPr>
              <w:pStyle w:val="TableData"/>
            </w:pPr>
            <w:r w:rsidRPr="00B03E73">
              <w:t>Lombardelli</w:t>
            </w:r>
          </w:p>
        </w:tc>
        <w:tc>
          <w:tcPr>
            <w:tcW w:w="1210" w:type="dxa"/>
          </w:tcPr>
          <w:p w14:paraId="106F98C3" w14:textId="698B3D9E" w:rsidR="006E321E" w:rsidRPr="00B03E73" w:rsidRDefault="006E321E" w:rsidP="007704E4">
            <w:pPr>
              <w:pStyle w:val="TableData"/>
            </w:pPr>
            <w:r w:rsidRPr="00B03E73">
              <w:t>Hold</w:t>
            </w:r>
          </w:p>
        </w:tc>
        <w:tc>
          <w:tcPr>
            <w:tcW w:w="1211" w:type="dxa"/>
          </w:tcPr>
          <w:p w14:paraId="01C456A6" w14:textId="4A2947E3" w:rsidR="006E321E" w:rsidRPr="00B03E73" w:rsidRDefault="006E321E" w:rsidP="007704E4">
            <w:pPr>
              <w:pStyle w:val="TableData"/>
            </w:pPr>
            <w:r w:rsidRPr="00B03E73">
              <w:t>Hold</w:t>
            </w:r>
          </w:p>
        </w:tc>
        <w:tc>
          <w:tcPr>
            <w:tcW w:w="5802" w:type="dxa"/>
          </w:tcPr>
          <w:p w14:paraId="24442CDC" w14:textId="6F03EB27" w:rsidR="00096C5C" w:rsidRPr="00B03E73" w:rsidRDefault="00096C5C" w:rsidP="00E257E7">
            <w:pPr>
              <w:pStyle w:val="TableData"/>
            </w:pPr>
            <w:r w:rsidRPr="00B03E73">
              <w:t>"While I expect headline inflation to continue to fall, I worry there may be more underlying inflationary pressure in the economy than embodied in the central projection."</w:t>
            </w:r>
            <w:r w:rsidR="00E257E7">
              <w:t xml:space="preserve"> </w:t>
            </w:r>
            <w:r w:rsidRPr="00B03E73">
              <w:t>"We have plenty of policy space to lower Bank Rate should it be necessary, while a policy reversal would be costly for the MPC’s credibility".</w:t>
            </w:r>
          </w:p>
        </w:tc>
      </w:tr>
      <w:tr w:rsidR="006E321E" w:rsidRPr="00B03E73" w14:paraId="7BCA8334" w14:textId="77777777" w:rsidTr="006E02FE">
        <w:tc>
          <w:tcPr>
            <w:tcW w:w="1257" w:type="dxa"/>
          </w:tcPr>
          <w:p w14:paraId="690D2108" w14:textId="2988FB6F" w:rsidR="006E321E" w:rsidRPr="00B03E73" w:rsidRDefault="006E321E" w:rsidP="007704E4">
            <w:pPr>
              <w:pStyle w:val="TableData"/>
            </w:pPr>
            <w:r w:rsidRPr="00B03E73">
              <w:t>Mann</w:t>
            </w:r>
          </w:p>
        </w:tc>
        <w:tc>
          <w:tcPr>
            <w:tcW w:w="1210" w:type="dxa"/>
          </w:tcPr>
          <w:p w14:paraId="37B926E5" w14:textId="31A2AE08" w:rsidR="006E321E" w:rsidRPr="00B03E73" w:rsidRDefault="006E321E" w:rsidP="007704E4">
            <w:pPr>
              <w:pStyle w:val="TableData"/>
            </w:pPr>
            <w:r w:rsidRPr="00B03E73">
              <w:t>Hold</w:t>
            </w:r>
          </w:p>
        </w:tc>
        <w:tc>
          <w:tcPr>
            <w:tcW w:w="1211" w:type="dxa"/>
          </w:tcPr>
          <w:p w14:paraId="0A34EF42" w14:textId="66ED0F31" w:rsidR="006E321E" w:rsidRPr="00B03E73" w:rsidRDefault="006E321E" w:rsidP="007704E4">
            <w:pPr>
              <w:pStyle w:val="TableData"/>
            </w:pPr>
            <w:r w:rsidRPr="00B03E73">
              <w:t>Hold</w:t>
            </w:r>
          </w:p>
        </w:tc>
        <w:tc>
          <w:tcPr>
            <w:tcW w:w="5802" w:type="dxa"/>
          </w:tcPr>
          <w:p w14:paraId="43CF1E4F" w14:textId="1F8D9529" w:rsidR="005930D7" w:rsidRPr="00B03E73" w:rsidRDefault="005930D7" w:rsidP="00E257E7">
            <w:pPr>
              <w:pStyle w:val="TableData"/>
            </w:pPr>
            <w:r w:rsidRPr="00B03E73">
              <w:t>"The inflation persistence scenario is my central case."</w:t>
            </w:r>
            <w:r w:rsidR="00E257E7">
              <w:t xml:space="preserve"> </w:t>
            </w:r>
            <w:r w:rsidRPr="00B03E73">
              <w:t>"Monetary policy needs to rein in both inflation and expectations drift so as to reinforce commitment to our 2% target."</w:t>
            </w:r>
          </w:p>
        </w:tc>
      </w:tr>
      <w:tr w:rsidR="006E321E" w:rsidRPr="00B03E73" w14:paraId="2338FCA5" w14:textId="77777777" w:rsidTr="006E02FE">
        <w:tc>
          <w:tcPr>
            <w:tcW w:w="1257" w:type="dxa"/>
          </w:tcPr>
          <w:p w14:paraId="23185F2C" w14:textId="68E963B3" w:rsidR="006E321E" w:rsidRPr="00B03E73" w:rsidRDefault="006E321E" w:rsidP="006E321E">
            <w:pPr>
              <w:pStyle w:val="TableData"/>
            </w:pPr>
            <w:r w:rsidRPr="00B03E73">
              <w:t>Pill</w:t>
            </w:r>
          </w:p>
        </w:tc>
        <w:tc>
          <w:tcPr>
            <w:tcW w:w="1210" w:type="dxa"/>
          </w:tcPr>
          <w:p w14:paraId="7907E96E" w14:textId="5CA2C3B6" w:rsidR="006E321E" w:rsidRPr="00B03E73" w:rsidRDefault="006E321E" w:rsidP="006E321E">
            <w:pPr>
              <w:pStyle w:val="TableData"/>
            </w:pPr>
            <w:r w:rsidRPr="00B03E73">
              <w:t>Hold</w:t>
            </w:r>
          </w:p>
        </w:tc>
        <w:tc>
          <w:tcPr>
            <w:tcW w:w="1211" w:type="dxa"/>
          </w:tcPr>
          <w:p w14:paraId="3866174B" w14:textId="6B3AF65B" w:rsidR="006E321E" w:rsidRPr="00B03E73" w:rsidRDefault="006E321E" w:rsidP="006E321E">
            <w:pPr>
              <w:pStyle w:val="TableData"/>
            </w:pPr>
            <w:r w:rsidRPr="00B03E73">
              <w:t>Hold</w:t>
            </w:r>
          </w:p>
        </w:tc>
        <w:tc>
          <w:tcPr>
            <w:tcW w:w="5802" w:type="dxa"/>
          </w:tcPr>
          <w:p w14:paraId="0B71AE50" w14:textId="5139174F" w:rsidR="006E321E" w:rsidRPr="00B03E73" w:rsidRDefault="00126B48" w:rsidP="006E321E">
            <w:pPr>
              <w:pStyle w:val="TableData"/>
            </w:pPr>
            <w:r w:rsidRPr="00B03E73">
              <w:t>"I continue to prefer a slower pace for the withdrawal of monetary policy restriction than delivered over the past 18 months, reflecting my longstanding concern that structural changes in price and wage-setting behaviour have generated stronger intrinsic inflation persistence in the UK."</w:t>
            </w:r>
          </w:p>
        </w:tc>
      </w:tr>
    </w:tbl>
    <w:p w14:paraId="3C13DE69" w14:textId="79FD74DF" w:rsidR="007704E4" w:rsidRPr="00B03E73" w:rsidRDefault="007704E4" w:rsidP="006E02FE">
      <w:pPr>
        <w:pStyle w:val="ExhibitSource"/>
      </w:pPr>
      <w:r w:rsidRPr="00B03E73">
        <w:t>Source</w:t>
      </w:r>
      <w:r w:rsidR="004A161D" w:rsidRPr="00B03E73">
        <w:t>s</w:t>
      </w:r>
      <w:r w:rsidRPr="00B03E73">
        <w:t xml:space="preserve">: </w:t>
      </w:r>
      <w:r w:rsidR="004A161D" w:rsidRPr="00B03E73">
        <w:t>Oxford Economics, Bank of England minutes of the Monetary Policy Committee meeting ending on 5 November 2025</w:t>
      </w:r>
    </w:p>
    <w:sectPr w:rsidR="007704E4" w:rsidRPr="00B03E73" w:rsidSect="00A80A99">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483D4" w14:textId="77777777" w:rsidR="00881697" w:rsidRDefault="00881697" w:rsidP="00881697">
      <w:pPr>
        <w:spacing w:before="0" w:after="0"/>
      </w:pPr>
      <w:r>
        <w:separator/>
      </w:r>
    </w:p>
  </w:endnote>
  <w:endnote w:type="continuationSeparator" w:id="0">
    <w:p w14:paraId="3FB6AA79" w14:textId="77777777" w:rsidR="00881697" w:rsidRDefault="00881697" w:rsidP="0088169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49E4" w14:textId="2979B2F9" w:rsidR="00881697" w:rsidRPr="00881697" w:rsidRDefault="00881697" w:rsidP="00881697">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r w:rsidRPr="00881697">
      <w:rPr>
        <w:noProof/>
      </w:rPr>
      <w:drawing>
        <wp:anchor distT="0" distB="0" distL="114300" distR="114300" simplePos="0" relativeHeight="251661312" behindDoc="0" locked="0" layoutInCell="1" allowOverlap="1" wp14:anchorId="3CD3C6BC" wp14:editId="237BF0B1">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736BC" w14:textId="35D46155" w:rsidR="00881697" w:rsidRDefault="00881697" w:rsidP="00881697">
    <w:pPr>
      <w:pStyle w:val="Author"/>
    </w:pPr>
    <w:r>
      <w:t>Andrew Goodwin</w:t>
    </w:r>
    <w:r w:rsidR="006E02FE">
      <w:t xml:space="preserve"> - </w:t>
    </w:r>
    <w:r>
      <w:t>Chief UK Economist</w:t>
    </w:r>
    <w:r w:rsidR="006E02FE">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E88E5" w14:textId="77777777" w:rsidR="00881697" w:rsidRDefault="00881697" w:rsidP="00881697">
      <w:pPr>
        <w:spacing w:before="0" w:after="0"/>
      </w:pPr>
      <w:r>
        <w:separator/>
      </w:r>
    </w:p>
  </w:footnote>
  <w:footnote w:type="continuationSeparator" w:id="0">
    <w:p w14:paraId="55695E00" w14:textId="77777777" w:rsidR="00881697" w:rsidRDefault="00881697" w:rsidP="0088169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8FE2" w14:textId="77777777" w:rsidR="00881697" w:rsidRDefault="00881697">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64BC" w14:textId="788CDB8B" w:rsidR="00881697" w:rsidRDefault="00881697" w:rsidP="00881697">
    <w:pPr>
      <w:pStyle w:val="Headline"/>
      <w:spacing w:before="120"/>
      <w:ind w:right="-1000"/>
    </w:pPr>
    <w:r w:rsidRPr="00881697">
      <w:rPr>
        <w:noProof/>
      </w:rPr>
      <w:drawing>
        <wp:anchor distT="0" distB="0" distL="114300" distR="114300" simplePos="0" relativeHeight="251657214" behindDoc="1" locked="1" layoutInCell="1" allowOverlap="1" wp14:anchorId="64B35452" wp14:editId="64183618">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E11B51" w:rsidRPr="00E11B51">
      <w:t xml:space="preserve">MPC preview – </w:t>
    </w:r>
    <w:r w:rsidR="00C51600" w:rsidRPr="00C51600">
      <w:t>Close call, but probably a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3C4EB" w14:textId="2BBD1B0D" w:rsidR="00881697" w:rsidRPr="00881697" w:rsidRDefault="00881697" w:rsidP="00881697">
    <w:pPr>
      <w:rPr>
        <w:sz w:val="4"/>
      </w:rPr>
    </w:pPr>
    <w:r w:rsidRPr="00881697">
      <w:rPr>
        <w:noProof/>
        <w:sz w:val="4"/>
      </w:rPr>
      <w:drawing>
        <wp:anchor distT="0" distB="0" distL="114300" distR="114300" simplePos="0" relativeHeight="251658239" behindDoc="1" locked="1" layoutInCell="1" allowOverlap="1" wp14:anchorId="10C37C05" wp14:editId="7F3C0877">
          <wp:simplePos x="0" y="0"/>
          <wp:positionH relativeFrom="page">
            <wp:posOffset>114300</wp:posOffset>
          </wp:positionH>
          <wp:positionV relativeFrom="page">
            <wp:posOffset>161925</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881697">
      <w:rPr>
        <w:noProof/>
        <w:sz w:val="4"/>
      </w:rPr>
      <w:drawing>
        <wp:anchor distT="0" distB="0" distL="114300" distR="114300" simplePos="0" relativeHeight="251659264" behindDoc="1" locked="1" layoutInCell="1" allowOverlap="1" wp14:anchorId="2979B9FA" wp14:editId="1852636D">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57219046"/>
      <w:lock w:val="sdtLocked"/>
      <w:placeholder>
        <w:docPart w:val="DefaultPlaceholder_-1854013437"/>
      </w:placeholder>
      <w:date w:fullDate="2025-12-11T00:00:00Z">
        <w:dateFormat w:val="d MMMM yyyy"/>
        <w:lid w:val="en-GB"/>
        <w:storeMappedDataAs w:val="dateTime"/>
        <w:calendar w:val="gregorian"/>
      </w:date>
    </w:sdtPr>
    <w:sdtEndPr/>
    <w:sdtContent>
      <w:p w14:paraId="7A59C1E3" w14:textId="24BA014D" w:rsidR="00881697" w:rsidRPr="00881697" w:rsidRDefault="00881697" w:rsidP="00881697">
        <w:pPr>
          <w:pStyle w:val="PublishDate"/>
          <w:framePr w:w="2835" w:h="340" w:hRule="exact" w:hSpace="180" w:wrap="around" w:vAnchor="page" w:hAnchor="page" w:x="7801" w:y="601" w:anchorLock="1"/>
        </w:pPr>
        <w:r>
          <w:t>11 December 2025</w:t>
        </w:r>
      </w:p>
    </w:sdtContent>
  </w:sdt>
  <w:p w14:paraId="1126E36D" w14:textId="29F254E5" w:rsidR="00881697" w:rsidRDefault="00881697" w:rsidP="00881697">
    <w:pPr>
      <w:pStyle w:val="ProductDescription"/>
      <w:framePr w:w="11339" w:h="1474" w:hRule="exact" w:hSpace="180" w:wrap="around" w:vAnchor="page" w:hAnchor="page" w:x="401" w:y="1141" w:anchorLock="1"/>
      <w:spacing w:after="200"/>
    </w:pPr>
    <w:r>
      <w:t>Research Briefing | UK</w:t>
    </w:r>
  </w:p>
  <w:p w14:paraId="2EA6FF1D" w14:textId="6530AC9D" w:rsidR="00881697" w:rsidRDefault="00881697" w:rsidP="00881697">
    <w:pPr>
      <w:pStyle w:val="Headline"/>
      <w:framePr w:w="11339" w:h="1474" w:hRule="exact" w:hSpace="180" w:wrap="around" w:vAnchor="page" w:hAnchor="page" w:x="401" w:y="1141" w:anchorLock="1"/>
      <w:spacing w:line="200" w:lineRule="auto"/>
    </w:pPr>
    <w:bookmarkStart w:id="1" w:name="_Hlk216151728"/>
    <w:r>
      <w:t xml:space="preserve">MPC preview – </w:t>
    </w:r>
    <w:bookmarkEnd w:id="1"/>
    <w:r w:rsidR="00C51600">
      <w:t>Close call, but probably a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004819658">
    <w:abstractNumId w:val="2"/>
  </w:num>
  <w:num w:numId="2" w16cid:durableId="2074311132">
    <w:abstractNumId w:val="1"/>
  </w:num>
  <w:num w:numId="3" w16cid:durableId="1590693657">
    <w:abstractNumId w:val="3"/>
  </w:num>
  <w:num w:numId="4" w16cid:durableId="159003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97"/>
    <w:rsid w:val="0000041A"/>
    <w:rsid w:val="00003BA7"/>
    <w:rsid w:val="00014CDD"/>
    <w:rsid w:val="00022761"/>
    <w:rsid w:val="000441FE"/>
    <w:rsid w:val="0005491E"/>
    <w:rsid w:val="000759F5"/>
    <w:rsid w:val="00092C88"/>
    <w:rsid w:val="00096C5C"/>
    <w:rsid w:val="000A1303"/>
    <w:rsid w:val="000A15C8"/>
    <w:rsid w:val="000B4DBB"/>
    <w:rsid w:val="000C0ADF"/>
    <w:rsid w:val="000D1328"/>
    <w:rsid w:val="000D3E43"/>
    <w:rsid w:val="000D4624"/>
    <w:rsid w:val="000D6C43"/>
    <w:rsid w:val="000E2BD3"/>
    <w:rsid w:val="000E47BF"/>
    <w:rsid w:val="000E56E7"/>
    <w:rsid w:val="000F3F52"/>
    <w:rsid w:val="001018E9"/>
    <w:rsid w:val="00104F5C"/>
    <w:rsid w:val="00112899"/>
    <w:rsid w:val="0011307E"/>
    <w:rsid w:val="0011393A"/>
    <w:rsid w:val="00120D7A"/>
    <w:rsid w:val="00124E58"/>
    <w:rsid w:val="00126B48"/>
    <w:rsid w:val="00134AAB"/>
    <w:rsid w:val="001561E5"/>
    <w:rsid w:val="00160F71"/>
    <w:rsid w:val="001624FE"/>
    <w:rsid w:val="0016316B"/>
    <w:rsid w:val="0017078A"/>
    <w:rsid w:val="001742A6"/>
    <w:rsid w:val="001766F0"/>
    <w:rsid w:val="00180625"/>
    <w:rsid w:val="00190C04"/>
    <w:rsid w:val="00192CDF"/>
    <w:rsid w:val="00195F9A"/>
    <w:rsid w:val="001A5775"/>
    <w:rsid w:val="001A6993"/>
    <w:rsid w:val="001A749F"/>
    <w:rsid w:val="001B2B67"/>
    <w:rsid w:val="001B2C32"/>
    <w:rsid w:val="001D4B18"/>
    <w:rsid w:val="001D59E7"/>
    <w:rsid w:val="001D7057"/>
    <w:rsid w:val="001E0785"/>
    <w:rsid w:val="001E0C4A"/>
    <w:rsid w:val="001E603A"/>
    <w:rsid w:val="001F3317"/>
    <w:rsid w:val="001F5624"/>
    <w:rsid w:val="00211E5A"/>
    <w:rsid w:val="0021692C"/>
    <w:rsid w:val="00221E27"/>
    <w:rsid w:val="00234010"/>
    <w:rsid w:val="00242E5E"/>
    <w:rsid w:val="002615F6"/>
    <w:rsid w:val="00262D94"/>
    <w:rsid w:val="00263E48"/>
    <w:rsid w:val="00270CC0"/>
    <w:rsid w:val="002745D6"/>
    <w:rsid w:val="00282A8A"/>
    <w:rsid w:val="00286754"/>
    <w:rsid w:val="0029566B"/>
    <w:rsid w:val="002A0445"/>
    <w:rsid w:val="002C1955"/>
    <w:rsid w:val="002D0DC9"/>
    <w:rsid w:val="002E0DB7"/>
    <w:rsid w:val="002F68A1"/>
    <w:rsid w:val="003017D9"/>
    <w:rsid w:val="0031169C"/>
    <w:rsid w:val="00316CBE"/>
    <w:rsid w:val="00370974"/>
    <w:rsid w:val="00374E02"/>
    <w:rsid w:val="003B0CAB"/>
    <w:rsid w:val="003B715A"/>
    <w:rsid w:val="003C1BB1"/>
    <w:rsid w:val="003C63B4"/>
    <w:rsid w:val="003C682A"/>
    <w:rsid w:val="003E7F3C"/>
    <w:rsid w:val="003F0F4E"/>
    <w:rsid w:val="0040359C"/>
    <w:rsid w:val="00405A12"/>
    <w:rsid w:val="00405D65"/>
    <w:rsid w:val="0041767C"/>
    <w:rsid w:val="004258C9"/>
    <w:rsid w:val="004458BB"/>
    <w:rsid w:val="004602D9"/>
    <w:rsid w:val="00461345"/>
    <w:rsid w:val="0046292D"/>
    <w:rsid w:val="00466017"/>
    <w:rsid w:val="004677EA"/>
    <w:rsid w:val="004827E3"/>
    <w:rsid w:val="00495DE7"/>
    <w:rsid w:val="004A161D"/>
    <w:rsid w:val="004A2A92"/>
    <w:rsid w:val="004A45AE"/>
    <w:rsid w:val="004B205A"/>
    <w:rsid w:val="004B4F66"/>
    <w:rsid w:val="004C7923"/>
    <w:rsid w:val="004D473F"/>
    <w:rsid w:val="004D5B83"/>
    <w:rsid w:val="004D650E"/>
    <w:rsid w:val="004D6FED"/>
    <w:rsid w:val="004D773B"/>
    <w:rsid w:val="004F108F"/>
    <w:rsid w:val="004F27D1"/>
    <w:rsid w:val="004F2CF7"/>
    <w:rsid w:val="004F5EEA"/>
    <w:rsid w:val="00506D74"/>
    <w:rsid w:val="00516C0A"/>
    <w:rsid w:val="005176F2"/>
    <w:rsid w:val="00524103"/>
    <w:rsid w:val="00535C71"/>
    <w:rsid w:val="005414BA"/>
    <w:rsid w:val="0054280C"/>
    <w:rsid w:val="00542FCB"/>
    <w:rsid w:val="0054606D"/>
    <w:rsid w:val="005473C6"/>
    <w:rsid w:val="005611A2"/>
    <w:rsid w:val="00563FEB"/>
    <w:rsid w:val="00575045"/>
    <w:rsid w:val="00576CB8"/>
    <w:rsid w:val="00592138"/>
    <w:rsid w:val="005930D7"/>
    <w:rsid w:val="005964D7"/>
    <w:rsid w:val="005A2ACA"/>
    <w:rsid w:val="005C22DC"/>
    <w:rsid w:val="005E404F"/>
    <w:rsid w:val="005F0616"/>
    <w:rsid w:val="005F11DD"/>
    <w:rsid w:val="005F1791"/>
    <w:rsid w:val="005F7DDF"/>
    <w:rsid w:val="00601884"/>
    <w:rsid w:val="006125A3"/>
    <w:rsid w:val="006154A2"/>
    <w:rsid w:val="006166EE"/>
    <w:rsid w:val="00633BE2"/>
    <w:rsid w:val="006358F6"/>
    <w:rsid w:val="00645D1B"/>
    <w:rsid w:val="006540C6"/>
    <w:rsid w:val="0066208F"/>
    <w:rsid w:val="00670CD7"/>
    <w:rsid w:val="00671564"/>
    <w:rsid w:val="006739BF"/>
    <w:rsid w:val="0067595A"/>
    <w:rsid w:val="00681BC5"/>
    <w:rsid w:val="006A1630"/>
    <w:rsid w:val="006A676D"/>
    <w:rsid w:val="006B2104"/>
    <w:rsid w:val="006B6D73"/>
    <w:rsid w:val="006B76A5"/>
    <w:rsid w:val="006C1E2B"/>
    <w:rsid w:val="006C7C06"/>
    <w:rsid w:val="006C7C55"/>
    <w:rsid w:val="006E02FE"/>
    <w:rsid w:val="006E321E"/>
    <w:rsid w:val="006F60F1"/>
    <w:rsid w:val="00716C07"/>
    <w:rsid w:val="00730E79"/>
    <w:rsid w:val="00735C2F"/>
    <w:rsid w:val="0074116D"/>
    <w:rsid w:val="007475D0"/>
    <w:rsid w:val="007704E4"/>
    <w:rsid w:val="007723AE"/>
    <w:rsid w:val="00794372"/>
    <w:rsid w:val="007A0F18"/>
    <w:rsid w:val="007A6AA6"/>
    <w:rsid w:val="007B57CD"/>
    <w:rsid w:val="007D283E"/>
    <w:rsid w:val="007E4703"/>
    <w:rsid w:val="007F13F1"/>
    <w:rsid w:val="007F5D5D"/>
    <w:rsid w:val="00800601"/>
    <w:rsid w:val="00803915"/>
    <w:rsid w:val="008441EB"/>
    <w:rsid w:val="00847933"/>
    <w:rsid w:val="00855D52"/>
    <w:rsid w:val="00855D68"/>
    <w:rsid w:val="0086090E"/>
    <w:rsid w:val="00861A52"/>
    <w:rsid w:val="008742FC"/>
    <w:rsid w:val="00874B7C"/>
    <w:rsid w:val="00881697"/>
    <w:rsid w:val="0088394D"/>
    <w:rsid w:val="0088455B"/>
    <w:rsid w:val="008B29DB"/>
    <w:rsid w:val="008D4F08"/>
    <w:rsid w:val="008D5533"/>
    <w:rsid w:val="008E11F0"/>
    <w:rsid w:val="008E721D"/>
    <w:rsid w:val="008F1A70"/>
    <w:rsid w:val="008F57B4"/>
    <w:rsid w:val="0090246D"/>
    <w:rsid w:val="009148F6"/>
    <w:rsid w:val="00914983"/>
    <w:rsid w:val="00920D15"/>
    <w:rsid w:val="00933B30"/>
    <w:rsid w:val="0093519F"/>
    <w:rsid w:val="00936680"/>
    <w:rsid w:val="009634AC"/>
    <w:rsid w:val="00963AA5"/>
    <w:rsid w:val="00971AAF"/>
    <w:rsid w:val="00973624"/>
    <w:rsid w:val="009808A5"/>
    <w:rsid w:val="00995E6B"/>
    <w:rsid w:val="009A21A8"/>
    <w:rsid w:val="009B2B90"/>
    <w:rsid w:val="009B6550"/>
    <w:rsid w:val="009B723B"/>
    <w:rsid w:val="009C7C16"/>
    <w:rsid w:val="009C7C9E"/>
    <w:rsid w:val="009E07F1"/>
    <w:rsid w:val="009E5F70"/>
    <w:rsid w:val="009F37D1"/>
    <w:rsid w:val="009F3F01"/>
    <w:rsid w:val="00A021F1"/>
    <w:rsid w:val="00A25234"/>
    <w:rsid w:val="00A332D4"/>
    <w:rsid w:val="00A369D2"/>
    <w:rsid w:val="00A50835"/>
    <w:rsid w:val="00A52669"/>
    <w:rsid w:val="00A576A0"/>
    <w:rsid w:val="00A63323"/>
    <w:rsid w:val="00A66B32"/>
    <w:rsid w:val="00A77085"/>
    <w:rsid w:val="00A80A99"/>
    <w:rsid w:val="00A9430E"/>
    <w:rsid w:val="00AB24B7"/>
    <w:rsid w:val="00AB29B7"/>
    <w:rsid w:val="00AB538B"/>
    <w:rsid w:val="00AB6B99"/>
    <w:rsid w:val="00AC2054"/>
    <w:rsid w:val="00AC21F2"/>
    <w:rsid w:val="00AD07ED"/>
    <w:rsid w:val="00AD1FC8"/>
    <w:rsid w:val="00AD4EB0"/>
    <w:rsid w:val="00AE082C"/>
    <w:rsid w:val="00AE76E6"/>
    <w:rsid w:val="00B03E73"/>
    <w:rsid w:val="00B04E07"/>
    <w:rsid w:val="00B06B74"/>
    <w:rsid w:val="00B07686"/>
    <w:rsid w:val="00B15737"/>
    <w:rsid w:val="00B16B5A"/>
    <w:rsid w:val="00B711D0"/>
    <w:rsid w:val="00B7343B"/>
    <w:rsid w:val="00B846EA"/>
    <w:rsid w:val="00B85044"/>
    <w:rsid w:val="00B910EA"/>
    <w:rsid w:val="00BB6195"/>
    <w:rsid w:val="00BC0909"/>
    <w:rsid w:val="00BD6FA0"/>
    <w:rsid w:val="00BE1485"/>
    <w:rsid w:val="00BF0BED"/>
    <w:rsid w:val="00BF6A2A"/>
    <w:rsid w:val="00C17065"/>
    <w:rsid w:val="00C51600"/>
    <w:rsid w:val="00C51B0E"/>
    <w:rsid w:val="00C5636A"/>
    <w:rsid w:val="00C57948"/>
    <w:rsid w:val="00C61B1E"/>
    <w:rsid w:val="00C65A69"/>
    <w:rsid w:val="00C66FCC"/>
    <w:rsid w:val="00C71A9B"/>
    <w:rsid w:val="00C72052"/>
    <w:rsid w:val="00C72D08"/>
    <w:rsid w:val="00C75153"/>
    <w:rsid w:val="00C76458"/>
    <w:rsid w:val="00C83421"/>
    <w:rsid w:val="00C84AD7"/>
    <w:rsid w:val="00C90D41"/>
    <w:rsid w:val="00C9257F"/>
    <w:rsid w:val="00C93538"/>
    <w:rsid w:val="00C9768F"/>
    <w:rsid w:val="00CA2481"/>
    <w:rsid w:val="00CA4BF3"/>
    <w:rsid w:val="00CB2127"/>
    <w:rsid w:val="00CB23EC"/>
    <w:rsid w:val="00CB7716"/>
    <w:rsid w:val="00CC0F42"/>
    <w:rsid w:val="00CC3321"/>
    <w:rsid w:val="00CC6571"/>
    <w:rsid w:val="00CD4969"/>
    <w:rsid w:val="00CE0E14"/>
    <w:rsid w:val="00CE3160"/>
    <w:rsid w:val="00D01861"/>
    <w:rsid w:val="00D01AEE"/>
    <w:rsid w:val="00D05F1C"/>
    <w:rsid w:val="00D07416"/>
    <w:rsid w:val="00D341D3"/>
    <w:rsid w:val="00D361A8"/>
    <w:rsid w:val="00D379EC"/>
    <w:rsid w:val="00D44219"/>
    <w:rsid w:val="00D645EE"/>
    <w:rsid w:val="00D82250"/>
    <w:rsid w:val="00D9097C"/>
    <w:rsid w:val="00DB0BE6"/>
    <w:rsid w:val="00DB3151"/>
    <w:rsid w:val="00DC3B6C"/>
    <w:rsid w:val="00DE568D"/>
    <w:rsid w:val="00DF68CB"/>
    <w:rsid w:val="00DF73F9"/>
    <w:rsid w:val="00E02D54"/>
    <w:rsid w:val="00E10235"/>
    <w:rsid w:val="00E11B51"/>
    <w:rsid w:val="00E176D8"/>
    <w:rsid w:val="00E213A8"/>
    <w:rsid w:val="00E23560"/>
    <w:rsid w:val="00E257E7"/>
    <w:rsid w:val="00E428A6"/>
    <w:rsid w:val="00E60491"/>
    <w:rsid w:val="00E628D6"/>
    <w:rsid w:val="00E76AC4"/>
    <w:rsid w:val="00EA0803"/>
    <w:rsid w:val="00EA2025"/>
    <w:rsid w:val="00EB4898"/>
    <w:rsid w:val="00EC10CA"/>
    <w:rsid w:val="00ED085A"/>
    <w:rsid w:val="00ED615F"/>
    <w:rsid w:val="00ED6FF0"/>
    <w:rsid w:val="00ED7F17"/>
    <w:rsid w:val="00EE718C"/>
    <w:rsid w:val="00F13AF2"/>
    <w:rsid w:val="00F21523"/>
    <w:rsid w:val="00F23937"/>
    <w:rsid w:val="00F2643F"/>
    <w:rsid w:val="00F30CC2"/>
    <w:rsid w:val="00F52C66"/>
    <w:rsid w:val="00F62548"/>
    <w:rsid w:val="00F678CA"/>
    <w:rsid w:val="00F72F2A"/>
    <w:rsid w:val="00F96453"/>
    <w:rsid w:val="00FC1EA7"/>
    <w:rsid w:val="00FD71D3"/>
    <w:rsid w:val="00FE0EF6"/>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o:shapelayout v:ext="edit">
      <o:idmap v:ext="edit" data="1"/>
    </o:shapelayout>
  </w:shapeDefaults>
  <w:decimalSymbol w:val="."/>
  <w:listSeparator w:val=","/>
  <w14:docId w14:val="361957D1"/>
  <w15:chartTrackingRefBased/>
  <w15:docId w15:val="{B12C4FC6-3870-49FA-A00A-920EF474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1697"/>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881697"/>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881697"/>
    <w:pPr>
      <w:outlineLvl w:val="1"/>
    </w:pPr>
    <w:rPr>
      <w:sz w:val="28"/>
    </w:rPr>
  </w:style>
  <w:style w:type="paragraph" w:styleId="Heading3">
    <w:name w:val="heading 3"/>
    <w:basedOn w:val="Normal"/>
    <w:next w:val="Normal"/>
    <w:link w:val="Heading3Char"/>
    <w:uiPriority w:val="9"/>
    <w:unhideWhenUsed/>
    <w:qFormat/>
    <w:rsid w:val="00881697"/>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881697"/>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88169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locked/>
    <w:rsid w:val="00881697"/>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locked/>
    <w:rsid w:val="00881697"/>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locked/>
    <w:rsid w:val="0088169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88169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697"/>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881697"/>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881697"/>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881697"/>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881697"/>
    <w:rPr>
      <w:rFonts w:asciiTheme="majorHAnsi" w:eastAsiaTheme="majorEastAsia" w:hAnsiTheme="majorHAnsi" w:cstheme="majorBidi"/>
      <w:noProof w:val="0"/>
      <w:color w:val="0F4761" w:themeColor="accent1" w:themeShade="BF"/>
      <w:kern w:val="0"/>
      <w:sz w:val="20"/>
      <w14:ligatures w14:val="none"/>
    </w:rPr>
  </w:style>
  <w:style w:type="character" w:customStyle="1" w:styleId="Heading6Char">
    <w:name w:val="Heading 6 Char"/>
    <w:basedOn w:val="DefaultParagraphFont"/>
    <w:link w:val="Heading6"/>
    <w:uiPriority w:val="9"/>
    <w:semiHidden/>
    <w:rsid w:val="00881697"/>
    <w:rPr>
      <w:rFonts w:asciiTheme="majorHAnsi" w:eastAsiaTheme="majorEastAsia" w:hAnsiTheme="majorHAnsi" w:cstheme="majorBidi"/>
      <w:noProof w:val="0"/>
      <w:color w:val="0A2F40" w:themeColor="accent1" w:themeShade="7F"/>
      <w:kern w:val="0"/>
      <w:sz w:val="20"/>
      <w14:ligatures w14:val="none"/>
    </w:rPr>
  </w:style>
  <w:style w:type="character" w:customStyle="1" w:styleId="Heading7Char">
    <w:name w:val="Heading 7 Char"/>
    <w:basedOn w:val="DefaultParagraphFont"/>
    <w:link w:val="Heading7"/>
    <w:uiPriority w:val="9"/>
    <w:semiHidden/>
    <w:rsid w:val="00881697"/>
    <w:rPr>
      <w:rFonts w:asciiTheme="majorHAnsi" w:eastAsiaTheme="majorEastAsia" w:hAnsiTheme="majorHAnsi" w:cstheme="majorBidi"/>
      <w:i/>
      <w:iCs/>
      <w:noProof w:val="0"/>
      <w:color w:val="0A2F40" w:themeColor="accent1" w:themeShade="7F"/>
      <w:kern w:val="0"/>
      <w:sz w:val="20"/>
      <w14:ligatures w14:val="none"/>
    </w:rPr>
  </w:style>
  <w:style w:type="character" w:customStyle="1" w:styleId="Heading8Char">
    <w:name w:val="Heading 8 Char"/>
    <w:basedOn w:val="DefaultParagraphFont"/>
    <w:link w:val="Heading8"/>
    <w:uiPriority w:val="9"/>
    <w:semiHidden/>
    <w:rsid w:val="00881697"/>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81697"/>
    <w:rPr>
      <w:rFonts w:asciiTheme="majorHAnsi" w:eastAsiaTheme="majorEastAsia" w:hAnsiTheme="majorHAnsi" w:cstheme="majorBidi"/>
      <w:i/>
      <w:iCs/>
      <w:noProof w:val="0"/>
      <w:color w:val="272727" w:themeColor="text1" w:themeTint="D8"/>
      <w:kern w:val="0"/>
      <w:sz w:val="21"/>
      <w:szCs w:val="21"/>
      <w14:ligatures w14:val="none"/>
    </w:rPr>
  </w:style>
  <w:style w:type="paragraph" w:styleId="Quote">
    <w:name w:val="Quote"/>
    <w:basedOn w:val="Normal"/>
    <w:next w:val="Normal"/>
    <w:link w:val="QuoteChar"/>
    <w:uiPriority w:val="29"/>
    <w:qFormat/>
    <w:rsid w:val="00881697"/>
    <w:pPr>
      <w:ind w:left="862" w:right="862"/>
      <w:jc w:val="center"/>
    </w:pPr>
    <w:rPr>
      <w:i/>
      <w:iCs/>
      <w:color w:val="404040" w:themeColor="text1" w:themeTint="BF"/>
    </w:rPr>
  </w:style>
  <w:style w:type="character" w:customStyle="1" w:styleId="QuoteChar">
    <w:name w:val="Quote Char"/>
    <w:basedOn w:val="DefaultParagraphFont"/>
    <w:link w:val="Quote"/>
    <w:uiPriority w:val="29"/>
    <w:rsid w:val="00881697"/>
    <w:rPr>
      <w:rFonts w:ascii="Segoe UI" w:hAnsi="Segoe UI" w:cs="Segoe UI"/>
      <w:i/>
      <w:iCs/>
      <w:noProof w:val="0"/>
      <w:color w:val="404040" w:themeColor="text1" w:themeTint="BF"/>
      <w:kern w:val="0"/>
      <w:sz w:val="20"/>
      <w14:ligatures w14:val="none"/>
    </w:rPr>
  </w:style>
  <w:style w:type="paragraph" w:styleId="ListParagraph">
    <w:name w:val="List Paragraph"/>
    <w:next w:val="Normal"/>
    <w:link w:val="ListParagraphChar"/>
    <w:uiPriority w:val="34"/>
    <w:locked/>
    <w:rsid w:val="00881697"/>
    <w:pPr>
      <w:numPr>
        <w:numId w:val="3"/>
      </w:numPr>
      <w:spacing w:after="0" w:line="240" w:lineRule="auto"/>
      <w:ind w:left="284" w:hanging="284"/>
      <w:contextualSpacing/>
    </w:pPr>
    <w:rPr>
      <w:rFonts w:ascii="Segoe UI" w:hAnsi="Segoe UI" w:cs="Segoe UI"/>
      <w:color w:val="000000" w:themeColor="text1"/>
      <w:kern w:val="0"/>
      <w:sz w:val="20"/>
      <w14:ligatures w14:val="none"/>
    </w:rPr>
  </w:style>
  <w:style w:type="paragraph" w:styleId="Header">
    <w:name w:val="header"/>
    <w:basedOn w:val="Normal"/>
    <w:link w:val="HeaderChar"/>
    <w:uiPriority w:val="99"/>
    <w:unhideWhenUsed/>
    <w:locked/>
    <w:rsid w:val="00881697"/>
    <w:pPr>
      <w:tabs>
        <w:tab w:val="center" w:pos="4320"/>
        <w:tab w:val="right" w:pos="8640"/>
      </w:tabs>
    </w:pPr>
  </w:style>
  <w:style w:type="character" w:customStyle="1" w:styleId="HeaderChar">
    <w:name w:val="Header Char"/>
    <w:basedOn w:val="DefaultParagraphFont"/>
    <w:link w:val="Header"/>
    <w:uiPriority w:val="99"/>
    <w:rsid w:val="00881697"/>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881697"/>
    <w:pPr>
      <w:tabs>
        <w:tab w:val="center" w:pos="4320"/>
        <w:tab w:val="right" w:pos="8640"/>
      </w:tabs>
    </w:pPr>
  </w:style>
  <w:style w:type="character" w:customStyle="1" w:styleId="FooterChar">
    <w:name w:val="Footer Char"/>
    <w:basedOn w:val="DefaultParagraphFont"/>
    <w:link w:val="Footer"/>
    <w:uiPriority w:val="99"/>
    <w:rsid w:val="00881697"/>
    <w:rPr>
      <w:rFonts w:ascii="Segoe UI" w:hAnsi="Segoe UI" w:cs="Segoe UI"/>
      <w:noProof w:val="0"/>
      <w:color w:val="000000" w:themeColor="text1"/>
      <w:kern w:val="0"/>
      <w:sz w:val="20"/>
      <w14:ligatures w14:val="none"/>
    </w:rPr>
  </w:style>
  <w:style w:type="character" w:styleId="PageNumber">
    <w:name w:val="page number"/>
    <w:basedOn w:val="DefaultParagraphFont"/>
    <w:uiPriority w:val="99"/>
    <w:unhideWhenUsed/>
    <w:locked/>
    <w:rsid w:val="00881697"/>
    <w:rPr>
      <w:noProof w:val="0"/>
    </w:rPr>
  </w:style>
  <w:style w:type="character" w:styleId="Hyperlink">
    <w:name w:val="Hyperlink"/>
    <w:basedOn w:val="DefaultParagraphFont"/>
    <w:uiPriority w:val="99"/>
    <w:unhideWhenUsed/>
    <w:rsid w:val="00881697"/>
    <w:rPr>
      <w:noProof w:val="0"/>
      <w:color w:val="467886" w:themeColor="hyperlink"/>
      <w:u w:val="single"/>
    </w:rPr>
  </w:style>
  <w:style w:type="paragraph" w:styleId="Revision">
    <w:name w:val="Revision"/>
    <w:hidden/>
    <w:uiPriority w:val="99"/>
    <w:semiHidden/>
    <w:rsid w:val="00881697"/>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881697"/>
    <w:pPr>
      <w:spacing w:after="120"/>
    </w:pPr>
    <w:rPr>
      <w:b/>
      <w:bCs/>
      <w:color w:val="FFFFFF"/>
      <w:sz w:val="32"/>
      <w:szCs w:val="32"/>
    </w:rPr>
  </w:style>
  <w:style w:type="paragraph" w:customStyle="1" w:styleId="Headline">
    <w:name w:val="Headline"/>
    <w:basedOn w:val="Normal"/>
    <w:next w:val="Normal"/>
    <w:link w:val="HeadlineChar"/>
    <w:qFormat/>
    <w:rsid w:val="00881697"/>
    <w:rPr>
      <w:rFonts w:ascii="Segoe UI Semilight" w:hAnsi="Segoe UI Semilight" w:cs="Segoe UI Semilight"/>
      <w:b/>
      <w:bCs/>
      <w:color w:val="FFFFFF"/>
      <w:sz w:val="40"/>
      <w:szCs w:val="40"/>
    </w:rPr>
  </w:style>
  <w:style w:type="paragraph" w:customStyle="1" w:styleId="ExhibitTitle">
    <w:name w:val="Exhibit Title"/>
    <w:basedOn w:val="Normal"/>
    <w:qFormat/>
    <w:rsid w:val="00881697"/>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881697"/>
    <w:pPr>
      <w:shd w:val="clear" w:color="auto" w:fill="D6E2FA"/>
      <w:spacing w:after="0"/>
    </w:pPr>
    <w:rPr>
      <w:color w:val="595959" w:themeColor="text1" w:themeTint="A6"/>
      <w:sz w:val="18"/>
    </w:rPr>
  </w:style>
  <w:style w:type="paragraph" w:customStyle="1" w:styleId="ExhibitSource">
    <w:name w:val="Exhibit Source"/>
    <w:next w:val="Normal"/>
    <w:qFormat/>
    <w:rsid w:val="00881697"/>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rsid w:val="00881697"/>
    <w:pPr>
      <w:shd w:val="clear" w:color="auto" w:fill="70A9E0" w:themeFill="text2" w:themeFillTint="66"/>
      <w:ind w:left="198" w:right="80"/>
      <w:contextualSpacing/>
    </w:pPr>
    <w:rPr>
      <w:color w:val="595959" w:themeColor="text1" w:themeTint="A6"/>
    </w:rPr>
  </w:style>
  <w:style w:type="paragraph" w:customStyle="1" w:styleId="Bullet">
    <w:name w:val="Bullet"/>
    <w:link w:val="BulletChar"/>
    <w:qFormat/>
    <w:rsid w:val="00881697"/>
    <w:pPr>
      <w:numPr>
        <w:numId w:val="2"/>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881697"/>
    <w:rPr>
      <w:rFonts w:ascii="Segoe UI" w:hAnsi="Segoe UI" w:cs="Segoe UI"/>
      <w:b/>
      <w:bCs/>
      <w:noProof w:val="0"/>
      <w:color w:val="003469"/>
      <w:kern w:val="0"/>
      <w:sz w:val="20"/>
      <w:szCs w:val="20"/>
      <w:shd w:val="clear" w:color="auto" w:fill="F2F2F2" w:themeFill="background1" w:themeFillShade="F2"/>
      <w14:ligatures w14:val="none"/>
    </w:rPr>
  </w:style>
  <w:style w:type="paragraph" w:customStyle="1" w:styleId="TableHeader">
    <w:name w:val="Table Header"/>
    <w:basedOn w:val="TableData"/>
    <w:qFormat/>
    <w:rsid w:val="00881697"/>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881697"/>
    <w:rPr>
      <w:rFonts w:ascii="Segoe UI" w:hAnsi="Segoe UI" w:cs="Segoe UI"/>
      <w:noProof w:val="0"/>
      <w:color w:val="000000" w:themeColor="text1"/>
    </w:rPr>
  </w:style>
  <w:style w:type="paragraph" w:customStyle="1" w:styleId="Summary">
    <w:name w:val="Summary"/>
    <w:basedOn w:val="Normal"/>
    <w:link w:val="SummaryChar"/>
    <w:qFormat/>
    <w:rsid w:val="00881697"/>
    <w:pPr>
      <w:numPr>
        <w:numId w:val="1"/>
      </w:numPr>
      <w:ind w:left="1797" w:hanging="357"/>
    </w:pPr>
    <w:rPr>
      <w:kern w:val="2"/>
      <w:sz w:val="22"/>
      <w14:ligatures w14:val="standardContextual"/>
    </w:rPr>
  </w:style>
  <w:style w:type="paragraph" w:customStyle="1" w:styleId="TableData">
    <w:name w:val="Table Data"/>
    <w:link w:val="TableDataChar"/>
    <w:qFormat/>
    <w:rsid w:val="00E257E7"/>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E257E7"/>
    <w:rPr>
      <w:rFonts w:ascii="Segoe UI" w:hAnsi="Segoe UI" w:cs="Segoe UI"/>
      <w:color w:val="000000" w:themeColor="text1"/>
      <w:kern w:val="0"/>
      <w:sz w:val="20"/>
      <w:szCs w:val="18"/>
      <w14:ligatures w14:val="none"/>
    </w:rPr>
  </w:style>
  <w:style w:type="character" w:customStyle="1" w:styleId="HeadlineChar">
    <w:name w:val="Headline Char"/>
    <w:basedOn w:val="DefaultParagraphFont"/>
    <w:link w:val="Headline"/>
    <w:rsid w:val="00881697"/>
    <w:rPr>
      <w:rFonts w:ascii="Segoe UI Semilight" w:hAnsi="Segoe UI Semilight" w:cs="Segoe UI Semilight"/>
      <w:b/>
      <w:bCs/>
      <w:noProof w:val="0"/>
      <w:color w:val="FFFFFF"/>
      <w:kern w:val="0"/>
      <w:sz w:val="40"/>
      <w:szCs w:val="40"/>
      <w14:ligatures w14:val="none"/>
    </w:rPr>
  </w:style>
  <w:style w:type="paragraph" w:customStyle="1" w:styleId="PublishDate">
    <w:name w:val="Publish Date"/>
    <w:basedOn w:val="Normal"/>
    <w:link w:val="PublishDateChar"/>
    <w:qFormat/>
    <w:rsid w:val="00881697"/>
    <w:pPr>
      <w:spacing w:before="0" w:after="0"/>
      <w:jc w:val="right"/>
    </w:pPr>
    <w:rPr>
      <w:color w:val="003469"/>
      <w:sz w:val="24"/>
      <w:szCs w:val="24"/>
    </w:rPr>
  </w:style>
  <w:style w:type="paragraph" w:customStyle="1" w:styleId="Author">
    <w:name w:val="Author"/>
    <w:basedOn w:val="Bullet"/>
    <w:link w:val="AuthorChar"/>
    <w:qFormat/>
    <w:rsid w:val="00881697"/>
    <w:pPr>
      <w:numPr>
        <w:numId w:val="0"/>
      </w:numPr>
      <w:spacing w:after="0" w:line="240" w:lineRule="auto"/>
    </w:pPr>
    <w:rPr>
      <w:color w:val="7F7F7F" w:themeColor="text1" w:themeTint="80"/>
      <w:szCs w:val="22"/>
    </w:rPr>
  </w:style>
  <w:style w:type="character" w:customStyle="1" w:styleId="PublishDateChar">
    <w:name w:val="Publish Date Char"/>
    <w:basedOn w:val="DefaultParagraphFont"/>
    <w:link w:val="PublishDate"/>
    <w:rsid w:val="00881697"/>
    <w:rPr>
      <w:rFonts w:ascii="Segoe UI" w:hAnsi="Segoe UI" w:cs="Segoe UI"/>
      <w:noProof w:val="0"/>
      <w:color w:val="003469"/>
      <w:kern w:val="0"/>
      <w:sz w:val="24"/>
      <w:szCs w:val="24"/>
      <w14:ligatures w14:val="none"/>
    </w:rPr>
  </w:style>
  <w:style w:type="character" w:customStyle="1" w:styleId="AuthorChar">
    <w:name w:val="Author Char"/>
    <w:basedOn w:val="FooterChar"/>
    <w:link w:val="Author"/>
    <w:rsid w:val="00881697"/>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881697"/>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881697"/>
    <w:pPr>
      <w:numPr>
        <w:numId w:val="4"/>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881697"/>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881697"/>
    <w:rPr>
      <w:color w:val="003469"/>
    </w:rPr>
  </w:style>
  <w:style w:type="character" w:customStyle="1" w:styleId="RepeatingFooterChar">
    <w:name w:val="Repeating Footer Char"/>
    <w:basedOn w:val="FooterChar"/>
    <w:link w:val="RepeatingFooter"/>
    <w:rsid w:val="00881697"/>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881697"/>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881697"/>
    <w:rPr>
      <w:b/>
      <w:bCs/>
      <w:noProof w:val="0"/>
    </w:rPr>
  </w:style>
  <w:style w:type="character" w:customStyle="1" w:styleId="Italics">
    <w:name w:val="Italics"/>
    <w:uiPriority w:val="1"/>
    <w:qFormat/>
    <w:rsid w:val="00881697"/>
    <w:rPr>
      <w:i/>
      <w:iCs/>
      <w:noProof w:val="0"/>
    </w:rPr>
  </w:style>
  <w:style w:type="table" w:customStyle="1" w:styleId="TableGridHeader">
    <w:name w:val="Table Grid Header"/>
    <w:basedOn w:val="TableNormal"/>
    <w:uiPriority w:val="99"/>
    <w:rsid w:val="00881697"/>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10.sv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00A00AF5-A82C-41E1-A78F-01C30E97CFA9}"/>
      </w:docPartPr>
      <w:docPartBody>
        <w:p w:rsidR="00BF7231" w:rsidRDefault="00BF7231">
          <w:r w:rsidRPr="00076D9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231"/>
    <w:rsid w:val="000E47BF"/>
    <w:rsid w:val="0011393A"/>
    <w:rsid w:val="0021692C"/>
    <w:rsid w:val="008B29DB"/>
    <w:rsid w:val="00BF7231"/>
    <w:rsid w:val="00C66FCC"/>
    <w:rsid w:val="00CB21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bad2983f189b08317ae7fe927a2f2b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f6587de4469ac49f2967b9bbb3170ea5"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423A62-0A67-4971-BD13-9BE019E4B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ACEB3A-CC11-4F58-B989-5FCFFAD98BC7}">
  <ds:schemaRefs>
    <ds:schemaRef ds:uri="http://schemas.microsoft.com/office/2006/metadata/properties"/>
    <ds:schemaRef ds:uri="http://www.w3.org/XML/1998/namespace"/>
    <ds:schemaRef ds:uri="http://schemas.microsoft.com/office/infopath/2007/PartnerControls"/>
    <ds:schemaRef ds:uri="http://purl.org/dc/terms/"/>
    <ds:schemaRef ds:uri="http://schemas.openxmlformats.org/package/2006/metadata/core-properties"/>
    <ds:schemaRef ds:uri="http://purl.org/dc/elements/1.1/"/>
    <ds:schemaRef ds:uri="http://schemas.microsoft.com/office/2006/documentManagement/types"/>
    <ds:schemaRef ds:uri="6c77b332-7df6-4eff-997f-266963d55fc4"/>
    <ds:schemaRef ds:uri="6ec33f61-c765-4e3b-9958-53c32fd1fd0b"/>
    <ds:schemaRef ds:uri="http://purl.org/dc/dcmitype/"/>
  </ds:schemaRefs>
</ds:datastoreItem>
</file>

<file path=customXml/itemProps3.xml><?xml version="1.0" encoding="utf-8"?>
<ds:datastoreItem xmlns:ds="http://schemas.openxmlformats.org/officeDocument/2006/customXml" ds:itemID="{F64BC3D6-0FC3-4190-BCD0-441E0B0203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1393</Words>
  <Characters>7148</Characters>
  <Application>Microsoft Office Word</Application>
  <DocSecurity>0</DocSecurity>
  <Lines>148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17</cp:revision>
  <dcterms:created xsi:type="dcterms:W3CDTF">2025-12-11T10:56:00Z</dcterms:created>
  <dcterms:modified xsi:type="dcterms:W3CDTF">2025-12-11T12:00:00Z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2025-12-11T11:46:38.000Z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v0.8.2.0</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EXHIBIT_FILEPATHS">
    <vt:lpwstr>Z:\UK Team\UK Research Briefing\20251211 RB UK MPC preview - Charts.xlsx</vt:lpwstr>
  </property>
  <property fmtid="{D5CDD505-2E9C-101B-9397-08002B2CF9AE}" pid="15" name="OEP_CATEGORIES">
    <vt:lpwstr>AnalysisbyRegion-Europe-UnitedKingdom,Macro-ResearchBriefings-UnitedKingdom</vt:lpwstr>
  </property>
  <property fmtid="{D5CDD505-2E9C-101B-9397-08002B2CF9AE}" pid="16" name="OEP_TAGS">
    <vt:lpwstr>Key Themes:interest rates,monetary policy,financial markets</vt:lpwstr>
  </property>
  <property fmtid="{D5CDD505-2E9C-101B-9397-08002B2CF9AE}" pid="17" name="OEP_KEY_THEMES">
    <vt:lpwstr>interest rates,monetary policy,financial markets</vt:lpwstr>
  </property>
  <property fmtid="{D5CDD505-2E9C-101B-9397-08002B2CF9AE}" pid="18" name="ContentTypeId">
    <vt:lpwstr>0x01010009401BB7205AF745BAD4FA98BDE0B98F</vt:lpwstr>
  </property>
  <property fmtid="{D5CDD505-2E9C-101B-9397-08002B2CF9AE}" pid="19" name="OEP_PRODUCT_CODE">
    <vt:lpwstr>babE15B8f3C744D1a33Ae7</vt:lpwstr>
  </property>
  <property fmtid="{D5CDD505-2E9C-101B-9397-08002B2CF9AE}" pid="20" name="OEP_PUBLISH_DATE">
    <vt:lpwstr/>
  </property>
</Properties>
</file>