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CC3E9" w14:textId="4D3557E9" w:rsidR="008E0F2D" w:rsidRPr="00C07D26" w:rsidRDefault="00302D82" w:rsidP="00286B04">
      <w:pPr>
        <w:pStyle w:val="Bullet"/>
      </w:pPr>
      <w:r w:rsidRPr="00C07D26">
        <w:t xml:space="preserve">The financial market reaction to </w:t>
      </w:r>
      <w:r w:rsidR="008855B6" w:rsidRPr="00C07D26">
        <w:t>November's</w:t>
      </w:r>
      <w:r w:rsidRPr="00C07D26">
        <w:t xml:space="preserve"> UK Budget </w:t>
      </w:r>
      <w:r w:rsidR="00C82F7F" w:rsidRPr="00C07D26">
        <w:t xml:space="preserve">was </w:t>
      </w:r>
      <w:r w:rsidR="008F4127" w:rsidRPr="00C07D26">
        <w:t>relatively muted</w:t>
      </w:r>
      <w:r w:rsidR="00C82F7F" w:rsidRPr="00C07D26">
        <w:t xml:space="preserve">, </w:t>
      </w:r>
      <w:r w:rsidR="009023A6" w:rsidRPr="00C07D26">
        <w:t>but</w:t>
      </w:r>
      <w:r w:rsidR="00C82F7F" w:rsidRPr="00C07D26">
        <w:t xml:space="preserve"> we </w:t>
      </w:r>
      <w:r w:rsidR="00286B04" w:rsidRPr="00C07D26">
        <w:t xml:space="preserve">expect gilt </w:t>
      </w:r>
      <w:r w:rsidR="00494105" w:rsidRPr="00C07D26">
        <w:t xml:space="preserve">yields </w:t>
      </w:r>
      <w:r w:rsidR="00C07D26">
        <w:t xml:space="preserve">to </w:t>
      </w:r>
      <w:r w:rsidR="00286B04" w:rsidRPr="00C07D26">
        <w:t xml:space="preserve">fall over the next couple of years </w:t>
      </w:r>
      <w:r w:rsidR="00C110C5" w:rsidRPr="00C07D26">
        <w:t xml:space="preserve">as the Bank of England's Monetary Policy </w:t>
      </w:r>
      <w:r w:rsidR="00C37F29" w:rsidRPr="00C07D26">
        <w:t xml:space="preserve">Committee </w:t>
      </w:r>
      <w:r w:rsidR="00C110C5" w:rsidRPr="00C07D26">
        <w:t>gradually shifts to a more dovish</w:t>
      </w:r>
      <w:r w:rsidR="00F343E6" w:rsidRPr="00C07D26">
        <w:t xml:space="preserve"> policy</w:t>
      </w:r>
      <w:r w:rsidR="00C110C5" w:rsidRPr="00C07D26">
        <w:t xml:space="preserve"> stance.</w:t>
      </w:r>
    </w:p>
    <w:p w14:paraId="2C4B319C" w14:textId="16379CF8" w:rsidR="00FD476C" w:rsidRPr="00C07D26" w:rsidRDefault="00B23413" w:rsidP="00F87669">
      <w:pPr>
        <w:pStyle w:val="Bullet"/>
      </w:pPr>
      <w:r w:rsidRPr="00C07D26">
        <w:t xml:space="preserve">However, </w:t>
      </w:r>
      <w:r w:rsidR="00A0303E" w:rsidRPr="00C07D26">
        <w:t xml:space="preserve">rising term premia </w:t>
      </w:r>
      <w:r w:rsidR="000C2DD4" w:rsidRPr="00C07D26">
        <w:t>suggest</w:t>
      </w:r>
      <w:r w:rsidR="001506A0" w:rsidRPr="00C07D26">
        <w:t xml:space="preserve"> progress on </w:t>
      </w:r>
      <w:r w:rsidR="00A95DD6" w:rsidRPr="00C07D26">
        <w:t>bringing down</w:t>
      </w:r>
      <w:r w:rsidR="001506A0" w:rsidRPr="00C07D26">
        <w:t xml:space="preserve"> yields is likely to be slow. </w:t>
      </w:r>
      <w:r w:rsidR="002F17E0" w:rsidRPr="00C07D26">
        <w:t xml:space="preserve">The UK's fiscal position </w:t>
      </w:r>
      <w:r w:rsidR="008B68B6" w:rsidRPr="00C07D26">
        <w:t xml:space="preserve">remains relatively poor and </w:t>
      </w:r>
      <w:r w:rsidR="0047356A" w:rsidRPr="00C07D26">
        <w:t xml:space="preserve">markets are being asked to digest </w:t>
      </w:r>
      <w:r w:rsidR="008F7D8D" w:rsidRPr="00C07D26">
        <w:t>very elevated levels of gilt issuance</w:t>
      </w:r>
      <w:r w:rsidR="00344EEC" w:rsidRPr="00C07D26">
        <w:t xml:space="preserve"> while the BoE </w:t>
      </w:r>
      <w:r w:rsidR="00C07D26">
        <w:t>continues</w:t>
      </w:r>
      <w:r w:rsidR="00344EEC" w:rsidRPr="00C07D26">
        <w:t xml:space="preserve"> its </w:t>
      </w:r>
      <w:r w:rsidR="00A266E4" w:rsidRPr="00C07D26">
        <w:t>quantitative tightening programme</w:t>
      </w:r>
      <w:r w:rsidR="008F7D8D" w:rsidRPr="00C07D26">
        <w:t xml:space="preserve">. </w:t>
      </w:r>
      <w:r w:rsidR="00C07D26">
        <w:t>T</w:t>
      </w:r>
      <w:r w:rsidR="008F7D8D" w:rsidRPr="00C07D26">
        <w:t xml:space="preserve">his </w:t>
      </w:r>
      <w:r w:rsidR="00C07D26">
        <w:t xml:space="preserve">also </w:t>
      </w:r>
      <w:r w:rsidR="008F7D8D" w:rsidRPr="00C07D26">
        <w:t xml:space="preserve">comes at a time when </w:t>
      </w:r>
      <w:r w:rsidR="0048686D" w:rsidRPr="00C07D26">
        <w:t xml:space="preserve">the </w:t>
      </w:r>
      <w:r w:rsidR="00FF1BA8" w:rsidRPr="00C07D26">
        <w:t xml:space="preserve">global </w:t>
      </w:r>
      <w:r w:rsidR="0048686D" w:rsidRPr="00C07D26">
        <w:t xml:space="preserve">supply of highly-rated government bonds is </w:t>
      </w:r>
      <w:r w:rsidR="000E6454" w:rsidRPr="00C07D26">
        <w:t>increasing</w:t>
      </w:r>
      <w:r w:rsidR="0048686D" w:rsidRPr="00C07D26">
        <w:t xml:space="preserve"> sharply.</w:t>
      </w:r>
    </w:p>
    <w:p w14:paraId="49EFC779" w14:textId="16956B8E" w:rsidR="003C2E7C" w:rsidRPr="00C07D26" w:rsidRDefault="005772FE" w:rsidP="003C2E7C">
      <w:pPr>
        <w:pStyle w:val="Bullet"/>
      </w:pPr>
      <w:r w:rsidRPr="00C07D26">
        <w:t>Meanwhile,</w:t>
      </w:r>
      <w:r w:rsidR="00A03BED" w:rsidRPr="00C07D26">
        <w:t xml:space="preserve"> structural </w:t>
      </w:r>
      <w:r w:rsidR="00025219" w:rsidRPr="00C07D26">
        <w:t>changes</w:t>
      </w:r>
      <w:r w:rsidR="00A03BED" w:rsidRPr="00C07D26">
        <w:t xml:space="preserve"> in </w:t>
      </w:r>
      <w:r w:rsidR="00C61DCD" w:rsidRPr="00C07D26">
        <w:t>the pension sector</w:t>
      </w:r>
      <w:r w:rsidR="00D27AE6" w:rsidRPr="00C07D26">
        <w:t xml:space="preserve"> point to weaker </w:t>
      </w:r>
      <w:r w:rsidR="00B161A8" w:rsidRPr="00C07D26">
        <w:t xml:space="preserve">gilt demand from what has been a large </w:t>
      </w:r>
      <w:r w:rsidR="00D36D00" w:rsidRPr="00C07D26">
        <w:t xml:space="preserve">and </w:t>
      </w:r>
      <w:r w:rsidR="008579BA" w:rsidRPr="00C07D26">
        <w:t>relatively</w:t>
      </w:r>
      <w:r w:rsidR="00460395" w:rsidRPr="00C07D26">
        <w:t xml:space="preserve"> price-inelastic </w:t>
      </w:r>
      <w:r w:rsidR="006B4F14" w:rsidRPr="00C07D26">
        <w:t>purchaser, particularly at the long end</w:t>
      </w:r>
      <w:r w:rsidR="00460395" w:rsidRPr="00C07D26">
        <w:t xml:space="preserve">. </w:t>
      </w:r>
      <w:r w:rsidR="00AE62BA" w:rsidRPr="00C07D26">
        <w:t xml:space="preserve">The </w:t>
      </w:r>
      <w:r w:rsidR="00703915" w:rsidRPr="00C07D26">
        <w:t xml:space="preserve">emerging </w:t>
      </w:r>
      <w:r w:rsidR="00AE62BA" w:rsidRPr="00C07D26">
        <w:t xml:space="preserve">marginal buyer of gilts appears to be </w:t>
      </w:r>
      <w:r w:rsidR="000E6454" w:rsidRPr="00C07D26">
        <w:t>flightier</w:t>
      </w:r>
      <w:r w:rsidR="002A0395" w:rsidRPr="00C07D26">
        <w:t xml:space="preserve">, </w:t>
      </w:r>
      <w:r w:rsidR="00B377F1" w:rsidRPr="00C07D26">
        <w:t>more price</w:t>
      </w:r>
      <w:r w:rsidR="00302FAC" w:rsidRPr="00C07D26">
        <w:t>-</w:t>
      </w:r>
      <w:r w:rsidR="00B377F1" w:rsidRPr="00C07D26">
        <w:t xml:space="preserve">sensitive, and </w:t>
      </w:r>
      <w:r w:rsidR="005F437B" w:rsidRPr="00C07D26">
        <w:t>favour shorter duration</w:t>
      </w:r>
      <w:r w:rsidR="00B377F1" w:rsidRPr="00C07D26">
        <w:t xml:space="preserve">. </w:t>
      </w:r>
      <w:r w:rsidR="00815397" w:rsidRPr="00C07D26">
        <w:t xml:space="preserve">So the Debt Management Office </w:t>
      </w:r>
      <w:r w:rsidR="00576C3F" w:rsidRPr="00C07D26">
        <w:t xml:space="preserve">will continue </w:t>
      </w:r>
      <w:r w:rsidR="00025219" w:rsidRPr="00C07D26">
        <w:t>to shift supply towards shorter maturities.</w:t>
      </w:r>
    </w:p>
    <w:p w14:paraId="492298C6" w14:textId="5395EAF1" w:rsidR="009E0F11" w:rsidRPr="00C07D26" w:rsidRDefault="00846B5F" w:rsidP="003C2E7C">
      <w:pPr>
        <w:pStyle w:val="Bullet"/>
      </w:pPr>
      <w:r w:rsidRPr="00C07D26">
        <w:t>This highlight</w:t>
      </w:r>
      <w:r w:rsidR="007B192D" w:rsidRPr="00C07D26">
        <w:t>s</w:t>
      </w:r>
      <w:r w:rsidRPr="00C07D26">
        <w:t xml:space="preserve"> </w:t>
      </w:r>
      <w:r w:rsidR="00CC1657" w:rsidRPr="00C07D26">
        <w:t xml:space="preserve">the need for the </w:t>
      </w:r>
      <w:r w:rsidR="00C07D26">
        <w:t xml:space="preserve">UK </w:t>
      </w:r>
      <w:r w:rsidR="00CC1657" w:rsidRPr="00C07D26">
        <w:t xml:space="preserve">government </w:t>
      </w:r>
      <w:r w:rsidR="00154C13" w:rsidRPr="00C07D26">
        <w:t>to develop a credible fiscal strategy focuse</w:t>
      </w:r>
      <w:r w:rsidR="007B192D" w:rsidRPr="00C07D26">
        <w:t>d</w:t>
      </w:r>
      <w:r w:rsidR="00154C13" w:rsidRPr="00C07D26">
        <w:t xml:space="preserve"> on </w:t>
      </w:r>
      <w:r w:rsidR="007B192D" w:rsidRPr="00C07D26">
        <w:t xml:space="preserve">reducing borrowing </w:t>
      </w:r>
      <w:r w:rsidR="00282AD0" w:rsidRPr="00C07D26">
        <w:t>and targeting politically challenging impediments to growth</w:t>
      </w:r>
      <w:r w:rsidR="00851356" w:rsidRPr="00C07D26">
        <w:t>.</w:t>
      </w:r>
    </w:p>
    <w:p w14:paraId="7D531221" w14:textId="2E050011" w:rsidR="0004331F" w:rsidRPr="00C07D26" w:rsidRDefault="009A4AE9" w:rsidP="00F54A1C">
      <w:r w:rsidRPr="00C07D26">
        <w:t xml:space="preserve">Following the UK government's </w:t>
      </w:r>
      <w:r w:rsidR="00C07D26">
        <w:t>efforts</w:t>
      </w:r>
      <w:r w:rsidR="00F93F3C" w:rsidRPr="00C07D26">
        <w:t xml:space="preserve"> to prepare the ground </w:t>
      </w:r>
      <w:r w:rsidR="006D0AEC" w:rsidRPr="00C07D26">
        <w:t>beforehand</w:t>
      </w:r>
      <w:r w:rsidR="00F93F3C" w:rsidRPr="00C07D26">
        <w:t xml:space="preserve">, </w:t>
      </w:r>
      <w:r w:rsidR="006D0AEC" w:rsidRPr="00C07D26">
        <w:t xml:space="preserve">the </w:t>
      </w:r>
      <w:r w:rsidR="00BF2215" w:rsidRPr="00C07D26">
        <w:t xml:space="preserve">financial market </w:t>
      </w:r>
      <w:r w:rsidR="00411093" w:rsidRPr="00C07D26">
        <w:t>react</w:t>
      </w:r>
      <w:r w:rsidR="006D0AEC" w:rsidRPr="00C07D26">
        <w:t xml:space="preserve">ion to </w:t>
      </w:r>
      <w:hyperlink r:id="rId10" w:history="1">
        <w:r w:rsidR="00951102" w:rsidRPr="00C07D26">
          <w:rPr>
            <w:rStyle w:val="Hyperlink"/>
          </w:rPr>
          <w:t>November's</w:t>
        </w:r>
        <w:r w:rsidR="00411093" w:rsidRPr="00C07D26">
          <w:rPr>
            <w:rStyle w:val="Hyperlink"/>
          </w:rPr>
          <w:t xml:space="preserve"> Budget</w:t>
        </w:r>
      </w:hyperlink>
      <w:r w:rsidR="006D0AEC" w:rsidRPr="00C07D26">
        <w:t xml:space="preserve"> was muted</w:t>
      </w:r>
      <w:r w:rsidR="00411093" w:rsidRPr="00C07D26">
        <w:t xml:space="preserve">. </w:t>
      </w:r>
      <w:r w:rsidR="004139A5" w:rsidRPr="00C07D26">
        <w:t>T</w:t>
      </w:r>
      <w:r w:rsidR="00D17EBC" w:rsidRPr="00C07D26">
        <w:t>he 10-year</w:t>
      </w:r>
      <w:r w:rsidR="00FF1119" w:rsidRPr="00C07D26">
        <w:t xml:space="preserve"> gilt yield </w:t>
      </w:r>
      <w:r w:rsidR="004139A5" w:rsidRPr="00C07D26">
        <w:t xml:space="preserve">has risen </w:t>
      </w:r>
      <w:r w:rsidR="00C07D26" w:rsidRPr="00C07D26">
        <w:t xml:space="preserve">only </w:t>
      </w:r>
      <w:r w:rsidR="004139A5" w:rsidRPr="00C07D26">
        <w:t xml:space="preserve">modestly </w:t>
      </w:r>
      <w:r w:rsidR="00B55233" w:rsidRPr="00C07D26">
        <w:t xml:space="preserve">since </w:t>
      </w:r>
      <w:r w:rsidR="00A041C0" w:rsidRPr="00C07D26">
        <w:t>the Budget</w:t>
      </w:r>
      <w:r w:rsidR="00476925" w:rsidRPr="00C07D26">
        <w:t xml:space="preserve">, </w:t>
      </w:r>
      <w:r w:rsidR="00FC1220" w:rsidRPr="00C07D26">
        <w:t>while</w:t>
      </w:r>
      <w:r w:rsidR="00476925" w:rsidRPr="00C07D26">
        <w:t xml:space="preserve"> spreads against US Treasuries and German bunds have </w:t>
      </w:r>
      <w:r w:rsidR="00673875" w:rsidRPr="00C07D26">
        <w:t>narrowed</w:t>
      </w:r>
      <w:r w:rsidR="00FC1220" w:rsidRPr="00C07D26">
        <w:t xml:space="preserve"> slightly</w:t>
      </w:r>
      <w:r w:rsidR="00476925" w:rsidRPr="00C07D26">
        <w:t xml:space="preserve">. </w:t>
      </w:r>
      <w:r w:rsidR="00D6331E" w:rsidRPr="00C07D26">
        <w:t>Investors appear</w:t>
      </w:r>
      <w:r w:rsidR="004139A5" w:rsidRPr="00C07D26">
        <w:t xml:space="preserve"> relatively</w:t>
      </w:r>
      <w:r w:rsidR="00D6331E" w:rsidRPr="00C07D26">
        <w:t xml:space="preserve"> </w:t>
      </w:r>
      <w:r w:rsidR="00186C47" w:rsidRPr="00C07D26">
        <w:t xml:space="preserve">content with </w:t>
      </w:r>
      <w:r w:rsidR="000E1403" w:rsidRPr="00C07D26">
        <w:t xml:space="preserve">the </w:t>
      </w:r>
      <w:r w:rsidR="00C07D26">
        <w:t xml:space="preserve">UK </w:t>
      </w:r>
      <w:r w:rsidR="00186C47" w:rsidRPr="00C07D26">
        <w:t>Chancellor</w:t>
      </w:r>
      <w:r w:rsidR="000E1403" w:rsidRPr="00C07D26">
        <w:t>'s</w:t>
      </w:r>
      <w:r w:rsidR="00186C47" w:rsidRPr="00C07D26">
        <w:t xml:space="preserve"> decision </w:t>
      </w:r>
      <w:r w:rsidR="005D4E01" w:rsidRPr="00C07D26">
        <w:t xml:space="preserve">to </w:t>
      </w:r>
      <w:r w:rsidR="000E1403" w:rsidRPr="00C07D26">
        <w:t>more than double</w:t>
      </w:r>
      <w:r w:rsidR="006A3E55" w:rsidRPr="00C07D26">
        <w:t xml:space="preserve"> </w:t>
      </w:r>
      <w:r w:rsidR="00C07D26">
        <w:t>the</w:t>
      </w:r>
      <w:r w:rsidR="00C07D26" w:rsidRPr="00C07D26">
        <w:t xml:space="preserve"> </w:t>
      </w:r>
      <w:r w:rsidR="002F0D86" w:rsidRPr="00C07D26">
        <w:t xml:space="preserve">fiscal </w:t>
      </w:r>
      <w:r w:rsidR="006A3E55" w:rsidRPr="00C07D26">
        <w:t>headroom</w:t>
      </w:r>
      <w:r w:rsidR="00D3662F" w:rsidRPr="00C07D26">
        <w:t xml:space="preserve">, while </w:t>
      </w:r>
      <w:hyperlink r:id="rId11" w:history="1">
        <w:r w:rsidR="00CC6280" w:rsidRPr="00C07D26">
          <w:rPr>
            <w:rStyle w:val="Hyperlink"/>
          </w:rPr>
          <w:t>upward revision</w:t>
        </w:r>
        <w:r w:rsidR="00457B9C" w:rsidRPr="00C07D26">
          <w:rPr>
            <w:rStyle w:val="Hyperlink"/>
          </w:rPr>
          <w:t>s</w:t>
        </w:r>
      </w:hyperlink>
      <w:r w:rsidR="00CC6280" w:rsidRPr="00C07D26">
        <w:t xml:space="preserve"> </w:t>
      </w:r>
      <w:r w:rsidR="00143C67" w:rsidRPr="00C07D26">
        <w:t xml:space="preserve">to the </w:t>
      </w:r>
      <w:r w:rsidR="00457B9C" w:rsidRPr="00C07D26">
        <w:t xml:space="preserve">government's </w:t>
      </w:r>
      <w:r w:rsidR="006640A9" w:rsidRPr="00C07D26">
        <w:t>net cash requirement</w:t>
      </w:r>
      <w:r w:rsidR="00C00DC9" w:rsidRPr="00C07D26">
        <w:t xml:space="preserve"> and the </w:t>
      </w:r>
      <w:r w:rsidR="00CA7B4E" w:rsidRPr="00C07D26">
        <w:t>Debt Management Office</w:t>
      </w:r>
      <w:r w:rsidR="00044D99" w:rsidRPr="00C07D26">
        <w:t xml:space="preserve">'s gilt remit </w:t>
      </w:r>
      <w:r w:rsidR="0071782D" w:rsidRPr="00C07D26">
        <w:t xml:space="preserve">for 2025-2026 </w:t>
      </w:r>
      <w:r w:rsidR="00C00DC9" w:rsidRPr="00C07D26">
        <w:t>were</w:t>
      </w:r>
      <w:r w:rsidR="003B4EA0" w:rsidRPr="00C07D26">
        <w:t xml:space="preserve"> smaller than expected.</w:t>
      </w:r>
    </w:p>
    <w:p w14:paraId="6DB463E3" w14:textId="4E3C3A93" w:rsidR="00284C10" w:rsidRPr="00C07D26" w:rsidRDefault="002332E0" w:rsidP="00F54A1C">
      <w:r w:rsidRPr="00C07D26">
        <w:t>We think the 10-year gilt yield will only fall modestly this year, before declining further through 2027 and 2028</w:t>
      </w:r>
      <w:r w:rsidR="008E5E55" w:rsidRPr="00C07D26">
        <w:t xml:space="preserve"> (</w:t>
      </w:r>
      <w:r w:rsidR="00706F42" w:rsidRPr="006C1E35">
        <w:rPr>
          <w:b/>
          <w:color w:val="003469"/>
        </w:rPr>
        <w:fldChar w:fldCharType="begin"/>
      </w:r>
      <w:r w:rsidR="006C1E35" w:rsidRPr="006C1E35">
        <w:rPr>
          <w:b/>
          <w:color w:val="003469"/>
        </w:rPr>
        <w:instrText xml:space="preserve">REF _Ref214911160 \h \* Charformat </w:instrText>
      </w:r>
      <w:r w:rsidR="006C1E35" w:rsidRPr="006C1E35">
        <w:rPr>
          <w:b/>
          <w:color w:val="003469"/>
        </w:rPr>
      </w:r>
      <w:r w:rsidR="00706F42" w:rsidRPr="006C1E35">
        <w:rPr>
          <w:b/>
          <w:color w:val="003469"/>
        </w:rPr>
        <w:fldChar w:fldCharType="separate"/>
      </w:r>
      <w:r w:rsidR="006C1E35" w:rsidRPr="006C1E35">
        <w:rPr>
          <w:b/>
          <w:color w:val="003469"/>
        </w:rPr>
        <w:t>Chart 1</w:t>
      </w:r>
      <w:r w:rsidR="00706F42" w:rsidRPr="006C1E35">
        <w:rPr>
          <w:b/>
          <w:color w:val="003469"/>
        </w:rPr>
        <w:fldChar w:fldCharType="end"/>
      </w:r>
      <w:r w:rsidR="008E5E55" w:rsidRPr="00C07D26">
        <w:t>)</w:t>
      </w:r>
      <w:r w:rsidR="00B15025" w:rsidRPr="00C07D26">
        <w:t xml:space="preserve">. </w:t>
      </w:r>
      <w:r w:rsidR="00586017" w:rsidRPr="00C07D26">
        <w:t>In our view,</w:t>
      </w:r>
      <w:r w:rsidR="00616F02" w:rsidRPr="00C07D26">
        <w:t xml:space="preserve"> </w:t>
      </w:r>
      <w:r w:rsidR="005548AD" w:rsidRPr="00C07D26">
        <w:t>further</w:t>
      </w:r>
      <w:r w:rsidR="00E7528F" w:rsidRPr="00C07D26">
        <w:t xml:space="preserve"> </w:t>
      </w:r>
      <w:r w:rsidR="00AF7FAC" w:rsidRPr="00C07D26">
        <w:t xml:space="preserve">disinflation and </w:t>
      </w:r>
      <w:r w:rsidR="00D74F21" w:rsidRPr="00C07D26">
        <w:t>weak</w:t>
      </w:r>
      <w:r w:rsidR="00036B10" w:rsidRPr="00C07D26">
        <w:t xml:space="preserve"> activity growth </w:t>
      </w:r>
      <w:r w:rsidR="00CE4C17" w:rsidRPr="00C07D26">
        <w:t xml:space="preserve">will </w:t>
      </w:r>
      <w:r w:rsidR="00C72FA2" w:rsidRPr="00C07D26">
        <w:t>lead</w:t>
      </w:r>
      <w:r w:rsidR="00CE4C17" w:rsidRPr="00C07D26">
        <w:t xml:space="preserve"> </w:t>
      </w:r>
      <w:r w:rsidR="00C72FA2" w:rsidRPr="00C07D26">
        <w:t>the Bank of England</w:t>
      </w:r>
      <w:r w:rsidR="00A53AC4" w:rsidRPr="00C07D26">
        <w:t>'s Monetary Policy Committee</w:t>
      </w:r>
      <w:r w:rsidR="00F433A6" w:rsidRPr="00C07D26">
        <w:t xml:space="preserve"> to </w:t>
      </w:r>
      <w:r w:rsidR="00A851A4" w:rsidRPr="00C07D26">
        <w:t>cut</w:t>
      </w:r>
      <w:r w:rsidR="00F433A6" w:rsidRPr="00C07D26">
        <w:t xml:space="preserve"> Bank Rate </w:t>
      </w:r>
      <w:r w:rsidR="00E618A7" w:rsidRPr="00C07D26">
        <w:t xml:space="preserve">further than markets expect, </w:t>
      </w:r>
      <w:r w:rsidR="00386679" w:rsidRPr="00C07D26">
        <w:t>more than offsetting</w:t>
      </w:r>
      <w:r w:rsidR="005F4743" w:rsidRPr="00C07D26">
        <w:t xml:space="preserve"> the</w:t>
      </w:r>
      <w:r w:rsidR="00251CFA" w:rsidRPr="00C07D26">
        <w:t xml:space="preserve"> upward pressure </w:t>
      </w:r>
      <w:r w:rsidR="00BD775A" w:rsidRPr="00C07D26">
        <w:t>on yields</w:t>
      </w:r>
      <w:r w:rsidR="00A369C7" w:rsidRPr="00C07D26">
        <w:t xml:space="preserve"> </w:t>
      </w:r>
      <w:r w:rsidR="006C3E1A">
        <w:t>from</w:t>
      </w:r>
      <w:r w:rsidR="006C3E1A" w:rsidRPr="00C07D26">
        <w:t xml:space="preserve"> </w:t>
      </w:r>
      <w:r w:rsidR="0079359C" w:rsidRPr="00C07D26">
        <w:t>moving into a regime with structurally higher term premia.</w:t>
      </w:r>
    </w:p>
    <w:p w14:paraId="29B2F759" w14:textId="3DCC7D02" w:rsidR="003C2E7C" w:rsidRPr="00C07D26" w:rsidRDefault="003C2E7C" w:rsidP="00284C10">
      <w:pPr>
        <w:pStyle w:val="ExhibitTitle"/>
        <w:jc w:val="center"/>
      </w:pPr>
      <w:bookmarkStart w:id="0" w:name="_Ref214911160"/>
      <w:r w:rsidRPr="00C07D26">
        <w:t xml:space="preserve">Chart </w:t>
      </w:r>
      <w:r w:rsidRPr="00C07D26">
        <w:fldChar w:fldCharType="begin"/>
      </w:r>
      <w:r w:rsidR="00284C10" w:rsidRPr="00C07D26">
        <w:instrText>SEQ CHART</w:instrText>
      </w:r>
      <w:r w:rsidRPr="00C07D26">
        <w:fldChar w:fldCharType="separate"/>
      </w:r>
      <w:r w:rsidR="00284C10" w:rsidRPr="00C07D26">
        <w:t>1</w:t>
      </w:r>
      <w:r w:rsidRPr="00C07D26">
        <w:fldChar w:fldCharType="end"/>
      </w:r>
      <w:bookmarkEnd w:id="0"/>
      <w:r w:rsidRPr="00C07D26">
        <w:t xml:space="preserve">: </w:t>
      </w:r>
      <w:r w:rsidR="002E33A0" w:rsidRPr="00C07D26">
        <w:t xml:space="preserve">We expect </w:t>
      </w:r>
      <w:r w:rsidR="001E0E68" w:rsidRPr="00C07D26">
        <w:t xml:space="preserve">gilt yields to fall as </w:t>
      </w:r>
      <w:r w:rsidR="00111CB4" w:rsidRPr="00C07D26">
        <w:t>short</w:t>
      </w:r>
      <w:r w:rsidR="00DA11EA" w:rsidRPr="00C07D26">
        <w:t>-term</w:t>
      </w:r>
      <w:r w:rsidR="00111CB4" w:rsidRPr="00C07D26">
        <w:t xml:space="preserve"> </w:t>
      </w:r>
      <w:r w:rsidR="00EF16D3" w:rsidRPr="00C07D26">
        <w:t xml:space="preserve">interest </w:t>
      </w:r>
      <w:r w:rsidR="00111CB4" w:rsidRPr="00C07D26">
        <w:t xml:space="preserve">rate expectations </w:t>
      </w:r>
      <w:r w:rsidR="00EF16D3" w:rsidRPr="00C07D26">
        <w:t xml:space="preserve">continue to </w:t>
      </w:r>
      <w:r w:rsidR="00FE0C1B" w:rsidRPr="00C07D26">
        <w:t>decline</w:t>
      </w:r>
    </w:p>
    <w:p w14:paraId="01E218A4" w14:textId="4BA32D51" w:rsidR="00284C10" w:rsidRPr="00C07D26" w:rsidRDefault="00284C10" w:rsidP="00284C10">
      <w:pPr>
        <w:spacing w:after="0"/>
        <w:jc w:val="center"/>
      </w:pPr>
      <w:r w:rsidRPr="00C07D26">
        <w:rPr>
          <w:noProof/>
        </w:rPr>
        <w:drawing>
          <wp:inline distT="0" distB="0" distL="0" distR="0" wp14:anchorId="4E0E4E8C" wp14:editId="653C79AC">
            <wp:extent cx="4006964" cy="3147304"/>
            <wp:effectExtent l="0" t="0" r="0" b="0"/>
            <wp:docPr id="87200118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01183" name=""/>
                    <pic:cNvPicPr/>
                  </pic:nvPicPr>
                  <pic:blipFill>
                    <a:blip r:embed="rId12">
                      <a:extLst>
                        <a:ext uri="{96DAC541-7B7A-43D3-8B79-37D633B846F1}">
                          <asvg:svgBlip xmlns:asvg="http://schemas.microsoft.com/office/drawing/2016/SVG/main" r:embed="rId13"/>
                        </a:ext>
                      </a:extLst>
                    </a:blip>
                    <a:srcRect b="1795"/>
                    <a:stretch>
                      <a:fillRect/>
                    </a:stretch>
                  </pic:blipFill>
                  <pic:spPr>
                    <a:xfrm>
                      <a:off x="0" y="0"/>
                      <a:ext cx="4006964" cy="3147304"/>
                    </a:xfrm>
                    <a:prstGeom prst="rect">
                      <a:avLst/>
                    </a:prstGeom>
                  </pic:spPr>
                </pic:pic>
              </a:graphicData>
            </a:graphic>
          </wp:inline>
        </w:drawing>
      </w:r>
    </w:p>
    <w:p w14:paraId="75711B7D" w14:textId="43A6CFC4" w:rsidR="003C2E7C" w:rsidRPr="00C07D26" w:rsidRDefault="00284C10" w:rsidP="00284C10">
      <w:pPr>
        <w:pStyle w:val="ExhibitSource"/>
        <w:jc w:val="center"/>
      </w:pPr>
      <w:r w:rsidRPr="00C07D26">
        <w:t>Sources: Oxford Economics, Haver Analytics</w:t>
      </w:r>
    </w:p>
    <w:p w14:paraId="7141673C" w14:textId="1FB81E5A" w:rsidR="003C2E7C" w:rsidRPr="00C07D26" w:rsidRDefault="003C2E7C" w:rsidP="003C2E7C">
      <w:pPr>
        <w:pStyle w:val="ExhibitSource"/>
        <w:jc w:val="center"/>
        <w:sectPr w:rsidR="003C2E7C" w:rsidRPr="00C07D26" w:rsidSect="00284C10">
          <w:headerReference w:type="even" r:id="rId14"/>
          <w:headerReference w:type="default" r:id="rId15"/>
          <w:footerReference w:type="even" r:id="rId16"/>
          <w:footerReference w:type="default" r:id="rId17"/>
          <w:headerReference w:type="first" r:id="rId18"/>
          <w:footerReference w:type="first" r:id="rId19"/>
          <w:pgSz w:w="11906" w:h="16838"/>
          <w:pgMar w:top="2665" w:right="1276" w:bottom="838" w:left="1134" w:header="708" w:footer="300" w:gutter="0"/>
          <w:cols w:space="708"/>
          <w:titlePg/>
          <w:docGrid w:linePitch="360"/>
        </w:sectPr>
      </w:pPr>
    </w:p>
    <w:p w14:paraId="729B559F" w14:textId="290A5C89" w:rsidR="0038484C" w:rsidRPr="00C07D26" w:rsidRDefault="00E831CF" w:rsidP="006B4D91">
      <w:pPr>
        <w:pStyle w:val="Heading3"/>
      </w:pPr>
      <w:r w:rsidRPr="00C07D26">
        <w:lastRenderedPageBreak/>
        <w:t xml:space="preserve">Gilt yields </w:t>
      </w:r>
      <w:r w:rsidR="00DA11EA" w:rsidRPr="00C07D26">
        <w:t xml:space="preserve">to benefit from lower short-term </w:t>
      </w:r>
      <w:r w:rsidR="00D3559C" w:rsidRPr="00C07D26">
        <w:t xml:space="preserve">interest </w:t>
      </w:r>
      <w:r w:rsidR="00DA11EA" w:rsidRPr="00C07D26">
        <w:t>rate expectations</w:t>
      </w:r>
    </w:p>
    <w:p w14:paraId="2367B085" w14:textId="3964D8E1" w:rsidR="00D55422" w:rsidRPr="00C07D26" w:rsidRDefault="00693628" w:rsidP="003C2E7C">
      <w:r w:rsidRPr="00C07D26">
        <w:t xml:space="preserve">Our </w:t>
      </w:r>
      <w:hyperlink r:id="rId20" w:history="1">
        <w:r w:rsidR="003808BA" w:rsidRPr="00C07D26">
          <w:rPr>
            <w:rStyle w:val="Hyperlink"/>
          </w:rPr>
          <w:t xml:space="preserve">modelling </w:t>
        </w:r>
        <w:r w:rsidRPr="00C07D26">
          <w:rPr>
            <w:rStyle w:val="Hyperlink"/>
          </w:rPr>
          <w:t>framework</w:t>
        </w:r>
      </w:hyperlink>
      <w:r w:rsidRPr="00C07D26">
        <w:t xml:space="preserve"> </w:t>
      </w:r>
      <w:r w:rsidR="003808BA" w:rsidRPr="00C07D26">
        <w:t xml:space="preserve">decomposes </w:t>
      </w:r>
      <w:r w:rsidR="00D77777" w:rsidRPr="00C07D26">
        <w:t xml:space="preserve">10-year government bond yields </w:t>
      </w:r>
      <w:r w:rsidR="002872DD" w:rsidRPr="00C07D26">
        <w:t xml:space="preserve">into a component that is explained by </w:t>
      </w:r>
      <w:r w:rsidR="00FB7B0E" w:rsidRPr="00C07D26">
        <w:t xml:space="preserve">the expected future path for </w:t>
      </w:r>
      <w:r w:rsidR="006A1A36" w:rsidRPr="00C07D26">
        <w:t>short-term interest rates</w:t>
      </w:r>
      <w:r w:rsidR="00C747F1" w:rsidRPr="00C07D26">
        <w:t xml:space="preserve">, and </w:t>
      </w:r>
      <w:r w:rsidR="000F1A81" w:rsidRPr="00C07D26">
        <w:t xml:space="preserve">factors </w:t>
      </w:r>
      <w:r w:rsidR="006C3E1A">
        <w:t>that</w:t>
      </w:r>
      <w:r w:rsidR="006C3E1A" w:rsidRPr="00C07D26">
        <w:t xml:space="preserve"> </w:t>
      </w:r>
      <w:r w:rsidR="000F1A81" w:rsidRPr="00C07D26">
        <w:t xml:space="preserve">contribute to term premium </w:t>
      </w:r>
      <w:r w:rsidR="0076498A" w:rsidRPr="00C07D26">
        <w:t xml:space="preserve">– </w:t>
      </w:r>
      <w:r w:rsidR="00BA649B" w:rsidRPr="00C07D26">
        <w:t xml:space="preserve">the additional yield investors demand for holding </w:t>
      </w:r>
      <w:r w:rsidR="00337910" w:rsidRPr="00C07D26">
        <w:t xml:space="preserve">longer-term </w:t>
      </w:r>
      <w:r w:rsidR="00A4414D" w:rsidRPr="00C07D26">
        <w:t>bonds</w:t>
      </w:r>
      <w:r w:rsidR="00F573C1" w:rsidRPr="00C07D26">
        <w:t xml:space="preserve">. </w:t>
      </w:r>
      <w:r w:rsidR="007A3E3C" w:rsidRPr="00C07D26">
        <w:t xml:space="preserve">We find that </w:t>
      </w:r>
      <w:r w:rsidR="00460140" w:rsidRPr="00C07D26">
        <w:t xml:space="preserve">short-term interest rate expectations </w:t>
      </w:r>
      <w:r w:rsidR="008029E0" w:rsidRPr="00C07D26">
        <w:t>are the primary driver</w:t>
      </w:r>
      <w:r w:rsidR="00DF222A" w:rsidRPr="00C07D26">
        <w:t xml:space="preserve"> of</w:t>
      </w:r>
      <w:r w:rsidR="008029E0" w:rsidRPr="00C07D26">
        <w:t xml:space="preserve"> 10-year gilt yields </w:t>
      </w:r>
      <w:r w:rsidR="006C3E1A">
        <w:t>– these</w:t>
      </w:r>
      <w:r w:rsidR="006C3E1A" w:rsidRPr="00C07D26">
        <w:t xml:space="preserve"> </w:t>
      </w:r>
      <w:r w:rsidR="0073321A" w:rsidRPr="00C07D26">
        <w:t xml:space="preserve">have pushed yields up significantly since the </w:t>
      </w:r>
      <w:r w:rsidR="00773FBE" w:rsidRPr="00C07D26">
        <w:t>BoE's rate hiking cycle began in late</w:t>
      </w:r>
      <w:r w:rsidR="00B1678F" w:rsidRPr="00C07D26">
        <w:t xml:space="preserve"> </w:t>
      </w:r>
      <w:r w:rsidR="00773FBE" w:rsidRPr="00C07D26">
        <w:t>2021.</w:t>
      </w:r>
    </w:p>
    <w:p w14:paraId="164325C4" w14:textId="0D9CEAB2" w:rsidR="00693628" w:rsidRPr="00C07D26" w:rsidRDefault="00492148" w:rsidP="003C2E7C">
      <w:r w:rsidRPr="00C07D26">
        <w:t>But</w:t>
      </w:r>
      <w:r w:rsidR="0000363A" w:rsidRPr="00C07D26">
        <w:t xml:space="preserve"> </w:t>
      </w:r>
      <w:r w:rsidR="00EC5BD3" w:rsidRPr="00C07D26">
        <w:t>this dynamic is now unwinding</w:t>
      </w:r>
      <w:r w:rsidR="00914293" w:rsidRPr="00C07D26">
        <w:t xml:space="preserve">, </w:t>
      </w:r>
      <w:r w:rsidR="00776402" w:rsidRPr="00C07D26">
        <w:t xml:space="preserve">and we </w:t>
      </w:r>
      <w:r w:rsidR="006C3E1A">
        <w:t>think</w:t>
      </w:r>
      <w:r w:rsidR="006C3E1A" w:rsidRPr="00C07D26">
        <w:t xml:space="preserve"> </w:t>
      </w:r>
      <w:r w:rsidR="007C1A13" w:rsidRPr="00C07D26">
        <w:t>three key</w:t>
      </w:r>
      <w:r w:rsidR="00776402" w:rsidRPr="00C07D26">
        <w:t xml:space="preserve"> factors could prompt </w:t>
      </w:r>
      <w:r w:rsidR="00DA64CC" w:rsidRPr="00C07D26">
        <w:t>the MPC</w:t>
      </w:r>
      <w:r w:rsidR="00F20649" w:rsidRPr="00C07D26">
        <w:t xml:space="preserve"> to</w:t>
      </w:r>
      <w:r w:rsidR="006F4E73" w:rsidRPr="00C07D26">
        <w:t xml:space="preserve"> </w:t>
      </w:r>
      <w:r w:rsidR="0033274F" w:rsidRPr="00C07D26">
        <w:t xml:space="preserve">gradually </w:t>
      </w:r>
      <w:r w:rsidR="006F03F0" w:rsidRPr="00C07D26">
        <w:t>shift to a more dovish</w:t>
      </w:r>
      <w:r w:rsidR="00DF7383" w:rsidRPr="00C07D26">
        <w:t xml:space="preserve"> stance</w:t>
      </w:r>
      <w:r w:rsidR="006F03F0" w:rsidRPr="00C07D26">
        <w:t xml:space="preserve"> </w:t>
      </w:r>
      <w:r w:rsidR="002A62F3" w:rsidRPr="00C07D26">
        <w:t>over time</w:t>
      </w:r>
      <w:r w:rsidR="009E2467" w:rsidRPr="00C07D26">
        <w:t xml:space="preserve">. First, </w:t>
      </w:r>
      <w:r w:rsidR="00A853C5" w:rsidRPr="00C07D26">
        <w:t>there</w:t>
      </w:r>
      <w:r w:rsidR="001F2C0D" w:rsidRPr="00C07D26">
        <w:t xml:space="preserve"> are</w:t>
      </w:r>
      <w:r w:rsidR="00A853C5" w:rsidRPr="00C07D26">
        <w:t xml:space="preserve"> strong grounds to expect </w:t>
      </w:r>
      <w:r w:rsidR="00B766DE" w:rsidRPr="00C07D26">
        <w:t xml:space="preserve">activity to surprise </w:t>
      </w:r>
      <w:r w:rsidR="00EE1F72" w:rsidRPr="00C07D26">
        <w:t xml:space="preserve">on the downside over the next couple of years. </w:t>
      </w:r>
      <w:r w:rsidR="0016425A" w:rsidRPr="00C07D26">
        <w:t xml:space="preserve">Our forecast that the economy will grow by 0.9% </w:t>
      </w:r>
      <w:r w:rsidR="00AC65D0" w:rsidRPr="00C07D26">
        <w:t xml:space="preserve">in 2026 and </w:t>
      </w:r>
      <w:r w:rsidR="003E60BB" w:rsidRPr="00C07D26">
        <w:t>1.</w:t>
      </w:r>
      <w:r w:rsidR="00597949" w:rsidRPr="00C07D26">
        <w:t>4</w:t>
      </w:r>
      <w:r w:rsidR="003E60BB" w:rsidRPr="00C07D26">
        <w:t>% in 2027</w:t>
      </w:r>
      <w:r w:rsidR="00264241" w:rsidRPr="00C07D26">
        <w:t xml:space="preserve"> is </w:t>
      </w:r>
      <w:r w:rsidRPr="00C07D26">
        <w:t>much</w:t>
      </w:r>
      <w:r w:rsidR="00264241" w:rsidRPr="00C07D26">
        <w:t xml:space="preserve"> weaker than the </w:t>
      </w:r>
      <w:hyperlink r:id="rId21" w:history="1">
        <w:r w:rsidR="00264241" w:rsidRPr="00C07D26">
          <w:rPr>
            <w:rStyle w:val="Hyperlink"/>
          </w:rPr>
          <w:t>BoE's forecast</w:t>
        </w:r>
      </w:hyperlink>
      <w:r w:rsidR="00264241" w:rsidRPr="00C07D26">
        <w:t xml:space="preserve"> </w:t>
      </w:r>
      <w:r w:rsidR="00CC18BA" w:rsidRPr="00C07D26">
        <w:t xml:space="preserve">for growth of 1.3% and 1.6% </w:t>
      </w:r>
      <w:r w:rsidR="0024319D" w:rsidRPr="00C07D26">
        <w:t xml:space="preserve">in </w:t>
      </w:r>
      <w:r w:rsidR="006C3E1A">
        <w:t>those years</w:t>
      </w:r>
      <w:r w:rsidR="0024319D" w:rsidRPr="00C07D26">
        <w:t>.</w:t>
      </w:r>
    </w:p>
    <w:p w14:paraId="1D2A6BAD" w14:textId="5295567A" w:rsidR="00FF3E85" w:rsidRPr="00C07D26" w:rsidRDefault="00FF3E85" w:rsidP="003C2E7C">
      <w:r w:rsidRPr="00C07D26">
        <w:t xml:space="preserve">Our relative pessimism </w:t>
      </w:r>
      <w:r w:rsidR="003B18AF" w:rsidRPr="00C07D26">
        <w:t xml:space="preserve">largely </w:t>
      </w:r>
      <w:r w:rsidR="006C3E1A">
        <w:t>stems</w:t>
      </w:r>
      <w:r w:rsidR="006C3E1A" w:rsidRPr="00C07D26">
        <w:t xml:space="preserve"> </w:t>
      </w:r>
      <w:r w:rsidR="003B18AF" w:rsidRPr="00C07D26">
        <w:t xml:space="preserve">from the strength of domestic headwinds </w:t>
      </w:r>
      <w:r w:rsidR="006C3E1A">
        <w:t>hindering</w:t>
      </w:r>
      <w:r w:rsidR="006C3E1A" w:rsidRPr="00C07D26">
        <w:t xml:space="preserve"> </w:t>
      </w:r>
      <w:r w:rsidR="00CB17B5" w:rsidRPr="00C07D26">
        <w:t xml:space="preserve">an </w:t>
      </w:r>
      <w:r w:rsidR="003B18AF" w:rsidRPr="00C07D26">
        <w:t>economy</w:t>
      </w:r>
      <w:r w:rsidR="00CB17B5" w:rsidRPr="00C07D26">
        <w:t xml:space="preserve"> </w:t>
      </w:r>
      <w:r w:rsidR="00B0745B" w:rsidRPr="00C07D26">
        <w:t>that</w:t>
      </w:r>
      <w:r w:rsidR="00CB17B5" w:rsidRPr="00C07D26">
        <w:t xml:space="preserve"> is </w:t>
      </w:r>
      <w:r w:rsidR="006C3E1A">
        <w:t xml:space="preserve">already </w:t>
      </w:r>
      <w:r w:rsidR="00CB17B5" w:rsidRPr="00C07D26">
        <w:t xml:space="preserve">struggling to find a sustainable </w:t>
      </w:r>
      <w:r w:rsidR="006C3E1A" w:rsidRPr="00C07D26">
        <w:t xml:space="preserve">growth </w:t>
      </w:r>
      <w:r w:rsidR="00CB17B5" w:rsidRPr="00C07D26">
        <w:t>driver</w:t>
      </w:r>
      <w:r w:rsidR="003B18AF" w:rsidRPr="00C07D26">
        <w:t xml:space="preserve">. </w:t>
      </w:r>
      <w:r w:rsidR="00251FCB" w:rsidRPr="00C07D26">
        <w:t xml:space="preserve">Following </w:t>
      </w:r>
      <w:r w:rsidR="004C41C1">
        <w:t>November's</w:t>
      </w:r>
      <w:r w:rsidR="006C3E1A" w:rsidRPr="00C07D26">
        <w:t xml:space="preserve"> </w:t>
      </w:r>
      <w:r w:rsidR="00251FCB" w:rsidRPr="00C07D26">
        <w:t xml:space="preserve">Budget, we estimate that </w:t>
      </w:r>
      <w:r w:rsidR="003C4493" w:rsidRPr="00C07D26">
        <w:t xml:space="preserve">fiscal policy </w:t>
      </w:r>
      <w:r w:rsidR="00E818F2" w:rsidRPr="00C07D26">
        <w:t xml:space="preserve">will be tightened by </w:t>
      </w:r>
      <w:r w:rsidR="003B2C10" w:rsidRPr="00C07D26">
        <w:t>0.</w:t>
      </w:r>
      <w:r w:rsidR="00597949" w:rsidRPr="00C07D26">
        <w:t>7</w:t>
      </w:r>
      <w:r w:rsidR="003B2C10" w:rsidRPr="00C07D26">
        <w:t xml:space="preserve">% of potential GDP in FY2025-2026, </w:t>
      </w:r>
      <w:r w:rsidR="006D568D" w:rsidRPr="00C07D26">
        <w:t>0.8% in FY2026-2027</w:t>
      </w:r>
      <w:r w:rsidR="00597949" w:rsidRPr="00C07D26">
        <w:t xml:space="preserve"> and </w:t>
      </w:r>
      <w:r w:rsidR="006D568D" w:rsidRPr="00C07D26">
        <w:t>FY</w:t>
      </w:r>
      <w:r w:rsidR="00655964" w:rsidRPr="00C07D26">
        <w:t xml:space="preserve">2027-2028. </w:t>
      </w:r>
      <w:r w:rsidR="00F46C2D" w:rsidRPr="00C07D26">
        <w:t>Recent labour market loosening likely has further to run</w:t>
      </w:r>
      <w:r w:rsidR="00726231" w:rsidRPr="00C07D26">
        <w:t>, as the support from</w:t>
      </w:r>
      <w:r w:rsidR="006C7DEC" w:rsidRPr="00C07D26">
        <w:t xml:space="preserve"> strong</w:t>
      </w:r>
      <w:r w:rsidR="00726231" w:rsidRPr="00C07D26">
        <w:t xml:space="preserve"> public sector job creation wanes</w:t>
      </w:r>
      <w:r w:rsidR="00935B78" w:rsidRPr="00C07D26">
        <w:t xml:space="preserve">. And over </w:t>
      </w:r>
      <w:r w:rsidR="00CB17B5" w:rsidRPr="00C07D26">
        <w:t>the</w:t>
      </w:r>
      <w:r w:rsidR="00F26D1F" w:rsidRPr="00C07D26">
        <w:t xml:space="preserve"> next 18 months, a</w:t>
      </w:r>
      <w:r w:rsidR="0090071C" w:rsidRPr="00C07D26">
        <w:t xml:space="preserve"> </w:t>
      </w:r>
      <w:r w:rsidR="00935B78" w:rsidRPr="00C07D26">
        <w:t>substantial</w:t>
      </w:r>
      <w:r w:rsidR="0090071C" w:rsidRPr="00C07D26">
        <w:t xml:space="preserve"> minority </w:t>
      </w:r>
      <w:r w:rsidR="00FE7CC5" w:rsidRPr="00C07D26">
        <w:t>of mortgagors</w:t>
      </w:r>
      <w:r w:rsidR="00C84A6A" w:rsidRPr="00C07D26">
        <w:t xml:space="preserve"> </w:t>
      </w:r>
      <w:r w:rsidR="006C3E1A">
        <w:t>will need</w:t>
      </w:r>
      <w:r w:rsidR="00F26F95" w:rsidRPr="00C07D26">
        <w:t xml:space="preserve"> to refinance cheap </w:t>
      </w:r>
      <w:r w:rsidR="00323EA4" w:rsidRPr="00C07D26">
        <w:t>five-year fixed-rate mortgages taken out before mid-2022</w:t>
      </w:r>
      <w:r w:rsidR="00A25410" w:rsidRPr="00C07D26">
        <w:t>. We project that these borrowers face an increase in their mortgage rate of 200</w:t>
      </w:r>
      <w:r w:rsidR="009517DD" w:rsidRPr="00C07D26">
        <w:t>bps</w:t>
      </w:r>
      <w:r w:rsidR="00A25410" w:rsidRPr="00C07D26">
        <w:t>-250bps</w:t>
      </w:r>
      <w:r w:rsidR="009517DD" w:rsidRPr="00C07D26">
        <w:t xml:space="preserve">, which </w:t>
      </w:r>
      <w:r w:rsidR="00D011C3" w:rsidRPr="00C07D26">
        <w:t>will</w:t>
      </w:r>
      <w:r w:rsidR="00935B78" w:rsidRPr="00C07D26">
        <w:t xml:space="preserve"> significantly</w:t>
      </w:r>
      <w:r w:rsidR="00D011C3" w:rsidRPr="00C07D26">
        <w:t xml:space="preserve"> </w:t>
      </w:r>
      <w:r w:rsidR="00DB0228" w:rsidRPr="00C07D26">
        <w:t>weigh</w:t>
      </w:r>
      <w:r w:rsidR="00D011C3" w:rsidRPr="00C07D26">
        <w:t xml:space="preserve"> on </w:t>
      </w:r>
      <w:r w:rsidR="00B82CA0" w:rsidRPr="00C07D26">
        <w:t xml:space="preserve">their </w:t>
      </w:r>
      <w:r w:rsidR="00D011C3" w:rsidRPr="00C07D26">
        <w:t>spending power.</w:t>
      </w:r>
    </w:p>
    <w:p w14:paraId="42ACB13C" w14:textId="6A441110" w:rsidR="004D595F" w:rsidRPr="00C07D26" w:rsidRDefault="00537DA5" w:rsidP="003C2E7C">
      <w:r w:rsidRPr="00C07D26">
        <w:t>Second,</w:t>
      </w:r>
      <w:r w:rsidR="00055D26" w:rsidRPr="00C07D26">
        <w:t xml:space="preserve"> </w:t>
      </w:r>
      <w:r w:rsidR="003D3A40" w:rsidRPr="00C07D26">
        <w:t>we think the</w:t>
      </w:r>
      <w:r w:rsidR="00424D72" w:rsidRPr="00C07D26">
        <w:t xml:space="preserve"> MPC is likely to </w:t>
      </w:r>
      <w:r w:rsidR="006C3E1A">
        <w:t>see</w:t>
      </w:r>
      <w:r w:rsidR="00424D72" w:rsidRPr="00C07D26">
        <w:t xml:space="preserve"> </w:t>
      </w:r>
      <w:r w:rsidR="006C3E1A">
        <w:t>clearer evidence</w:t>
      </w:r>
      <w:r w:rsidR="006C3E1A" w:rsidRPr="00C07D26">
        <w:t xml:space="preserve"> </w:t>
      </w:r>
      <w:r w:rsidR="00E82286" w:rsidRPr="00C07D26">
        <w:t xml:space="preserve">that </w:t>
      </w:r>
      <w:r w:rsidR="00154945" w:rsidRPr="00C07D26">
        <w:t>inflationary</w:t>
      </w:r>
      <w:r w:rsidR="00C5014A" w:rsidRPr="00C07D26">
        <w:t xml:space="preserve"> pressures are </w:t>
      </w:r>
      <w:r w:rsidR="00861A58" w:rsidRPr="00C07D26">
        <w:t>cooling</w:t>
      </w:r>
      <w:r w:rsidR="004D595F" w:rsidRPr="00C07D26">
        <w:t xml:space="preserve">. </w:t>
      </w:r>
      <w:r w:rsidR="003A2D6A" w:rsidRPr="00C07D26">
        <w:t>October's</w:t>
      </w:r>
      <w:r w:rsidR="004D595F" w:rsidRPr="00C07D26">
        <w:t xml:space="preserve"> private sector regular pay growth reading </w:t>
      </w:r>
      <w:r w:rsidR="003A2D6A" w:rsidRPr="00C07D26">
        <w:t xml:space="preserve">reached the upper bound of </w:t>
      </w:r>
      <w:r w:rsidR="004D595F" w:rsidRPr="00C07D26">
        <w:t xml:space="preserve">the 3%-3.5% </w:t>
      </w:r>
      <w:r w:rsidR="001B599B" w:rsidRPr="00C07D26">
        <w:t xml:space="preserve">range typically cited as being consistent with meeting the BoE's 2% </w:t>
      </w:r>
      <w:r w:rsidR="003D3A40" w:rsidRPr="00C07D26">
        <w:t>inflation target in the medium term.</w:t>
      </w:r>
      <w:r w:rsidR="0031646B" w:rsidRPr="00C07D26">
        <w:t xml:space="preserve"> </w:t>
      </w:r>
      <w:r w:rsidR="00E011C2" w:rsidRPr="00C07D26">
        <w:t>Although some of the recent slowdown has been due to base effects</w:t>
      </w:r>
      <w:r w:rsidR="007E5327" w:rsidRPr="00C07D26">
        <w:t xml:space="preserve">, there's also evidence that </w:t>
      </w:r>
      <w:r w:rsidR="00C65403" w:rsidRPr="00C07D26">
        <w:t xml:space="preserve">pay growth </w:t>
      </w:r>
      <w:r w:rsidR="00D17150">
        <w:t xml:space="preserve">will be dragged </w:t>
      </w:r>
      <w:r w:rsidR="00A92021" w:rsidRPr="00C07D26">
        <w:t xml:space="preserve">down further as conditions in the jobs market loosen. </w:t>
      </w:r>
      <w:r w:rsidR="00C4458B" w:rsidRPr="00C07D26">
        <w:t xml:space="preserve">Together </w:t>
      </w:r>
      <w:r w:rsidR="00C352C3" w:rsidRPr="00C07D26">
        <w:t xml:space="preserve">with base effects from </w:t>
      </w:r>
      <w:r w:rsidR="00D17150">
        <w:t>the</w:t>
      </w:r>
      <w:r w:rsidR="00D17150" w:rsidRPr="00C07D26">
        <w:t xml:space="preserve"> </w:t>
      </w:r>
      <w:r w:rsidR="000F5F9E" w:rsidRPr="00C07D26">
        <w:t>large increases in regulated prices and employers' national insurance contributions</w:t>
      </w:r>
      <w:r w:rsidR="00D17150">
        <w:t xml:space="preserve"> last April</w:t>
      </w:r>
      <w:r w:rsidR="000F5F9E" w:rsidRPr="00C07D26">
        <w:t>,</w:t>
      </w:r>
      <w:r w:rsidR="00D17150">
        <w:t xml:space="preserve"> </w:t>
      </w:r>
      <w:r w:rsidR="000F5F9E" w:rsidRPr="00C07D26">
        <w:t xml:space="preserve">softer pay growth </w:t>
      </w:r>
      <w:r w:rsidR="00F21C0E" w:rsidRPr="00C07D26">
        <w:t xml:space="preserve">should contribute to a steady cooling </w:t>
      </w:r>
      <w:r w:rsidR="00AE0ACA" w:rsidRPr="00C07D26">
        <w:t>in services inflation through 2026.</w:t>
      </w:r>
    </w:p>
    <w:p w14:paraId="724A01C7" w14:textId="48B2B301" w:rsidR="00DC374A" w:rsidRPr="00C07D26" w:rsidRDefault="00CE7A42" w:rsidP="003C2E7C">
      <w:r w:rsidRPr="00C07D26">
        <w:t xml:space="preserve">Third, </w:t>
      </w:r>
      <w:r w:rsidR="00DB48B0" w:rsidRPr="00C07D26">
        <w:t>we see scope</w:t>
      </w:r>
      <w:r w:rsidR="0068716C" w:rsidRPr="00C07D26">
        <w:t xml:space="preserve"> </w:t>
      </w:r>
      <w:r w:rsidR="00ED71EB" w:rsidRPr="00C07D26">
        <w:t xml:space="preserve">for MPC </w:t>
      </w:r>
      <w:r w:rsidR="00D86F23" w:rsidRPr="00C07D26">
        <w:t xml:space="preserve">members </w:t>
      </w:r>
      <w:r w:rsidR="00ED71EB" w:rsidRPr="00C07D26">
        <w:t>to slow</w:t>
      </w:r>
      <w:r w:rsidR="004F2339" w:rsidRPr="00C07D26">
        <w:t xml:space="preserve">ly </w:t>
      </w:r>
      <w:r w:rsidR="00D86F23" w:rsidRPr="00C07D26">
        <w:t>coalesce around a</w:t>
      </w:r>
      <w:r w:rsidR="00BF21DE" w:rsidRPr="00C07D26">
        <w:t xml:space="preserve"> </w:t>
      </w:r>
      <w:r w:rsidR="001C1696" w:rsidRPr="00C07D26">
        <w:t xml:space="preserve">lower </w:t>
      </w:r>
      <w:r w:rsidR="00BF1D7F" w:rsidRPr="00C07D26">
        <w:t xml:space="preserve">estimate of the </w:t>
      </w:r>
      <w:r w:rsidR="001C1696" w:rsidRPr="00C07D26">
        <w:t>neutral policy</w:t>
      </w:r>
      <w:r w:rsidR="00BF21DE" w:rsidRPr="00C07D26">
        <w:t xml:space="preserve"> rate</w:t>
      </w:r>
      <w:r w:rsidR="00BF1D7F" w:rsidRPr="00C07D26">
        <w:t>. Financial market</w:t>
      </w:r>
      <w:r w:rsidR="00890E94" w:rsidRPr="00C07D26">
        <w:t xml:space="preserve"> pricing implies that Bank Rate will settl</w:t>
      </w:r>
      <w:r w:rsidR="00E959E1" w:rsidRPr="00C07D26">
        <w:t>e</w:t>
      </w:r>
      <w:r w:rsidR="00890E94" w:rsidRPr="00C07D26">
        <w:t xml:space="preserve"> </w:t>
      </w:r>
      <w:r w:rsidR="007B6E4A" w:rsidRPr="00C07D26">
        <w:t>around</w:t>
      </w:r>
      <w:r w:rsidR="00890E94" w:rsidRPr="00C07D26">
        <w:t xml:space="preserve"> 3.5%. But </w:t>
      </w:r>
      <w:r w:rsidR="000F053A" w:rsidRPr="00C07D26">
        <w:t xml:space="preserve">the </w:t>
      </w:r>
      <w:hyperlink r:id="rId22" w:history="1">
        <w:r w:rsidR="000F053A" w:rsidRPr="00C07D26">
          <w:rPr>
            <w:rStyle w:val="Hyperlink"/>
          </w:rPr>
          <w:t>BoE's macro models</w:t>
        </w:r>
      </w:hyperlink>
      <w:r w:rsidR="000F053A" w:rsidRPr="00C07D26">
        <w:t>, which are conditioned on inflation expectations that match the 2% target</w:t>
      </w:r>
      <w:r w:rsidR="008D7553" w:rsidRPr="00C07D26">
        <w:t xml:space="preserve">, point to a nominal neutral rate of around 3%. </w:t>
      </w:r>
      <w:r w:rsidR="005746AD" w:rsidRPr="00C07D26">
        <w:t xml:space="preserve">This is in line with the results from the </w:t>
      </w:r>
      <w:hyperlink r:id="rId23" w:history="1">
        <w:r w:rsidR="005746AD" w:rsidRPr="00C07D26">
          <w:rPr>
            <w:rStyle w:val="Hyperlink"/>
          </w:rPr>
          <w:t>BoE's</w:t>
        </w:r>
        <w:r w:rsidR="006B7AD8" w:rsidRPr="00C07D26">
          <w:rPr>
            <w:rStyle w:val="Hyperlink"/>
          </w:rPr>
          <w:t xml:space="preserve"> latest</w:t>
        </w:r>
        <w:r w:rsidR="005746AD" w:rsidRPr="00C07D26">
          <w:rPr>
            <w:rStyle w:val="Hyperlink"/>
          </w:rPr>
          <w:t xml:space="preserve"> Market Participants Survey</w:t>
        </w:r>
      </w:hyperlink>
      <w:r w:rsidR="005746AD" w:rsidRPr="00C07D26">
        <w:t xml:space="preserve">. </w:t>
      </w:r>
      <w:r w:rsidR="00185B9A" w:rsidRPr="00C07D26">
        <w:t>If</w:t>
      </w:r>
      <w:r w:rsidR="003907D4" w:rsidRPr="00C07D26">
        <w:t xml:space="preserve"> activity </w:t>
      </w:r>
      <w:r w:rsidR="00185B9A" w:rsidRPr="00C07D26">
        <w:t xml:space="preserve">growth </w:t>
      </w:r>
      <w:r w:rsidR="003907D4" w:rsidRPr="00C07D26">
        <w:t>underwhelm</w:t>
      </w:r>
      <w:r w:rsidR="00185B9A" w:rsidRPr="00C07D26">
        <w:t>s</w:t>
      </w:r>
      <w:r w:rsidR="003907D4" w:rsidRPr="00C07D26">
        <w:t xml:space="preserve">, inflation expectations fall back, </w:t>
      </w:r>
      <w:r w:rsidR="00C00B54" w:rsidRPr="00C07D26">
        <w:t xml:space="preserve">and inflation </w:t>
      </w:r>
      <w:r w:rsidR="003907D4" w:rsidRPr="00C07D26">
        <w:t>settle</w:t>
      </w:r>
      <w:r w:rsidR="00185B9A" w:rsidRPr="00C07D26">
        <w:t>s</w:t>
      </w:r>
      <w:r w:rsidR="003907D4" w:rsidRPr="00C07D26">
        <w:t xml:space="preserve"> close to target over the next couple of years</w:t>
      </w:r>
      <w:r w:rsidR="00C00B54" w:rsidRPr="00C07D26">
        <w:t xml:space="preserve">, </w:t>
      </w:r>
      <w:r w:rsidR="00185B9A" w:rsidRPr="00C07D26">
        <w:t>this would likely</w:t>
      </w:r>
      <w:r w:rsidR="008B5848" w:rsidRPr="00C07D26">
        <w:t xml:space="preserve"> </w:t>
      </w:r>
      <w:r w:rsidR="00D17150">
        <w:t>engender</w:t>
      </w:r>
      <w:r w:rsidR="003E136D" w:rsidRPr="00C07D26">
        <w:t xml:space="preserve"> confidence among committee members that neutral is below 3.5%.</w:t>
      </w:r>
    </w:p>
    <w:p w14:paraId="753C9195" w14:textId="74FAF8EE" w:rsidR="00EC018C" w:rsidRPr="00C07D26" w:rsidRDefault="00862D78" w:rsidP="003C2E7C">
      <w:r w:rsidRPr="00C07D26">
        <w:t xml:space="preserve">As a result, </w:t>
      </w:r>
      <w:r w:rsidR="00BE174A" w:rsidRPr="00C07D26">
        <w:t xml:space="preserve">we expect Bank Rate to </w:t>
      </w:r>
      <w:r w:rsidR="0041575F" w:rsidRPr="00C07D26">
        <w:t xml:space="preserve">reach </w:t>
      </w:r>
      <w:r w:rsidR="00F64118" w:rsidRPr="00C07D26">
        <w:t xml:space="preserve">3.25% by the end of </w:t>
      </w:r>
      <w:r w:rsidR="00AD51E9" w:rsidRPr="00C07D26">
        <w:t>this</w:t>
      </w:r>
      <w:r w:rsidR="00F64118" w:rsidRPr="00C07D26">
        <w:t xml:space="preserve"> year and </w:t>
      </w:r>
      <w:r w:rsidR="001C0BAB" w:rsidRPr="00C07D26">
        <w:t>3% by mid-2027</w:t>
      </w:r>
      <w:r w:rsidR="00873494" w:rsidRPr="00C07D26">
        <w:t xml:space="preserve">, </w:t>
      </w:r>
      <w:r w:rsidR="0024363B" w:rsidRPr="00C07D26">
        <w:t xml:space="preserve">some 50bps </w:t>
      </w:r>
      <w:r w:rsidR="001E1920" w:rsidRPr="00C07D26">
        <w:t>below what current market pricing implies</w:t>
      </w:r>
      <w:r w:rsidR="00434D04" w:rsidRPr="00C07D26">
        <w:t xml:space="preserve"> (</w:t>
      </w:r>
      <w:r w:rsidR="00706F42" w:rsidRPr="006C1E35">
        <w:rPr>
          <w:b/>
          <w:color w:val="003469"/>
        </w:rPr>
        <w:fldChar w:fldCharType="begin"/>
      </w:r>
      <w:r w:rsidR="006C1E35" w:rsidRPr="006C1E35">
        <w:rPr>
          <w:b/>
          <w:color w:val="003469"/>
        </w:rPr>
        <w:instrText xml:space="preserve">REF _Ref214911161 \h \* Charformat </w:instrText>
      </w:r>
      <w:r w:rsidR="006C1E35" w:rsidRPr="006C1E35">
        <w:rPr>
          <w:b/>
          <w:color w:val="003469"/>
        </w:rPr>
      </w:r>
      <w:r w:rsidR="00706F42" w:rsidRPr="006C1E35">
        <w:rPr>
          <w:b/>
          <w:color w:val="003469"/>
        </w:rPr>
        <w:fldChar w:fldCharType="separate"/>
      </w:r>
      <w:r w:rsidR="006C1E35" w:rsidRPr="006C1E35">
        <w:rPr>
          <w:b/>
          <w:color w:val="003469"/>
        </w:rPr>
        <w:t>Chart 2</w:t>
      </w:r>
      <w:r w:rsidR="00706F42" w:rsidRPr="006C1E35">
        <w:rPr>
          <w:b/>
          <w:color w:val="003469"/>
        </w:rPr>
        <w:fldChar w:fldCharType="end"/>
      </w:r>
      <w:r w:rsidR="00434D04" w:rsidRPr="00C07D26">
        <w:t>)</w:t>
      </w:r>
      <w:r w:rsidR="001E1920" w:rsidRPr="00C07D26">
        <w:t xml:space="preserve">. </w:t>
      </w:r>
      <w:r w:rsidR="00C63881" w:rsidRPr="00C07D26">
        <w:t xml:space="preserve">This </w:t>
      </w:r>
      <w:r w:rsidR="00B73184" w:rsidRPr="00C07D26">
        <w:t xml:space="preserve">should </w:t>
      </w:r>
      <w:r w:rsidR="00C53A42" w:rsidRPr="00C07D26">
        <w:t xml:space="preserve">help to </w:t>
      </w:r>
      <w:r w:rsidR="00AA70F5" w:rsidRPr="00C07D26">
        <w:t xml:space="preserve">gradually </w:t>
      </w:r>
      <w:r w:rsidR="00C53A42" w:rsidRPr="00C07D26">
        <w:t>bring short-term rate expectation</w:t>
      </w:r>
      <w:r w:rsidR="00B73184" w:rsidRPr="00C07D26">
        <w:t xml:space="preserve">s and gilt yields lower over the next </w:t>
      </w:r>
      <w:r w:rsidR="00350E36" w:rsidRPr="00C07D26">
        <w:t>couple of</w:t>
      </w:r>
      <w:r w:rsidR="00405B1B" w:rsidRPr="00C07D26">
        <w:t xml:space="preserve"> years.</w:t>
      </w:r>
    </w:p>
    <w:p w14:paraId="67376B55" w14:textId="34C51C20" w:rsidR="003C2E7C" w:rsidRPr="00C07D26" w:rsidRDefault="003C2E7C" w:rsidP="006B4D91">
      <w:pPr>
        <w:pStyle w:val="ExhibitTitle"/>
      </w:pPr>
      <w:bookmarkStart w:id="1" w:name="_Ref214911161"/>
      <w:r w:rsidRPr="00C07D26">
        <w:t xml:space="preserve">Chart </w:t>
      </w:r>
      <w:r w:rsidRPr="00C07D26">
        <w:fldChar w:fldCharType="begin"/>
      </w:r>
      <w:r w:rsidR="0052083D" w:rsidRPr="00C07D26">
        <w:instrText>SEQ CHART</w:instrText>
      </w:r>
      <w:r w:rsidRPr="00C07D26">
        <w:fldChar w:fldCharType="separate"/>
      </w:r>
      <w:r w:rsidR="00284C10" w:rsidRPr="00C07D26">
        <w:t>2</w:t>
      </w:r>
      <w:r w:rsidRPr="00C07D26">
        <w:fldChar w:fldCharType="end"/>
      </w:r>
      <w:bookmarkEnd w:id="1"/>
      <w:r w:rsidRPr="00C07D26">
        <w:t xml:space="preserve">: </w:t>
      </w:r>
      <w:r w:rsidR="00405B1B" w:rsidRPr="00C07D26">
        <w:t>We expect the MPC to cut Bank Rate to 3% by mid-2027</w:t>
      </w:r>
      <w:r w:rsidR="00B554F2" w:rsidRPr="00C07D26">
        <w:t>, below market expectations</w:t>
      </w:r>
    </w:p>
    <w:p w14:paraId="599A0BFA" w14:textId="414CEACD" w:rsidR="0052083D" w:rsidRPr="00C07D26" w:rsidRDefault="0052083D" w:rsidP="006B4D91">
      <w:pPr>
        <w:spacing w:after="0"/>
      </w:pPr>
      <w:r w:rsidRPr="00C07D26">
        <w:rPr>
          <w:noProof/>
        </w:rPr>
        <w:drawing>
          <wp:inline distT="0" distB="0" distL="0" distR="0" wp14:anchorId="3ED8A34C" wp14:editId="20493971">
            <wp:extent cx="3250933" cy="2552005"/>
            <wp:effectExtent l="0" t="0" r="6985" b="1270"/>
            <wp:docPr id="10292305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30548" name=""/>
                    <pic:cNvPicPr/>
                  </pic:nvPicPr>
                  <pic:blipFill>
                    <a:blip r:embed="rId24">
                      <a:extLst>
                        <a:ext uri="{96DAC541-7B7A-43D3-8B79-37D633B846F1}">
                          <asvg:svgBlip xmlns:asvg="http://schemas.microsoft.com/office/drawing/2016/SVG/main" r:embed="rId25"/>
                        </a:ext>
                      </a:extLst>
                    </a:blip>
                    <a:srcRect b="1799"/>
                    <a:stretch>
                      <a:fillRect/>
                    </a:stretch>
                  </pic:blipFill>
                  <pic:spPr>
                    <a:xfrm>
                      <a:off x="0" y="0"/>
                      <a:ext cx="3250933" cy="2552005"/>
                    </a:xfrm>
                    <a:prstGeom prst="rect">
                      <a:avLst/>
                    </a:prstGeom>
                  </pic:spPr>
                </pic:pic>
              </a:graphicData>
            </a:graphic>
          </wp:inline>
        </w:drawing>
      </w:r>
    </w:p>
    <w:p w14:paraId="2F5C3684" w14:textId="0D86EED1" w:rsidR="00394AC7" w:rsidRPr="00C07D26" w:rsidRDefault="0052083D" w:rsidP="006B4D91">
      <w:pPr>
        <w:pStyle w:val="ExhibitSource"/>
      </w:pPr>
      <w:r w:rsidRPr="00C07D26">
        <w:t>Sources: Oxford Economics, Haver Analytics</w:t>
      </w:r>
    </w:p>
    <w:p w14:paraId="032093D0" w14:textId="24EEA83A" w:rsidR="00493622" w:rsidRPr="00C07D26" w:rsidRDefault="00A073EB" w:rsidP="006B4D91">
      <w:pPr>
        <w:pStyle w:val="Heading3"/>
      </w:pPr>
      <w:r>
        <w:lastRenderedPageBreak/>
        <w:t>Rising</w:t>
      </w:r>
      <w:r w:rsidR="001223B5" w:rsidRPr="00C07D26">
        <w:t xml:space="preserve"> gilt issuance</w:t>
      </w:r>
      <w:r w:rsidR="008C615F" w:rsidRPr="00C07D26">
        <w:t>,</w:t>
      </w:r>
      <w:r w:rsidR="00F91AD9" w:rsidRPr="00C07D26">
        <w:t xml:space="preserve"> amid a global </w:t>
      </w:r>
      <w:r w:rsidR="008C615F" w:rsidRPr="00C07D26">
        <w:t>glut of safe assets</w:t>
      </w:r>
    </w:p>
    <w:p w14:paraId="68F36736" w14:textId="341F3B5A" w:rsidR="0038484C" w:rsidRPr="00C07D26" w:rsidRDefault="008C3004" w:rsidP="003C2E7C">
      <w:r w:rsidRPr="00C07D26">
        <w:t>Although the 10-year yield wi</w:t>
      </w:r>
      <w:r w:rsidR="000060AE" w:rsidRPr="00C07D26">
        <w:t xml:space="preserve">ll continue to be primarily driven </w:t>
      </w:r>
      <w:r w:rsidR="000C5AE7" w:rsidRPr="00C07D26">
        <w:t xml:space="preserve">by </w:t>
      </w:r>
      <w:r w:rsidR="000060AE" w:rsidRPr="00C07D26">
        <w:t xml:space="preserve">changes in short-term interest rate expectations, </w:t>
      </w:r>
      <w:r w:rsidR="000F3260" w:rsidRPr="00C07D26">
        <w:t xml:space="preserve">structural shifts in the </w:t>
      </w:r>
      <w:r w:rsidR="00733963" w:rsidRPr="00C07D26">
        <w:t xml:space="preserve">supply and demand for gilts mean </w:t>
      </w:r>
      <w:r w:rsidR="001D69A3" w:rsidRPr="00C07D26">
        <w:t xml:space="preserve">investors are now demanding </w:t>
      </w:r>
      <w:r w:rsidR="00BA1F02" w:rsidRPr="00C07D26">
        <w:t xml:space="preserve">more compensation – or higher risk premia – </w:t>
      </w:r>
      <w:r w:rsidR="002113C8" w:rsidRPr="00C07D26">
        <w:t>to buy UK government bonds</w:t>
      </w:r>
      <w:r w:rsidR="00754741" w:rsidRPr="00C07D26">
        <w:t>.</w:t>
      </w:r>
    </w:p>
    <w:p w14:paraId="1A690CAD" w14:textId="4D5A2EC7" w:rsidR="003E3E39" w:rsidRPr="00C07D26" w:rsidRDefault="00E3064A" w:rsidP="003C2E7C">
      <w:r w:rsidRPr="00C07D26">
        <w:t xml:space="preserve">Since the early 2000s, </w:t>
      </w:r>
      <w:r w:rsidR="0049300F" w:rsidRPr="00C07D26">
        <w:t>successive UK governments have run</w:t>
      </w:r>
      <w:r w:rsidR="002A70BF" w:rsidRPr="00C07D26">
        <w:t xml:space="preserve"> cyclically-adjusted</w:t>
      </w:r>
      <w:r w:rsidR="0049300F" w:rsidRPr="00C07D26">
        <w:t xml:space="preserve"> </w:t>
      </w:r>
      <w:r w:rsidR="00CA1639" w:rsidRPr="00C07D26">
        <w:t>budget</w:t>
      </w:r>
      <w:r w:rsidR="005C1B59" w:rsidRPr="00C07D26">
        <w:t xml:space="preserve"> </w:t>
      </w:r>
      <w:r w:rsidR="00A45385" w:rsidRPr="00C07D26">
        <w:t>deficits</w:t>
      </w:r>
      <w:r w:rsidR="00975507" w:rsidRPr="00C07D26">
        <w:t xml:space="preserve">. </w:t>
      </w:r>
      <w:r w:rsidR="00A939EA" w:rsidRPr="00C07D26">
        <w:t xml:space="preserve">But </w:t>
      </w:r>
      <w:r w:rsidR="00571E9F" w:rsidRPr="00C07D26">
        <w:t>a sequence of supply shocks</w:t>
      </w:r>
      <w:r w:rsidR="0073768A" w:rsidRPr="00C07D26">
        <w:t xml:space="preserve"> that have weighed on growth</w:t>
      </w:r>
      <w:r w:rsidR="00F872D5" w:rsidRPr="00C07D26">
        <w:t xml:space="preserve">, unfavourable demographics, and </w:t>
      </w:r>
      <w:r w:rsidR="002D5389" w:rsidRPr="00C07D26">
        <w:t>higher interest rates</w:t>
      </w:r>
      <w:r w:rsidR="00A17186" w:rsidRPr="00C07D26">
        <w:t xml:space="preserve">, means </w:t>
      </w:r>
      <w:r w:rsidR="00913854" w:rsidRPr="00C07D26">
        <w:t>the UK</w:t>
      </w:r>
      <w:r w:rsidR="00D236A0" w:rsidRPr="00C07D26">
        <w:t>'s budget</w:t>
      </w:r>
      <w:r w:rsidR="00C967EF" w:rsidRPr="00C07D26">
        <w:t xml:space="preserve"> deficit</w:t>
      </w:r>
      <w:r w:rsidR="00D236A0" w:rsidRPr="00C07D26">
        <w:t xml:space="preserve"> is now </w:t>
      </w:r>
      <w:r w:rsidR="00CC2A47" w:rsidRPr="00C07D26">
        <w:t xml:space="preserve">very high </w:t>
      </w:r>
      <w:r w:rsidR="00A12D83" w:rsidRPr="00C07D26">
        <w:t xml:space="preserve">for a non-crisis period and </w:t>
      </w:r>
      <w:r w:rsidR="00C967EF" w:rsidRPr="00C07D26">
        <w:t>is one of the largest in the G7.</w:t>
      </w:r>
      <w:r w:rsidR="00C732E6" w:rsidRPr="00C07D26">
        <w:t xml:space="preserve"> This has resulted in a hefty increase in </w:t>
      </w:r>
      <w:r w:rsidR="00A00DC3" w:rsidRPr="00C07D26">
        <w:t xml:space="preserve">gilt issuance </w:t>
      </w:r>
      <w:r w:rsidR="008A0A19" w:rsidRPr="00C07D26">
        <w:t>over</w:t>
      </w:r>
      <w:r w:rsidR="00A00DC3" w:rsidRPr="00C07D26">
        <w:t xml:space="preserve"> </w:t>
      </w:r>
      <w:r w:rsidR="003469CB" w:rsidRPr="00C07D26">
        <w:t>the past couple of years</w:t>
      </w:r>
      <w:r w:rsidR="00D65F97" w:rsidRPr="00C07D26">
        <w:t xml:space="preserve">, </w:t>
      </w:r>
      <w:r w:rsidR="00067596" w:rsidRPr="00C07D26">
        <w:t xml:space="preserve">which in turn has </w:t>
      </w:r>
      <w:r w:rsidR="00D65F97" w:rsidRPr="00C07D26">
        <w:t>push</w:t>
      </w:r>
      <w:r w:rsidR="007E7358" w:rsidRPr="00C07D26">
        <w:t>ed</w:t>
      </w:r>
      <w:r w:rsidR="00D65F97" w:rsidRPr="00C07D26">
        <w:t xml:space="preserve"> up yields</w:t>
      </w:r>
      <w:r w:rsidR="007C4D0F" w:rsidRPr="00C07D26">
        <w:t xml:space="preserve">. </w:t>
      </w:r>
      <w:r w:rsidR="00022483" w:rsidRPr="00C07D26">
        <w:t>As fiscal policy tightens, t</w:t>
      </w:r>
      <w:r w:rsidR="00520E37" w:rsidRPr="00C07D26">
        <w:t xml:space="preserve">he </w:t>
      </w:r>
      <w:r w:rsidR="00032697" w:rsidRPr="00C07D26">
        <w:t>OBR</w:t>
      </w:r>
      <w:r w:rsidR="00A86304" w:rsidRPr="00C07D26">
        <w:t xml:space="preserve"> project</w:t>
      </w:r>
      <w:r w:rsidR="007E7358" w:rsidRPr="00C07D26">
        <w:t>s</w:t>
      </w:r>
      <w:r w:rsidR="00A86304" w:rsidRPr="00C07D26">
        <w:t xml:space="preserve"> </w:t>
      </w:r>
      <w:r w:rsidR="00520E37" w:rsidRPr="00C07D26">
        <w:t xml:space="preserve">that </w:t>
      </w:r>
      <w:r w:rsidR="00A86304" w:rsidRPr="00C07D26">
        <w:t xml:space="preserve">net gilt issuance </w:t>
      </w:r>
      <w:r w:rsidR="00520E37" w:rsidRPr="00C07D26">
        <w:t>will</w:t>
      </w:r>
      <w:r w:rsidR="00022483" w:rsidRPr="00C07D26">
        <w:t xml:space="preserve"> </w:t>
      </w:r>
      <w:r w:rsidR="00520E37" w:rsidRPr="00C07D26">
        <w:t xml:space="preserve">fall </w:t>
      </w:r>
      <w:r w:rsidR="005C3D67" w:rsidRPr="00C07D26">
        <w:t xml:space="preserve">only </w:t>
      </w:r>
      <w:r w:rsidR="00022483" w:rsidRPr="00C07D26">
        <w:t xml:space="preserve">modestly </w:t>
      </w:r>
      <w:r w:rsidR="00520E37" w:rsidRPr="00C07D26">
        <w:t>to 4.</w:t>
      </w:r>
      <w:r w:rsidR="00472AD8" w:rsidRPr="00C07D26">
        <w:t>4</w:t>
      </w:r>
      <w:r w:rsidR="00520E37" w:rsidRPr="00C07D26">
        <w:t xml:space="preserve">% of GDP in </w:t>
      </w:r>
      <w:r w:rsidR="0040328B" w:rsidRPr="00C07D26">
        <w:t>FY2025-2026 and 3.</w:t>
      </w:r>
      <w:r w:rsidR="006B47D2" w:rsidRPr="00C07D26">
        <w:t>9</w:t>
      </w:r>
      <w:r w:rsidR="0040328B" w:rsidRPr="00C07D26">
        <w:t xml:space="preserve">% in FY2026-2027, </w:t>
      </w:r>
      <w:r w:rsidR="00C6738D" w:rsidRPr="00C07D26">
        <w:t>which</w:t>
      </w:r>
      <w:r w:rsidR="00E05EEA" w:rsidRPr="00C07D26">
        <w:t xml:space="preserve"> </w:t>
      </w:r>
      <w:r w:rsidR="00C6738D" w:rsidRPr="00C07D26">
        <w:t xml:space="preserve">would </w:t>
      </w:r>
      <w:r w:rsidR="00E05EEA" w:rsidRPr="00C07D26">
        <w:t xml:space="preserve">still </w:t>
      </w:r>
      <w:r w:rsidR="00C6738D" w:rsidRPr="00C07D26">
        <w:t xml:space="preserve">be well above </w:t>
      </w:r>
      <w:r w:rsidR="00E05EEA" w:rsidRPr="00C07D26">
        <w:t xml:space="preserve">the long-run </w:t>
      </w:r>
      <w:r w:rsidR="00955403" w:rsidRPr="00C07D26">
        <w:t>pre-pandemic average (</w:t>
      </w:r>
      <w:r w:rsidR="00706F42" w:rsidRPr="006C1E35">
        <w:rPr>
          <w:b/>
          <w:color w:val="003469"/>
        </w:rPr>
        <w:fldChar w:fldCharType="begin"/>
      </w:r>
      <w:r w:rsidR="006C1E35" w:rsidRPr="006C1E35">
        <w:rPr>
          <w:b/>
          <w:color w:val="003469"/>
        </w:rPr>
        <w:instrText xml:space="preserve">REF _Ref214911162 \h \* Charformat </w:instrText>
      </w:r>
      <w:r w:rsidR="006C1E35" w:rsidRPr="006C1E35">
        <w:rPr>
          <w:b/>
          <w:color w:val="003469"/>
        </w:rPr>
      </w:r>
      <w:r w:rsidR="00706F42" w:rsidRPr="006C1E35">
        <w:rPr>
          <w:b/>
          <w:color w:val="003469"/>
        </w:rPr>
        <w:fldChar w:fldCharType="separate"/>
      </w:r>
      <w:r w:rsidR="006C1E35" w:rsidRPr="006C1E35">
        <w:rPr>
          <w:b/>
          <w:color w:val="003469"/>
        </w:rPr>
        <w:t>Chart 3</w:t>
      </w:r>
      <w:r w:rsidR="00706F42" w:rsidRPr="006C1E35">
        <w:rPr>
          <w:b/>
          <w:color w:val="003469"/>
        </w:rPr>
        <w:fldChar w:fldCharType="end"/>
      </w:r>
      <w:r w:rsidR="00955403" w:rsidRPr="00C07D26">
        <w:t>).</w:t>
      </w:r>
    </w:p>
    <w:p w14:paraId="36E7F98E" w14:textId="61D49CD5" w:rsidR="003C2E7C" w:rsidRPr="00C07D26" w:rsidRDefault="003C2E7C" w:rsidP="006B4D91">
      <w:pPr>
        <w:pStyle w:val="ExhibitTitle"/>
      </w:pPr>
      <w:bookmarkStart w:id="2" w:name="_Ref214911162"/>
      <w:r w:rsidRPr="00C07D26">
        <w:t xml:space="preserve">Chart </w:t>
      </w:r>
      <w:r w:rsidRPr="00C07D26">
        <w:fldChar w:fldCharType="begin"/>
      </w:r>
      <w:r w:rsidR="004072FB" w:rsidRPr="00C07D26">
        <w:instrText>SEQ CHART</w:instrText>
      </w:r>
      <w:r w:rsidRPr="00C07D26">
        <w:fldChar w:fldCharType="separate"/>
      </w:r>
      <w:r w:rsidR="00284C10" w:rsidRPr="00C07D26">
        <w:t>3</w:t>
      </w:r>
      <w:r w:rsidRPr="00C07D26">
        <w:fldChar w:fldCharType="end"/>
      </w:r>
      <w:bookmarkEnd w:id="2"/>
      <w:r w:rsidRPr="00C07D26">
        <w:t xml:space="preserve">: </w:t>
      </w:r>
      <w:r w:rsidR="006C0265" w:rsidRPr="00C07D26">
        <w:t xml:space="preserve">Markets are being asked to absorb substantially more UK </w:t>
      </w:r>
      <w:r w:rsidR="00B27743" w:rsidRPr="00C07D26">
        <w:t>government debt</w:t>
      </w:r>
    </w:p>
    <w:p w14:paraId="76BF69A9" w14:textId="08F1AA92" w:rsidR="004072FB" w:rsidRPr="00C07D26" w:rsidRDefault="004072FB" w:rsidP="006B4D91">
      <w:pPr>
        <w:spacing w:after="0"/>
      </w:pPr>
      <w:r w:rsidRPr="00C07D26">
        <w:rPr>
          <w:noProof/>
        </w:rPr>
        <w:drawing>
          <wp:inline distT="0" distB="0" distL="0" distR="0" wp14:anchorId="3A294F8C" wp14:editId="4E0A3F1B">
            <wp:extent cx="3250933" cy="2553473"/>
            <wp:effectExtent l="0" t="0" r="6985" b="0"/>
            <wp:docPr id="91655408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54085" name=""/>
                    <pic:cNvPicPr/>
                  </pic:nvPicPr>
                  <pic:blipFill>
                    <a:blip r:embed="rId26">
                      <a:extLst>
                        <a:ext uri="{96DAC541-7B7A-43D3-8B79-37D633B846F1}">
                          <asvg:svgBlip xmlns:asvg="http://schemas.microsoft.com/office/drawing/2016/SVG/main" r:embed="rId27"/>
                        </a:ext>
                      </a:extLst>
                    </a:blip>
                    <a:srcRect b="1795"/>
                    <a:stretch>
                      <a:fillRect/>
                    </a:stretch>
                  </pic:blipFill>
                  <pic:spPr>
                    <a:xfrm>
                      <a:off x="0" y="0"/>
                      <a:ext cx="3250933" cy="2553473"/>
                    </a:xfrm>
                    <a:prstGeom prst="rect">
                      <a:avLst/>
                    </a:prstGeom>
                  </pic:spPr>
                </pic:pic>
              </a:graphicData>
            </a:graphic>
          </wp:inline>
        </w:drawing>
      </w:r>
    </w:p>
    <w:p w14:paraId="2B225B6A" w14:textId="7D60A868" w:rsidR="003C2E7C" w:rsidRPr="00C07D26" w:rsidRDefault="004072FB" w:rsidP="006B4D91">
      <w:pPr>
        <w:pStyle w:val="ExhibitSource"/>
      </w:pPr>
      <w:r w:rsidRPr="00C07D26">
        <w:t>Sources: Office for Budget Responsibility, Debt Management Office</w:t>
      </w:r>
    </w:p>
    <w:p w14:paraId="5E989A89" w14:textId="701A18D5" w:rsidR="00E65E3F" w:rsidRPr="00C07D26" w:rsidRDefault="009117D4" w:rsidP="003C2E7C">
      <w:r w:rsidRPr="00C07D26">
        <w:t xml:space="preserve">Prior to 2021, heavy purchases of gilts </w:t>
      </w:r>
      <w:r w:rsidR="009C4DB0" w:rsidRPr="00C07D26">
        <w:t xml:space="preserve">by the BoE </w:t>
      </w:r>
      <w:r w:rsidR="001D0660" w:rsidRPr="00C07D26">
        <w:t xml:space="preserve">limited </w:t>
      </w:r>
      <w:r w:rsidR="00B10E40" w:rsidRPr="00C07D26">
        <w:t xml:space="preserve">the level of issuance that had to be absorbed by </w:t>
      </w:r>
      <w:r w:rsidR="00A91F84" w:rsidRPr="00C07D26">
        <w:t xml:space="preserve">private sector </w:t>
      </w:r>
      <w:r w:rsidR="00B10E40" w:rsidRPr="00C07D26">
        <w:t>market participants</w:t>
      </w:r>
      <w:r w:rsidR="00572725" w:rsidRPr="00C07D26">
        <w:t xml:space="preserve">. </w:t>
      </w:r>
      <w:r w:rsidR="00034D8E" w:rsidRPr="00C07D26">
        <w:t xml:space="preserve">This </w:t>
      </w:r>
      <w:r w:rsidR="0029267A">
        <w:t>depressed</w:t>
      </w:r>
      <w:r w:rsidR="00034D8E" w:rsidRPr="00C07D26">
        <w:t xml:space="preserve"> term premia</w:t>
      </w:r>
      <w:r w:rsidR="00FC7EA7" w:rsidRPr="00C07D26">
        <w:t xml:space="preserve">. </w:t>
      </w:r>
      <w:r w:rsidR="007068FB" w:rsidRPr="00C07D26">
        <w:t xml:space="preserve">But we're now in a period of heavier issuance </w:t>
      </w:r>
      <w:r w:rsidR="00514090" w:rsidRPr="00C07D26">
        <w:t xml:space="preserve">as the BoE's purchases are being unwound via </w:t>
      </w:r>
      <w:r w:rsidR="009B3455" w:rsidRPr="00C07D26">
        <w:t xml:space="preserve">its </w:t>
      </w:r>
      <w:r w:rsidR="00514090" w:rsidRPr="00C07D26">
        <w:t>quantitative tightening</w:t>
      </w:r>
      <w:r w:rsidR="009B3455" w:rsidRPr="00C07D26">
        <w:t xml:space="preserve"> programme</w:t>
      </w:r>
      <w:r w:rsidR="0036201A" w:rsidRPr="00C07D26">
        <w:t xml:space="preserve">. </w:t>
      </w:r>
      <w:r w:rsidR="0095022E" w:rsidRPr="00C07D26">
        <w:t xml:space="preserve">This </w:t>
      </w:r>
      <w:r w:rsidR="009512F4">
        <w:t xml:space="preserve">means </w:t>
      </w:r>
      <w:r w:rsidR="005A7196" w:rsidRPr="00C07D26">
        <w:t xml:space="preserve">markets </w:t>
      </w:r>
      <w:r w:rsidR="009512F4">
        <w:t xml:space="preserve">have </w:t>
      </w:r>
      <w:r w:rsidR="005A7196" w:rsidRPr="00C07D26">
        <w:t xml:space="preserve">a </w:t>
      </w:r>
      <w:r w:rsidR="00EA0EF8" w:rsidRPr="00C07D26">
        <w:t>much</w:t>
      </w:r>
      <w:r w:rsidR="005A7196" w:rsidRPr="00C07D26">
        <w:t xml:space="preserve"> greater </w:t>
      </w:r>
      <w:r w:rsidR="00DB1AD5" w:rsidRPr="00C07D26">
        <w:t xml:space="preserve">supply of gilts </w:t>
      </w:r>
      <w:r w:rsidR="009512F4" w:rsidRPr="00C07D26">
        <w:t xml:space="preserve">to digest </w:t>
      </w:r>
      <w:r w:rsidR="00DB1AD5" w:rsidRPr="00C07D26">
        <w:t>than in the past</w:t>
      </w:r>
      <w:r w:rsidR="0049652E" w:rsidRPr="00C07D26">
        <w:t xml:space="preserve"> (</w:t>
      </w:r>
      <w:r w:rsidR="00706F42" w:rsidRPr="006C1E35">
        <w:rPr>
          <w:b/>
          <w:color w:val="003469"/>
        </w:rPr>
        <w:fldChar w:fldCharType="begin"/>
      </w:r>
      <w:r w:rsidR="006C1E35" w:rsidRPr="006C1E35">
        <w:rPr>
          <w:b/>
          <w:color w:val="003469"/>
        </w:rPr>
        <w:instrText xml:space="preserve">REF _Ref214911162 \h \* Charformat </w:instrText>
      </w:r>
      <w:r w:rsidR="006C1E35" w:rsidRPr="006C1E35">
        <w:rPr>
          <w:b/>
          <w:color w:val="003469"/>
        </w:rPr>
      </w:r>
      <w:r w:rsidR="00706F42" w:rsidRPr="006C1E35">
        <w:rPr>
          <w:b/>
          <w:color w:val="003469"/>
        </w:rPr>
        <w:fldChar w:fldCharType="separate"/>
      </w:r>
      <w:r w:rsidR="006C1E35" w:rsidRPr="006C1E35">
        <w:rPr>
          <w:b/>
          <w:color w:val="003469"/>
        </w:rPr>
        <w:t>Chart 3</w:t>
      </w:r>
      <w:r w:rsidR="00706F42" w:rsidRPr="006C1E35">
        <w:rPr>
          <w:b/>
          <w:color w:val="003469"/>
        </w:rPr>
        <w:fldChar w:fldCharType="end"/>
      </w:r>
      <w:r w:rsidR="0049652E" w:rsidRPr="00C07D26">
        <w:t>)</w:t>
      </w:r>
      <w:r w:rsidR="00142370" w:rsidRPr="00C07D26">
        <w:t xml:space="preserve">. So for markets to clear, </w:t>
      </w:r>
      <w:r w:rsidR="008740A0" w:rsidRPr="00C07D26">
        <w:t>investors</w:t>
      </w:r>
      <w:r w:rsidR="00142370" w:rsidRPr="00C07D26">
        <w:t xml:space="preserve"> are </w:t>
      </w:r>
      <w:r w:rsidR="00217A9A" w:rsidRPr="00C07D26">
        <w:t xml:space="preserve">now </w:t>
      </w:r>
      <w:r w:rsidR="00142370" w:rsidRPr="00C07D26">
        <w:t xml:space="preserve">demanding </w:t>
      </w:r>
      <w:r w:rsidR="00217A9A" w:rsidRPr="00C07D26">
        <w:t xml:space="preserve">higher yields </w:t>
      </w:r>
      <w:r w:rsidR="00F63AE9" w:rsidRPr="00C07D26">
        <w:t>to compensate for this additional burden.</w:t>
      </w:r>
    </w:p>
    <w:p w14:paraId="5EBF0401" w14:textId="1F14CF1D" w:rsidR="009D4F2F" w:rsidRPr="00C07D26" w:rsidRDefault="009D4F2F" w:rsidP="003C2E7C">
      <w:r w:rsidRPr="00C07D26">
        <w:t xml:space="preserve">As </w:t>
      </w:r>
      <w:r w:rsidR="006F5813" w:rsidRPr="00C07D26">
        <w:t>the BoE</w:t>
      </w:r>
      <w:r w:rsidR="00E57784" w:rsidRPr="00C07D26">
        <w:t xml:space="preserve"> conducts QT </w:t>
      </w:r>
      <w:r w:rsidR="0053301E" w:rsidRPr="00C07D26">
        <w:t xml:space="preserve">in a way that doesn't communicate changes to future Bank Rate, any impact of QT on gilt yields </w:t>
      </w:r>
      <w:r w:rsidR="00F0020A" w:rsidRPr="00C07D26">
        <w:t>will</w:t>
      </w:r>
      <w:r w:rsidR="0053301E" w:rsidRPr="00C07D26">
        <w:t xml:space="preserve"> come through higher term premia.</w:t>
      </w:r>
      <w:r w:rsidR="00E57784" w:rsidRPr="00C07D26">
        <w:t xml:space="preserve"> </w:t>
      </w:r>
      <w:r w:rsidR="00CB0B0B" w:rsidRPr="00C07D26">
        <w:t xml:space="preserve">The </w:t>
      </w:r>
      <w:hyperlink r:id="rId28" w:history="1">
        <w:r w:rsidR="00CB0B0B" w:rsidRPr="00C07D26">
          <w:rPr>
            <w:rStyle w:val="Hyperlink"/>
          </w:rPr>
          <w:t>BoE's annual review of its QT programme</w:t>
        </w:r>
      </w:hyperlink>
      <w:r w:rsidR="00CB0B0B" w:rsidRPr="00C07D26">
        <w:t xml:space="preserve"> </w:t>
      </w:r>
      <w:r w:rsidR="008D1E29" w:rsidRPr="00C07D26">
        <w:t>argued</w:t>
      </w:r>
      <w:r w:rsidR="006019CD" w:rsidRPr="00C07D26">
        <w:t xml:space="preserve"> that </w:t>
      </w:r>
      <w:r w:rsidR="00726D14" w:rsidRPr="00C07D26">
        <w:t xml:space="preserve">the impact of QT on term premia had </w:t>
      </w:r>
      <w:r w:rsidR="0095071B" w:rsidRPr="00C07D26">
        <w:t xml:space="preserve">resulted in a 15bp-25bp increase in yields since 2022. </w:t>
      </w:r>
      <w:r w:rsidR="007A4259" w:rsidRPr="00C07D26">
        <w:t>Looking ahead, t</w:t>
      </w:r>
      <w:r w:rsidR="000A04D6" w:rsidRPr="00C07D26">
        <w:t xml:space="preserve">he BoE's </w:t>
      </w:r>
      <w:hyperlink r:id="rId29" w:history="1">
        <w:r w:rsidR="000A04D6" w:rsidRPr="00C07D26">
          <w:rPr>
            <w:rStyle w:val="Hyperlink"/>
          </w:rPr>
          <w:t>latest MaP survey</w:t>
        </w:r>
      </w:hyperlink>
      <w:r w:rsidR="000A04D6" w:rsidRPr="00C07D26">
        <w:t xml:space="preserve"> </w:t>
      </w:r>
      <w:r w:rsidR="007637AD" w:rsidRPr="00C07D26">
        <w:t xml:space="preserve">suggests </w:t>
      </w:r>
      <w:r w:rsidR="006754D8" w:rsidRPr="00C07D26">
        <w:t xml:space="preserve">active gilt sales will only </w:t>
      </w:r>
      <w:r w:rsidR="00353318" w:rsidRPr="00C07D26">
        <w:t>comprise</w:t>
      </w:r>
      <w:r w:rsidR="008C7B2A" w:rsidRPr="00C07D26">
        <w:t xml:space="preserve"> a small </w:t>
      </w:r>
      <w:r w:rsidR="00DD437B" w:rsidRPr="00C07D26">
        <w:t>part</w:t>
      </w:r>
      <w:r w:rsidR="008C7B2A" w:rsidRPr="00C07D26">
        <w:t xml:space="preserve"> of </w:t>
      </w:r>
      <w:r w:rsidR="00954442" w:rsidRPr="00C07D26">
        <w:t>QT</w:t>
      </w:r>
      <w:r w:rsidR="008C7B2A" w:rsidRPr="00C07D26">
        <w:t xml:space="preserve"> </w:t>
      </w:r>
      <w:r w:rsidR="00954442" w:rsidRPr="00C07D26">
        <w:t>over</w:t>
      </w:r>
      <w:r w:rsidR="00852289" w:rsidRPr="00C07D26">
        <w:t xml:space="preserve"> the coming years</w:t>
      </w:r>
      <w:r w:rsidR="008D1E29" w:rsidRPr="00C07D26">
        <w:t xml:space="preserve">, so </w:t>
      </w:r>
      <w:r w:rsidR="00F0020A" w:rsidRPr="00C07D26">
        <w:t>any additional</w:t>
      </w:r>
      <w:r w:rsidR="008D1E29" w:rsidRPr="00C07D26">
        <w:t xml:space="preserve"> upward pressure on term premia is likely to be limited</w:t>
      </w:r>
      <w:r w:rsidR="00F0020A" w:rsidRPr="00C07D26">
        <w:t>.</w:t>
      </w:r>
    </w:p>
    <w:p w14:paraId="4A4A87B9" w14:textId="63AF121D" w:rsidR="00990230" w:rsidRPr="00C07D26" w:rsidRDefault="00A6623A" w:rsidP="003C2E7C">
      <w:r>
        <w:t>What's more, t</w:t>
      </w:r>
      <w:r w:rsidR="00320CF4" w:rsidRPr="00C07D26">
        <w:t xml:space="preserve">he UK hasn't been alone in </w:t>
      </w:r>
      <w:r w:rsidR="00F672DE" w:rsidRPr="00C07D26">
        <w:t xml:space="preserve">delivering a </w:t>
      </w:r>
      <w:r w:rsidR="0013748C" w:rsidRPr="00C07D26">
        <w:t>large</w:t>
      </w:r>
      <w:r w:rsidR="00F672DE" w:rsidRPr="00C07D26">
        <w:t xml:space="preserve"> increase in government bond issuance. </w:t>
      </w:r>
      <w:r w:rsidR="00990230" w:rsidRPr="00C07D26">
        <w:t>Since 2022</w:t>
      </w:r>
      <w:r w:rsidR="00587F8C" w:rsidRPr="00C07D26">
        <w:t xml:space="preserve">, </w:t>
      </w:r>
      <w:r w:rsidR="00101A3C" w:rsidRPr="00C07D26">
        <w:t>the</w:t>
      </w:r>
      <w:r w:rsidR="00842891">
        <w:t xml:space="preserve"> global</w:t>
      </w:r>
      <w:r w:rsidR="00101A3C" w:rsidRPr="00C07D26">
        <w:t xml:space="preserve"> supply of highly-rated government debt</w:t>
      </w:r>
      <w:r w:rsidR="00842891" w:rsidRPr="00842891">
        <w:t xml:space="preserve"> </w:t>
      </w:r>
      <w:r w:rsidR="00842891">
        <w:t>has</w:t>
      </w:r>
      <w:r w:rsidR="00842891" w:rsidRPr="00C07D26">
        <w:t xml:space="preserve"> rise</w:t>
      </w:r>
      <w:r w:rsidR="00842891">
        <w:t>n</w:t>
      </w:r>
      <w:r w:rsidR="00842891" w:rsidRPr="00C07D26">
        <w:t xml:space="preserve"> </w:t>
      </w:r>
      <w:r w:rsidR="00842891">
        <w:t>sharply</w:t>
      </w:r>
      <w:r w:rsidR="00101A3C" w:rsidRPr="00C07D26">
        <w:t xml:space="preserve">. </w:t>
      </w:r>
      <w:r w:rsidR="00FE3471" w:rsidRPr="00C07D26">
        <w:t xml:space="preserve">By 2030, we expect the supply of 'safe' government </w:t>
      </w:r>
      <w:r w:rsidR="00437A52" w:rsidRPr="00C07D26">
        <w:t xml:space="preserve">bonds, net of central bank flows, to rise by </w:t>
      </w:r>
      <w:r w:rsidR="004C3D32" w:rsidRPr="00C07D26">
        <w:t>4.</w:t>
      </w:r>
      <w:r w:rsidR="007451BA" w:rsidRPr="00C07D26">
        <w:t>6</w:t>
      </w:r>
      <w:r w:rsidR="004C3D32" w:rsidRPr="00C07D26">
        <w:t>% of global GDP</w:t>
      </w:r>
      <w:r w:rsidR="000A1F3D" w:rsidRPr="00C07D26">
        <w:t xml:space="preserve">. That would bring net supply to </w:t>
      </w:r>
      <w:r w:rsidR="00352877" w:rsidRPr="00C07D26">
        <w:t>33.</w:t>
      </w:r>
      <w:r w:rsidR="007451BA" w:rsidRPr="00C07D26">
        <w:t>1</w:t>
      </w:r>
      <w:r w:rsidR="00352877" w:rsidRPr="00C07D26">
        <w:t>% of global GDP</w:t>
      </w:r>
      <w:r w:rsidR="00D73011">
        <w:t xml:space="preserve"> –</w:t>
      </w:r>
      <w:r w:rsidR="008E7717" w:rsidRPr="00C07D26">
        <w:t xml:space="preserve"> </w:t>
      </w:r>
      <w:r w:rsidR="00862800" w:rsidRPr="00C07D26">
        <w:t xml:space="preserve">much higher than the levels seen since the </w:t>
      </w:r>
      <w:r w:rsidR="00D73011">
        <w:t>g</w:t>
      </w:r>
      <w:r w:rsidR="00D73011" w:rsidRPr="00C07D26">
        <w:t xml:space="preserve">lobal </w:t>
      </w:r>
      <w:r w:rsidR="00D73011">
        <w:t>f</w:t>
      </w:r>
      <w:r w:rsidR="00D73011" w:rsidRPr="00C07D26">
        <w:t xml:space="preserve">inancial </w:t>
      </w:r>
      <w:r w:rsidR="00D73011">
        <w:t>c</w:t>
      </w:r>
      <w:r w:rsidR="00D73011" w:rsidRPr="00C07D26">
        <w:t xml:space="preserve">risis </w:t>
      </w:r>
      <w:r w:rsidR="00CB3B56" w:rsidRPr="00C07D26">
        <w:t>(</w:t>
      </w:r>
      <w:r w:rsidR="00706F42" w:rsidRPr="006C1E35">
        <w:rPr>
          <w:b/>
          <w:color w:val="003469"/>
        </w:rPr>
        <w:fldChar w:fldCharType="begin"/>
      </w:r>
      <w:r w:rsidR="006C1E35" w:rsidRPr="006C1E35">
        <w:rPr>
          <w:b/>
          <w:color w:val="003469"/>
        </w:rPr>
        <w:instrText xml:space="preserve">REF _Ref214911163 \h \* Charformat </w:instrText>
      </w:r>
      <w:r w:rsidR="006C1E35" w:rsidRPr="006C1E35">
        <w:rPr>
          <w:b/>
          <w:color w:val="003469"/>
        </w:rPr>
      </w:r>
      <w:r w:rsidR="00706F42" w:rsidRPr="006C1E35">
        <w:rPr>
          <w:b/>
          <w:color w:val="003469"/>
        </w:rPr>
        <w:fldChar w:fldCharType="separate"/>
      </w:r>
      <w:r w:rsidR="006C1E35" w:rsidRPr="006C1E35">
        <w:rPr>
          <w:b/>
          <w:color w:val="003469"/>
        </w:rPr>
        <w:t>Chart 4</w:t>
      </w:r>
      <w:r w:rsidR="00706F42" w:rsidRPr="006C1E35">
        <w:rPr>
          <w:b/>
          <w:color w:val="003469"/>
        </w:rPr>
        <w:fldChar w:fldCharType="end"/>
      </w:r>
      <w:r w:rsidR="00CB3B56" w:rsidRPr="00C07D26">
        <w:t>)</w:t>
      </w:r>
      <w:r w:rsidR="00862800" w:rsidRPr="00C07D26">
        <w:t>.</w:t>
      </w:r>
      <w:r w:rsidR="001F0F2A" w:rsidRPr="00C07D26">
        <w:t xml:space="preserve"> With </w:t>
      </w:r>
      <w:r w:rsidR="00221E92" w:rsidRPr="00C07D26">
        <w:t xml:space="preserve">high issuance a global phenomenon, </w:t>
      </w:r>
      <w:r w:rsidR="006B1B18" w:rsidRPr="00C07D26">
        <w:t xml:space="preserve">investors are increasingly </w:t>
      </w:r>
      <w:r w:rsidR="008740A0" w:rsidRPr="00C07D26">
        <w:t>requiring</w:t>
      </w:r>
      <w:r w:rsidR="006B1B18" w:rsidRPr="00C07D26">
        <w:t xml:space="preserve"> </w:t>
      </w:r>
      <w:r w:rsidR="000C2DDA" w:rsidRPr="00C07D26">
        <w:t xml:space="preserve">higher risk premia for holding long-term debt, particularly for economies </w:t>
      </w:r>
      <w:r w:rsidR="009D4B8F">
        <w:t>where</w:t>
      </w:r>
      <w:r w:rsidR="009F7FE8">
        <w:t xml:space="preserve"> </w:t>
      </w:r>
      <w:r w:rsidR="00302DE4">
        <w:t>concerns</w:t>
      </w:r>
      <w:r w:rsidR="00302DE4" w:rsidRPr="00C07D26">
        <w:t xml:space="preserve"> </w:t>
      </w:r>
      <w:r w:rsidR="000C2DDA" w:rsidRPr="00C07D26">
        <w:t>about fiscal sustainability linger.</w:t>
      </w:r>
    </w:p>
    <w:p w14:paraId="154C57EE" w14:textId="12D25770" w:rsidR="00C20872" w:rsidRPr="00C07D26" w:rsidRDefault="00C20872" w:rsidP="006B4D91">
      <w:pPr>
        <w:pStyle w:val="ExhibitTitle"/>
      </w:pPr>
      <w:bookmarkStart w:id="3" w:name="_Ref214911163"/>
      <w:r w:rsidRPr="00C07D26">
        <w:lastRenderedPageBreak/>
        <w:t xml:space="preserve">Chart </w:t>
      </w:r>
      <w:r w:rsidRPr="00C07D26">
        <w:fldChar w:fldCharType="begin"/>
      </w:r>
      <w:r w:rsidR="00284C10" w:rsidRPr="00C07D26">
        <w:instrText>SEQ CHART</w:instrText>
      </w:r>
      <w:r w:rsidRPr="00C07D26">
        <w:fldChar w:fldCharType="separate"/>
      </w:r>
      <w:r w:rsidR="00284C10" w:rsidRPr="00C07D26">
        <w:t>4</w:t>
      </w:r>
      <w:r w:rsidRPr="00C07D26">
        <w:fldChar w:fldCharType="end"/>
      </w:r>
      <w:bookmarkEnd w:id="3"/>
      <w:r w:rsidRPr="00C07D26">
        <w:t xml:space="preserve">: </w:t>
      </w:r>
      <w:r w:rsidR="006562AB" w:rsidRPr="00C07D26">
        <w:t xml:space="preserve">The net supply of safe </w:t>
      </w:r>
      <w:r w:rsidR="0066148D" w:rsidRPr="00C07D26">
        <w:t>globally is set to rise considerably</w:t>
      </w:r>
    </w:p>
    <w:p w14:paraId="16860784" w14:textId="279D4D14" w:rsidR="00284C10" w:rsidRPr="00C07D26" w:rsidRDefault="00284C10" w:rsidP="006B4D91">
      <w:pPr>
        <w:spacing w:after="0"/>
      </w:pPr>
      <w:r w:rsidRPr="00C07D26">
        <w:rPr>
          <w:noProof/>
        </w:rPr>
        <w:drawing>
          <wp:inline distT="0" distB="0" distL="0" distR="0" wp14:anchorId="58A2B7E1" wp14:editId="4B50C8E8">
            <wp:extent cx="3250933" cy="2552005"/>
            <wp:effectExtent l="0" t="0" r="6985" b="1270"/>
            <wp:docPr id="17175951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95140" name=""/>
                    <pic:cNvPicPr/>
                  </pic:nvPicPr>
                  <pic:blipFill>
                    <a:blip r:embed="rId30">
                      <a:extLst>
                        <a:ext uri="{96DAC541-7B7A-43D3-8B79-37D633B846F1}">
                          <asvg:svgBlip xmlns:asvg="http://schemas.microsoft.com/office/drawing/2016/SVG/main" r:embed="rId31"/>
                        </a:ext>
                      </a:extLst>
                    </a:blip>
                    <a:srcRect b="1799"/>
                    <a:stretch>
                      <a:fillRect/>
                    </a:stretch>
                  </pic:blipFill>
                  <pic:spPr>
                    <a:xfrm>
                      <a:off x="0" y="0"/>
                      <a:ext cx="3250933" cy="2552005"/>
                    </a:xfrm>
                    <a:prstGeom prst="rect">
                      <a:avLst/>
                    </a:prstGeom>
                  </pic:spPr>
                </pic:pic>
              </a:graphicData>
            </a:graphic>
          </wp:inline>
        </w:drawing>
      </w:r>
    </w:p>
    <w:p w14:paraId="3F12CC19" w14:textId="6520543D" w:rsidR="00C20872" w:rsidRPr="00C07D26" w:rsidRDefault="00284C10" w:rsidP="006B4D91">
      <w:pPr>
        <w:pStyle w:val="ExhibitSource"/>
      </w:pPr>
      <w:r w:rsidRPr="00C07D26">
        <w:t>Sources: Oxford Economics, Haver Analytics</w:t>
      </w:r>
    </w:p>
    <w:p w14:paraId="1C812362" w14:textId="04ED47F8" w:rsidR="004816EA" w:rsidRPr="00C07D26" w:rsidRDefault="004670F2" w:rsidP="006B4D91">
      <w:pPr>
        <w:pStyle w:val="Heading3"/>
      </w:pPr>
      <w:r w:rsidRPr="00C07D26">
        <w:t xml:space="preserve">Rotating sector and maturity demand </w:t>
      </w:r>
      <w:r w:rsidR="00826AE2" w:rsidRPr="00C07D26">
        <w:t xml:space="preserve">point to </w:t>
      </w:r>
      <w:r w:rsidR="00544670" w:rsidRPr="00C07D26">
        <w:t xml:space="preserve">gilt </w:t>
      </w:r>
      <w:r w:rsidR="00826AE2" w:rsidRPr="00C07D26">
        <w:t xml:space="preserve">buyers becoming more </w:t>
      </w:r>
      <w:r w:rsidR="001E3D6F" w:rsidRPr="00C07D26">
        <w:t>price-sensitive</w:t>
      </w:r>
    </w:p>
    <w:p w14:paraId="79783F8A" w14:textId="75161B86" w:rsidR="0021456E" w:rsidRPr="00C07D26" w:rsidRDefault="00AB7668" w:rsidP="003C2E7C">
      <w:r w:rsidRPr="00C07D26">
        <w:t>UK</w:t>
      </w:r>
      <w:r w:rsidR="00411D7A" w:rsidRPr="00C07D26">
        <w:t xml:space="preserve"> defined benefit </w:t>
      </w:r>
      <w:r w:rsidR="008237B9">
        <w:t xml:space="preserve">(DB) </w:t>
      </w:r>
      <w:r w:rsidR="00525064" w:rsidRPr="00C07D26">
        <w:t>pension schemes</w:t>
      </w:r>
      <w:r w:rsidR="00D51023" w:rsidRPr="00C07D26">
        <w:t xml:space="preserve"> </w:t>
      </w:r>
      <w:r w:rsidR="00525064" w:rsidRPr="00C07D26">
        <w:t xml:space="preserve">have traditionally been major </w:t>
      </w:r>
      <w:r w:rsidR="00CD598A" w:rsidRPr="00C07D26">
        <w:t>price-in</w:t>
      </w:r>
      <w:r w:rsidR="00AB7124" w:rsidRPr="00C07D26">
        <w:t xml:space="preserve">elastic </w:t>
      </w:r>
      <w:r w:rsidR="00525064" w:rsidRPr="00C07D26">
        <w:t xml:space="preserve">purchasers of </w:t>
      </w:r>
      <w:r w:rsidR="003F71DA" w:rsidRPr="00C07D26">
        <w:t xml:space="preserve">gilts, particularly at the longer </w:t>
      </w:r>
      <w:r w:rsidR="00E4453D" w:rsidRPr="00C07D26">
        <w:t xml:space="preserve">end of the curve, </w:t>
      </w:r>
      <w:r w:rsidR="0006734F">
        <w:t>which they use</w:t>
      </w:r>
      <w:r w:rsidR="00E4453D" w:rsidRPr="00C07D26">
        <w:t xml:space="preserve"> as a tool to hedge long-term liabilities. </w:t>
      </w:r>
      <w:r w:rsidR="00C14B9B" w:rsidRPr="00C07D26">
        <w:t xml:space="preserve">However, the share of gilts held by pension funds and </w:t>
      </w:r>
      <w:r w:rsidR="00E13362" w:rsidRPr="00C07D26">
        <w:t xml:space="preserve">insurance companies domestically has fallen </w:t>
      </w:r>
      <w:r w:rsidR="003445D8" w:rsidRPr="00C07D26">
        <w:t xml:space="preserve">to a little over 20%, from </w:t>
      </w:r>
      <w:r w:rsidR="00CC7715" w:rsidRPr="00C07D26">
        <w:t xml:space="preserve">around 70% in the early 2000s </w:t>
      </w:r>
      <w:r w:rsidR="00C50CAA" w:rsidRPr="00C07D26">
        <w:t>(</w:t>
      </w:r>
      <w:r w:rsidR="00706F42" w:rsidRPr="006C1E35">
        <w:rPr>
          <w:b/>
          <w:color w:val="003469"/>
        </w:rPr>
        <w:fldChar w:fldCharType="begin"/>
      </w:r>
      <w:r w:rsidR="006C1E35" w:rsidRPr="006C1E35">
        <w:rPr>
          <w:b/>
          <w:color w:val="003469"/>
        </w:rPr>
        <w:instrText xml:space="preserve">REF _Ref214911164 \h \* Charformat </w:instrText>
      </w:r>
      <w:r w:rsidR="006C1E35" w:rsidRPr="006C1E35">
        <w:rPr>
          <w:b/>
          <w:color w:val="003469"/>
        </w:rPr>
      </w:r>
      <w:r w:rsidR="00706F42" w:rsidRPr="006C1E35">
        <w:rPr>
          <w:b/>
          <w:color w:val="003469"/>
        </w:rPr>
        <w:fldChar w:fldCharType="separate"/>
      </w:r>
      <w:r w:rsidR="006C1E35" w:rsidRPr="006C1E35">
        <w:rPr>
          <w:b/>
          <w:color w:val="003469"/>
        </w:rPr>
        <w:t>Chart 5</w:t>
      </w:r>
      <w:r w:rsidR="00706F42" w:rsidRPr="006C1E35">
        <w:rPr>
          <w:b/>
          <w:color w:val="003469"/>
        </w:rPr>
        <w:fldChar w:fldCharType="end"/>
      </w:r>
      <w:r w:rsidR="00C50CAA" w:rsidRPr="00C07D26">
        <w:t>)</w:t>
      </w:r>
      <w:r w:rsidR="00CC7715" w:rsidRPr="00C07D26">
        <w:t xml:space="preserve">. </w:t>
      </w:r>
      <w:r w:rsidR="00786ABB" w:rsidRPr="00C07D26">
        <w:t xml:space="preserve">This reflects </w:t>
      </w:r>
      <w:r w:rsidR="001E07F8" w:rsidRPr="00C07D26">
        <w:t xml:space="preserve">a tapering off of gilt demand as many </w:t>
      </w:r>
      <w:r w:rsidR="00E7765E" w:rsidRPr="00C07D26">
        <w:t xml:space="preserve">schemes </w:t>
      </w:r>
      <w:r w:rsidR="003732F2" w:rsidRPr="00C07D26">
        <w:t xml:space="preserve">are now closed to new </w:t>
      </w:r>
      <w:r w:rsidR="001E07F8" w:rsidRPr="00C07D26">
        <w:t>members</w:t>
      </w:r>
      <w:r w:rsidR="003732F2" w:rsidRPr="00C07D26">
        <w:t xml:space="preserve"> and have moved into surplus</w:t>
      </w:r>
      <w:r w:rsidR="00525AB0" w:rsidRPr="00C07D26">
        <w:t>.</w:t>
      </w:r>
    </w:p>
    <w:p w14:paraId="4E061655" w14:textId="051393F7" w:rsidR="00C20872" w:rsidRPr="00C07D26" w:rsidRDefault="00C20872" w:rsidP="006B4D91">
      <w:pPr>
        <w:pStyle w:val="ExhibitTitle"/>
      </w:pPr>
      <w:bookmarkStart w:id="4" w:name="_Ref214911164"/>
      <w:r w:rsidRPr="00C07D26">
        <w:t xml:space="preserve">Chart </w:t>
      </w:r>
      <w:r w:rsidRPr="00C07D26">
        <w:fldChar w:fldCharType="begin"/>
      </w:r>
      <w:r w:rsidR="00706F42" w:rsidRPr="00C07D26">
        <w:instrText>SEQ CHART</w:instrText>
      </w:r>
      <w:r w:rsidRPr="00C07D26">
        <w:fldChar w:fldCharType="separate"/>
      </w:r>
      <w:r w:rsidR="00284C10" w:rsidRPr="00C07D26">
        <w:t>5</w:t>
      </w:r>
      <w:r w:rsidRPr="00C07D26">
        <w:fldChar w:fldCharType="end"/>
      </w:r>
      <w:bookmarkEnd w:id="4"/>
      <w:r w:rsidRPr="00C07D26">
        <w:t xml:space="preserve">: </w:t>
      </w:r>
      <w:r w:rsidR="00DA477A" w:rsidRPr="00C07D26">
        <w:t>P</w:t>
      </w:r>
      <w:r w:rsidR="005D2509" w:rsidRPr="00C07D26">
        <w:t xml:space="preserve">ension schemes and insurance </w:t>
      </w:r>
      <w:r w:rsidR="00905A5A" w:rsidRPr="00C07D26">
        <w:t>firms</w:t>
      </w:r>
      <w:r w:rsidR="005D2509" w:rsidRPr="00C07D26">
        <w:t xml:space="preserve"> </w:t>
      </w:r>
      <w:r w:rsidR="00DA477A" w:rsidRPr="00C07D26">
        <w:t>account for a shrinking share of gilt holdings</w:t>
      </w:r>
    </w:p>
    <w:p w14:paraId="17F90D79" w14:textId="6BFC368A" w:rsidR="009811A3" w:rsidRPr="00C07D26" w:rsidRDefault="009811A3" w:rsidP="006B4D91">
      <w:pPr>
        <w:spacing w:after="0"/>
      </w:pPr>
      <w:r w:rsidRPr="00C07D26">
        <w:rPr>
          <w:noProof/>
        </w:rPr>
        <w:drawing>
          <wp:inline distT="0" distB="0" distL="0" distR="0" wp14:anchorId="45C535A2" wp14:editId="09D2F15A">
            <wp:extent cx="3250933" cy="2541433"/>
            <wp:effectExtent l="0" t="0" r="6985" b="0"/>
            <wp:docPr id="210632531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25316" name=""/>
                    <pic:cNvPicPr/>
                  </pic:nvPicPr>
                  <pic:blipFill>
                    <a:blip r:embed="rId32">
                      <a:extLst>
                        <a:ext uri="{96DAC541-7B7A-43D3-8B79-37D633B846F1}">
                          <asvg:svgBlip xmlns:asvg="http://schemas.microsoft.com/office/drawing/2016/SVG/main" r:embed="rId33"/>
                        </a:ext>
                      </a:extLst>
                    </a:blip>
                    <a:srcRect b="2283"/>
                    <a:stretch>
                      <a:fillRect/>
                    </a:stretch>
                  </pic:blipFill>
                  <pic:spPr>
                    <a:xfrm>
                      <a:off x="0" y="0"/>
                      <a:ext cx="3250933" cy="2541433"/>
                    </a:xfrm>
                    <a:prstGeom prst="rect">
                      <a:avLst/>
                    </a:prstGeom>
                  </pic:spPr>
                </pic:pic>
              </a:graphicData>
            </a:graphic>
          </wp:inline>
        </w:drawing>
      </w:r>
    </w:p>
    <w:p w14:paraId="68798324" w14:textId="78CE6168" w:rsidR="00C20872" w:rsidRPr="00C07D26" w:rsidRDefault="009811A3" w:rsidP="006B4D91">
      <w:pPr>
        <w:pStyle w:val="ExhibitSource"/>
      </w:pPr>
      <w:r w:rsidRPr="00C07D26">
        <w:t>Sources: Debt Management Office</w:t>
      </w:r>
    </w:p>
    <w:p w14:paraId="69740402" w14:textId="0A953DF8" w:rsidR="002B3B96" w:rsidRPr="00C07D26" w:rsidRDefault="008F113C" w:rsidP="003C2E7C">
      <w:r w:rsidRPr="00C07D26">
        <w:t xml:space="preserve">Although an ageing population </w:t>
      </w:r>
      <w:r w:rsidR="004614B1" w:rsidRPr="00C07D26">
        <w:t xml:space="preserve">might be expected to increase demand for long-duration safe assets, </w:t>
      </w:r>
      <w:r w:rsidR="00391B9C" w:rsidRPr="00C07D26">
        <w:t xml:space="preserve">demographic shifts are unlikely to provide a tailwind for gilts. </w:t>
      </w:r>
      <w:r w:rsidR="000E2178" w:rsidRPr="00C07D26">
        <w:t xml:space="preserve">A growing proportion </w:t>
      </w:r>
      <w:r w:rsidR="00355AEB" w:rsidRPr="00C07D26">
        <w:t>of DB pension schemes are now pursuing insurance buy-</w:t>
      </w:r>
      <w:r w:rsidR="00572CD2" w:rsidRPr="00C07D26">
        <w:t>in</w:t>
      </w:r>
      <w:r w:rsidR="005F56E4" w:rsidRPr="00C07D26">
        <w:t>s and buy-</w:t>
      </w:r>
      <w:r w:rsidR="00355AEB" w:rsidRPr="00C07D26">
        <w:t>outs</w:t>
      </w:r>
      <w:r w:rsidR="00F54E62" w:rsidRPr="00C07D26">
        <w:t xml:space="preserve">, </w:t>
      </w:r>
      <w:r w:rsidR="005F56E4" w:rsidRPr="00C07D26">
        <w:t xml:space="preserve">where the majority of gilt holdings are divested in favour of </w:t>
      </w:r>
      <w:r w:rsidR="004F5F14" w:rsidRPr="00C07D26">
        <w:t>alternative</w:t>
      </w:r>
      <w:r w:rsidR="00145A76" w:rsidRPr="00C07D26">
        <w:t>,</w:t>
      </w:r>
      <w:r w:rsidR="004F5F14" w:rsidRPr="00C07D26">
        <w:t xml:space="preserve"> higher-yielding assets. </w:t>
      </w:r>
      <w:r w:rsidR="0034500E" w:rsidRPr="00C07D26">
        <w:t xml:space="preserve">Meanwhile, the </w:t>
      </w:r>
      <w:r w:rsidR="00555820" w:rsidRPr="00C07D26">
        <w:t xml:space="preserve">transition from DB schemes to defined contribution </w:t>
      </w:r>
      <w:r w:rsidR="006306DA">
        <w:t xml:space="preserve">(DC) </w:t>
      </w:r>
      <w:r w:rsidR="00555820" w:rsidRPr="00C07D26">
        <w:t>pension schemes</w:t>
      </w:r>
      <w:r w:rsidR="005327DA" w:rsidRPr="00C07D26">
        <w:t>, which tend to have portfolios dominated by equities</w:t>
      </w:r>
      <w:r w:rsidR="009E2EC2" w:rsidRPr="00C07D26">
        <w:t xml:space="preserve">, is likely to offset </w:t>
      </w:r>
      <w:r w:rsidR="00BD609A" w:rsidRPr="00C07D26">
        <w:t xml:space="preserve">only </w:t>
      </w:r>
      <w:r w:rsidR="009E2EC2" w:rsidRPr="00C07D26">
        <w:t xml:space="preserve">a small fraction of the decline in </w:t>
      </w:r>
      <w:r w:rsidR="00EA640F" w:rsidRPr="00C07D26">
        <w:t>gilts held by DB schemes</w:t>
      </w:r>
      <w:r w:rsidR="009E2EC2" w:rsidRPr="00C07D26">
        <w:t>.</w:t>
      </w:r>
      <w:r w:rsidR="00AA7945" w:rsidRPr="00C07D26">
        <w:t xml:space="preserve"> </w:t>
      </w:r>
    </w:p>
    <w:p w14:paraId="68BA5BFD" w14:textId="4D464559" w:rsidR="00C20872" w:rsidRPr="00C07D26" w:rsidRDefault="00D94E78" w:rsidP="003C2E7C">
      <w:r w:rsidRPr="00C07D26">
        <w:t xml:space="preserve">Projections from the </w:t>
      </w:r>
      <w:hyperlink r:id="rId34" w:history="1">
        <w:r w:rsidRPr="00C07D26">
          <w:rPr>
            <w:rStyle w:val="Hyperlink"/>
          </w:rPr>
          <w:t>OBR's 2025 Fiscal Risks and Sustainability report</w:t>
        </w:r>
      </w:hyperlink>
      <w:r w:rsidRPr="00C07D26">
        <w:t xml:space="preserve"> </w:t>
      </w:r>
      <w:r w:rsidR="00807042">
        <w:t>estimate</w:t>
      </w:r>
      <w:r w:rsidR="00807042" w:rsidRPr="00C07D26">
        <w:t xml:space="preserve"> </w:t>
      </w:r>
      <w:r w:rsidR="007219DD" w:rsidRPr="00C07D26">
        <w:t xml:space="preserve">the </w:t>
      </w:r>
      <w:r w:rsidR="006929D6" w:rsidRPr="00C07D26">
        <w:t xml:space="preserve">overall </w:t>
      </w:r>
      <w:r w:rsidR="007219DD" w:rsidRPr="00C07D26">
        <w:t xml:space="preserve">pension sector's gilt holdings </w:t>
      </w:r>
      <w:r w:rsidR="00807042">
        <w:t xml:space="preserve">will </w:t>
      </w:r>
      <w:r w:rsidR="007219DD" w:rsidRPr="00C07D26">
        <w:t xml:space="preserve">fall from 29.5% of GDP in </w:t>
      </w:r>
      <w:r w:rsidR="00DC09CA" w:rsidRPr="00C07D26">
        <w:t>FY2024-2025 to just 1</w:t>
      </w:r>
      <w:r w:rsidR="00E661FE" w:rsidRPr="00C07D26">
        <w:t>0.9</w:t>
      </w:r>
      <w:r w:rsidR="00DC09CA" w:rsidRPr="00C07D26">
        <w:t>% of GDP in the medium term.</w:t>
      </w:r>
      <w:r w:rsidR="00932477" w:rsidRPr="00C07D26">
        <w:t xml:space="preserve"> This would represent a </w:t>
      </w:r>
      <w:r w:rsidR="00F60102" w:rsidRPr="00C07D26">
        <w:t xml:space="preserve">drop in </w:t>
      </w:r>
      <w:r w:rsidR="000F2E7E" w:rsidRPr="00C07D26">
        <w:t xml:space="preserve">gilt holdings </w:t>
      </w:r>
      <w:r w:rsidR="00F60102" w:rsidRPr="00C07D26">
        <w:t>of £518bn</w:t>
      </w:r>
      <w:r w:rsidR="000F2E7E" w:rsidRPr="00C07D26">
        <w:t xml:space="preserve">. The OBR's most optimistic scenario, which </w:t>
      </w:r>
      <w:r w:rsidR="00807042">
        <w:t>anticipates</w:t>
      </w:r>
      <w:r w:rsidR="00807042" w:rsidRPr="00C07D26">
        <w:t xml:space="preserve"> </w:t>
      </w:r>
      <w:r w:rsidR="00F35FE7" w:rsidRPr="00C07D26">
        <w:lastRenderedPageBreak/>
        <w:t xml:space="preserve">greater risk aversion supporting a high </w:t>
      </w:r>
      <w:r w:rsidR="00AA7DC8" w:rsidRPr="00C07D26">
        <w:t xml:space="preserve">gilt </w:t>
      </w:r>
      <w:r w:rsidR="00F35FE7" w:rsidRPr="00C07D26">
        <w:t xml:space="preserve">allocation, </w:t>
      </w:r>
      <w:r w:rsidR="00910BC9" w:rsidRPr="00C07D26">
        <w:t xml:space="preserve">still assumes </w:t>
      </w:r>
      <w:r w:rsidR="00E06EC3" w:rsidRPr="00C07D26">
        <w:t xml:space="preserve">a £410bn decline in holdings to </w:t>
      </w:r>
      <w:r w:rsidR="00330793" w:rsidRPr="00C07D26">
        <w:t>14.8% of GDP.</w:t>
      </w:r>
    </w:p>
    <w:p w14:paraId="1D114ABA" w14:textId="171E9F6D" w:rsidR="002B06A3" w:rsidRPr="00C07D26" w:rsidRDefault="003F0BB9" w:rsidP="003C2E7C">
      <w:r w:rsidRPr="00C07D26">
        <w:t>Weaker</w:t>
      </w:r>
      <w:r w:rsidR="00455E6A" w:rsidRPr="00C07D26">
        <w:t xml:space="preserve"> demand </w:t>
      </w:r>
      <w:r w:rsidR="00662633" w:rsidRPr="00C07D26">
        <w:t xml:space="preserve">for gilts from UK pension funds </w:t>
      </w:r>
      <w:r w:rsidR="00ED74AE" w:rsidRPr="00C07D26">
        <w:t xml:space="preserve">has been replaced </w:t>
      </w:r>
      <w:r w:rsidR="00F350ED" w:rsidRPr="00C07D26">
        <w:t>by increased holdings from other market participants.</w:t>
      </w:r>
      <w:r w:rsidR="00081C12" w:rsidRPr="00C07D26">
        <w:t xml:space="preserve"> </w:t>
      </w:r>
      <w:r w:rsidR="00AE4510" w:rsidRPr="00C07D26">
        <w:t xml:space="preserve">However, </w:t>
      </w:r>
      <w:r w:rsidR="00F350ED" w:rsidRPr="00C07D26">
        <w:t xml:space="preserve">these </w:t>
      </w:r>
      <w:r w:rsidR="0012502E" w:rsidRPr="00C07D26">
        <w:t>investors</w:t>
      </w:r>
      <w:r w:rsidR="00EB72DE" w:rsidRPr="00C07D26">
        <w:t xml:space="preserve"> appear on average</w:t>
      </w:r>
      <w:r w:rsidR="00E87429" w:rsidRPr="00C07D26">
        <w:t xml:space="preserve"> </w:t>
      </w:r>
      <w:r w:rsidR="00EB72DE" w:rsidRPr="00C07D26">
        <w:t xml:space="preserve">to </w:t>
      </w:r>
      <w:r w:rsidR="000534DB" w:rsidRPr="00C07D26">
        <w:t xml:space="preserve">be flightier, </w:t>
      </w:r>
      <w:r w:rsidR="005455A4" w:rsidRPr="00C07D26">
        <w:t>favour shorter duration debt</w:t>
      </w:r>
      <w:r w:rsidR="000534DB" w:rsidRPr="00C07D26">
        <w:t>,</w:t>
      </w:r>
      <w:r w:rsidR="005455A4" w:rsidRPr="00C07D26">
        <w:t xml:space="preserve"> and </w:t>
      </w:r>
      <w:r w:rsidR="00EB72DE" w:rsidRPr="00C07D26">
        <w:t xml:space="preserve">require </w:t>
      </w:r>
      <w:r w:rsidR="006006B0" w:rsidRPr="00C07D26">
        <w:t>additional yield to induce their demand</w:t>
      </w:r>
      <w:r w:rsidR="00D16E00" w:rsidRPr="00C07D26">
        <w:t xml:space="preserve"> as they have a wider choice of safe assets to select from</w:t>
      </w:r>
      <w:r w:rsidR="00BD4162" w:rsidRPr="00C07D26">
        <w:t>.</w:t>
      </w:r>
    </w:p>
    <w:p w14:paraId="5A518B32" w14:textId="7CB4320D" w:rsidR="00E44AD9" w:rsidRPr="00C07D26" w:rsidRDefault="00CF1A80" w:rsidP="003C2E7C">
      <w:r w:rsidRPr="00C07D26">
        <w:t xml:space="preserve">As the government's fiscal position has deteriorated in recent years, </w:t>
      </w:r>
      <w:r w:rsidR="00A84446" w:rsidRPr="00C07D26">
        <w:t xml:space="preserve">gilt demand </w:t>
      </w:r>
      <w:r w:rsidR="008556AC" w:rsidRPr="00C07D26">
        <w:t xml:space="preserve">from domestic banks </w:t>
      </w:r>
      <w:r w:rsidR="00A84446" w:rsidRPr="00C07D26">
        <w:t xml:space="preserve">has risen considerably </w:t>
      </w:r>
      <w:r w:rsidR="00271AA8" w:rsidRPr="00C07D26">
        <w:t xml:space="preserve">in the sub-15-year sector </w:t>
      </w:r>
      <w:r w:rsidR="001321D6" w:rsidRPr="00C07D26">
        <w:t>due to the relative attractiveness versus interest rate swaps</w:t>
      </w:r>
      <w:r w:rsidR="00464FC1" w:rsidRPr="00C07D26">
        <w:t xml:space="preserve"> (</w:t>
      </w:r>
      <w:r w:rsidR="00706F42" w:rsidRPr="006C1E35">
        <w:rPr>
          <w:b/>
          <w:color w:val="003469"/>
        </w:rPr>
        <w:fldChar w:fldCharType="begin"/>
      </w:r>
      <w:r w:rsidR="006C1E35" w:rsidRPr="006C1E35">
        <w:rPr>
          <w:b/>
          <w:color w:val="003469"/>
        </w:rPr>
        <w:instrText xml:space="preserve">REF _Ref214911165 \h \* Charformat </w:instrText>
      </w:r>
      <w:r w:rsidR="006C1E35" w:rsidRPr="006C1E35">
        <w:rPr>
          <w:b/>
          <w:color w:val="003469"/>
        </w:rPr>
      </w:r>
      <w:r w:rsidR="00706F42" w:rsidRPr="006C1E35">
        <w:rPr>
          <w:b/>
          <w:color w:val="003469"/>
        </w:rPr>
        <w:fldChar w:fldCharType="separate"/>
      </w:r>
      <w:r w:rsidR="006C1E35" w:rsidRPr="006C1E35">
        <w:rPr>
          <w:b/>
          <w:color w:val="003469"/>
        </w:rPr>
        <w:t>Chart 6</w:t>
      </w:r>
      <w:r w:rsidR="00706F42" w:rsidRPr="006C1E35">
        <w:rPr>
          <w:b/>
          <w:color w:val="003469"/>
        </w:rPr>
        <w:fldChar w:fldCharType="end"/>
      </w:r>
      <w:r w:rsidR="00464FC1" w:rsidRPr="00C07D26">
        <w:t>)</w:t>
      </w:r>
      <w:r w:rsidR="001321D6" w:rsidRPr="00C07D26">
        <w:t xml:space="preserve">. </w:t>
      </w:r>
      <w:r w:rsidR="00A3325F">
        <w:t>D</w:t>
      </w:r>
      <w:r w:rsidR="00CF181F" w:rsidRPr="00C07D26">
        <w:t xml:space="preserve">emand </w:t>
      </w:r>
      <w:r w:rsidR="003A0E1B" w:rsidRPr="00C07D26">
        <w:t xml:space="preserve">from the retail sector and multi-asset investors </w:t>
      </w:r>
      <w:r w:rsidR="00A3325F">
        <w:t xml:space="preserve">has </w:t>
      </w:r>
      <w:r w:rsidR="00D21964">
        <w:t xml:space="preserve">also </w:t>
      </w:r>
      <w:r w:rsidR="00A3325F">
        <w:t xml:space="preserve">picked up </w:t>
      </w:r>
      <w:r w:rsidR="00CF181F" w:rsidRPr="00C07D26">
        <w:t xml:space="preserve">at the front end of the curve </w:t>
      </w:r>
      <w:r w:rsidR="005D653A" w:rsidRPr="00C07D26">
        <w:t>due to attractive yields and the tax efficiency</w:t>
      </w:r>
      <w:r w:rsidR="006A608B" w:rsidRPr="00C07D26">
        <w:t xml:space="preserve"> of low</w:t>
      </w:r>
      <w:r w:rsidR="00A73D33" w:rsidRPr="00C07D26">
        <w:t>-</w:t>
      </w:r>
      <w:r w:rsidR="006A608B" w:rsidRPr="00C07D26">
        <w:t>coupon gilts</w:t>
      </w:r>
      <w:r w:rsidR="00E172F8" w:rsidRPr="00C07D26">
        <w:t xml:space="preserve">. Meanwhile, </w:t>
      </w:r>
      <w:r w:rsidR="00920ADC" w:rsidRPr="00C07D26">
        <w:t xml:space="preserve">the </w:t>
      </w:r>
      <w:hyperlink r:id="rId35" w:history="1">
        <w:r w:rsidR="00920ADC" w:rsidRPr="00C07D26">
          <w:rPr>
            <w:rStyle w:val="Hyperlink"/>
          </w:rPr>
          <w:t>presence of hedge funds</w:t>
        </w:r>
      </w:hyperlink>
      <w:r w:rsidR="00920ADC" w:rsidRPr="00C07D26">
        <w:t xml:space="preserve"> </w:t>
      </w:r>
      <w:r w:rsidR="00E029B8" w:rsidRPr="00C07D26">
        <w:t>in the gilt and gilt repo markets has risen in recent years</w:t>
      </w:r>
      <w:r w:rsidR="006438BD" w:rsidRPr="00C07D26">
        <w:t xml:space="preserve"> as relative value strategies and cash-futures </w:t>
      </w:r>
      <w:r w:rsidR="00331B68" w:rsidRPr="00C07D26">
        <w:t>basis trades have grown in popularity.</w:t>
      </w:r>
    </w:p>
    <w:p w14:paraId="1AFEFAA2" w14:textId="28A72CF8" w:rsidR="00B33B44" w:rsidRPr="00C07D26" w:rsidRDefault="00B33B44" w:rsidP="006B4D91">
      <w:pPr>
        <w:pStyle w:val="ExhibitTitle"/>
      </w:pPr>
      <w:bookmarkStart w:id="5" w:name="_Ref214911165"/>
      <w:r w:rsidRPr="00C07D26">
        <w:t xml:space="preserve">Chart </w:t>
      </w:r>
      <w:r w:rsidRPr="00C07D26">
        <w:fldChar w:fldCharType="begin"/>
      </w:r>
      <w:r w:rsidR="00AD1302" w:rsidRPr="00C07D26">
        <w:instrText>SEQ CHART</w:instrText>
      </w:r>
      <w:r w:rsidRPr="00C07D26">
        <w:fldChar w:fldCharType="separate"/>
      </w:r>
      <w:r w:rsidR="00284C10" w:rsidRPr="00C07D26">
        <w:t>6</w:t>
      </w:r>
      <w:r w:rsidRPr="00C07D26">
        <w:fldChar w:fldCharType="end"/>
      </w:r>
      <w:bookmarkEnd w:id="5"/>
      <w:r w:rsidRPr="00C07D26">
        <w:t xml:space="preserve">: </w:t>
      </w:r>
      <w:r w:rsidR="00BF25FF" w:rsidRPr="00C07D26">
        <w:t xml:space="preserve">Gilt yields </w:t>
      </w:r>
      <w:r w:rsidR="002C29BD" w:rsidRPr="00C07D26">
        <w:t>have become more attractive relative to swaps in recent years</w:t>
      </w:r>
    </w:p>
    <w:p w14:paraId="5CCB783E" w14:textId="564FF389" w:rsidR="00AD1302" w:rsidRPr="00C07D26" w:rsidRDefault="00AD1302" w:rsidP="006B4D91">
      <w:pPr>
        <w:spacing w:after="0"/>
      </w:pPr>
      <w:r w:rsidRPr="00C07D26">
        <w:rPr>
          <w:noProof/>
        </w:rPr>
        <w:drawing>
          <wp:inline distT="0" distB="0" distL="0" distR="0" wp14:anchorId="543EAA08" wp14:editId="1A037E7C">
            <wp:extent cx="3250933" cy="2541433"/>
            <wp:effectExtent l="0" t="0" r="6985" b="0"/>
            <wp:docPr id="66858510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85105" name=""/>
                    <pic:cNvPicPr/>
                  </pic:nvPicPr>
                  <pic:blipFill>
                    <a:blip r:embed="rId36">
                      <a:extLst>
                        <a:ext uri="{96DAC541-7B7A-43D3-8B79-37D633B846F1}">
                          <asvg:svgBlip xmlns:asvg="http://schemas.microsoft.com/office/drawing/2016/SVG/main" r:embed="rId37"/>
                        </a:ext>
                      </a:extLst>
                    </a:blip>
                    <a:srcRect b="2283"/>
                    <a:stretch>
                      <a:fillRect/>
                    </a:stretch>
                  </pic:blipFill>
                  <pic:spPr>
                    <a:xfrm>
                      <a:off x="0" y="0"/>
                      <a:ext cx="3250933" cy="2541433"/>
                    </a:xfrm>
                    <a:prstGeom prst="rect">
                      <a:avLst/>
                    </a:prstGeom>
                  </pic:spPr>
                </pic:pic>
              </a:graphicData>
            </a:graphic>
          </wp:inline>
        </w:drawing>
      </w:r>
    </w:p>
    <w:p w14:paraId="71FB24D5" w14:textId="3FE5B299" w:rsidR="00B33B44" w:rsidRPr="00C07D26" w:rsidRDefault="00AD1302" w:rsidP="006B4D91">
      <w:pPr>
        <w:pStyle w:val="ExhibitSource"/>
      </w:pPr>
      <w:r w:rsidRPr="00C07D26">
        <w:t>Source: Haver Analytics</w:t>
      </w:r>
    </w:p>
    <w:p w14:paraId="7C35E840" w14:textId="07F690FE" w:rsidR="00A4574E" w:rsidRPr="00C07D26" w:rsidRDefault="00E2147A" w:rsidP="006B4D91">
      <w:pPr>
        <w:pStyle w:val="Heading3"/>
      </w:pPr>
      <w:r w:rsidRPr="00C07D26">
        <w:t xml:space="preserve">The transition to a more fractured </w:t>
      </w:r>
      <w:r w:rsidR="006F28F2">
        <w:t xml:space="preserve">world </w:t>
      </w:r>
      <w:r w:rsidRPr="00C07D26">
        <w:t>will push up term premia</w:t>
      </w:r>
    </w:p>
    <w:p w14:paraId="0D140536" w14:textId="52EBD366" w:rsidR="007B4093" w:rsidRPr="00C07D26" w:rsidRDefault="007B4093" w:rsidP="00B47EEA">
      <w:hyperlink r:id="rId38" w:history="1">
        <w:r w:rsidRPr="00C07D26">
          <w:rPr>
            <w:rStyle w:val="Hyperlink"/>
          </w:rPr>
          <w:t>As we've previously argued</w:t>
        </w:r>
      </w:hyperlink>
      <w:r w:rsidRPr="00C07D26">
        <w:t>, we appear to have entered into a new global economic paradigm, characterised by more frequent supply shocks and greater inflation and macroeconomic volatility.</w:t>
      </w:r>
      <w:r w:rsidR="000D187C" w:rsidRPr="000D187C">
        <w:t xml:space="preserve"> </w:t>
      </w:r>
      <w:r w:rsidR="000D187C">
        <w:t>So i</w:t>
      </w:r>
      <w:r w:rsidR="000D187C" w:rsidRPr="00C07D26">
        <w:t>nvestors are also requiring an additional return as compensation for bearing increased inflation risk and uncertainty.</w:t>
      </w:r>
    </w:p>
    <w:p w14:paraId="407DD87A" w14:textId="4592F1A1" w:rsidR="003D484B" w:rsidRPr="00C07D26" w:rsidRDefault="00BC73BC" w:rsidP="00B47EEA">
      <w:r w:rsidRPr="00C07D26">
        <w:t xml:space="preserve">In the </w:t>
      </w:r>
      <w:r w:rsidR="003D484B" w:rsidRPr="00C07D26">
        <w:t>past</w:t>
      </w:r>
      <w:r w:rsidRPr="00C07D26">
        <w:t xml:space="preserve"> few years, the global economy has been hit by a series of major adverse supply shocks inflicted by the pandemic, supply-chain disruptions, and Russia's invasion of Ukraine. Though these may simply represent a run of unfortunate coincidences, we think it's more realistic to assume that the 2000-2019 period of low and very stable inflation was exceptional</w:t>
      </w:r>
      <w:r w:rsidR="004B65C5" w:rsidRPr="00C07D26">
        <w:t>,</w:t>
      </w:r>
      <w:r w:rsidRPr="00C07D26">
        <w:t xml:space="preserve"> </w:t>
      </w:r>
      <w:r w:rsidR="004B65C5" w:rsidRPr="00C07D26">
        <w:t xml:space="preserve">and that some </w:t>
      </w:r>
      <w:hyperlink r:id="rId39" w:history="1">
        <w:r w:rsidR="004B65C5" w:rsidRPr="00C07D26">
          <w:rPr>
            <w:rStyle w:val="Hyperlink"/>
          </w:rPr>
          <w:t>recent global trends may increase the likelihood of more adverse supply shocks</w:t>
        </w:r>
      </w:hyperlink>
      <w:r w:rsidR="004B65C5" w:rsidRPr="00C07D26">
        <w:t xml:space="preserve"> over the next decade. These include the trend towards more populist governments, a fracturing in trading arrangements, climate change, and the complexity of modern global supply-chains.</w:t>
      </w:r>
    </w:p>
    <w:p w14:paraId="2250823A" w14:textId="12987B57" w:rsidR="00E74999" w:rsidRPr="00C07D26" w:rsidRDefault="00192A44" w:rsidP="00B47EEA">
      <w:r w:rsidRPr="00C07D26">
        <w:t>While market pricing has started to adjust to the new economic paradigm, we think it has much further to go to fully incorporate these fundamental changes to the global inflation risk profile. Given the UK is a small open economy with an unusually high share of inflation-linked government debt, we think gilt term premia will be particularly susceptible as markets continue to price in the changing economic landscape.</w:t>
      </w:r>
    </w:p>
    <w:p w14:paraId="3946A0A5" w14:textId="16167D12" w:rsidR="00A4574E" w:rsidRPr="00C07D26" w:rsidRDefault="00F22E16" w:rsidP="006B4D91">
      <w:pPr>
        <w:pStyle w:val="Heading3"/>
      </w:pPr>
      <w:r w:rsidRPr="00C07D26">
        <w:t xml:space="preserve">Actions </w:t>
      </w:r>
      <w:r w:rsidR="00246A96">
        <w:t>by</w:t>
      </w:r>
      <w:r w:rsidR="00246A96" w:rsidRPr="00C07D26">
        <w:t xml:space="preserve"> </w:t>
      </w:r>
      <w:r w:rsidRPr="00C07D26">
        <w:t>the DMO and the BoE should help to alleviate some of these pressures</w:t>
      </w:r>
    </w:p>
    <w:p w14:paraId="347D9ECD" w14:textId="0FCDF498" w:rsidR="002C0FC8" w:rsidRPr="00C07D26" w:rsidRDefault="00BB0F6E" w:rsidP="00B47EEA">
      <w:r w:rsidRPr="00C07D26">
        <w:t xml:space="preserve">The Debt Management Office is well aware </w:t>
      </w:r>
      <w:r w:rsidR="003D6A06" w:rsidRPr="00C07D26">
        <w:t xml:space="preserve">of </w:t>
      </w:r>
      <w:r w:rsidR="00E2147A" w:rsidRPr="00C07D26">
        <w:t>these</w:t>
      </w:r>
      <w:r w:rsidR="003D6A06" w:rsidRPr="00C07D26">
        <w:t xml:space="preserve"> structural shifts in demand, and </w:t>
      </w:r>
      <w:r w:rsidR="00C91836" w:rsidRPr="00C07D26">
        <w:t xml:space="preserve">has </w:t>
      </w:r>
      <w:r w:rsidR="00050D1D" w:rsidRPr="00C07D26">
        <w:t xml:space="preserve">responded to rising term premia by shifting </w:t>
      </w:r>
      <w:r w:rsidR="00C91836" w:rsidRPr="00C07D26">
        <w:t xml:space="preserve">supply </w:t>
      </w:r>
      <w:r w:rsidR="00641F40" w:rsidRPr="00C07D26">
        <w:t xml:space="preserve">away from </w:t>
      </w:r>
      <w:r w:rsidR="003F339C" w:rsidRPr="00C07D26">
        <w:t>longer duration gilts and indexed-linked gilts</w:t>
      </w:r>
      <w:r w:rsidR="00B54258" w:rsidRPr="00C07D26">
        <w:t xml:space="preserve"> over the past decade</w:t>
      </w:r>
      <w:r w:rsidR="00BF2D2F" w:rsidRPr="00C07D26">
        <w:t xml:space="preserve">. </w:t>
      </w:r>
      <w:r w:rsidR="00616AD8" w:rsidRPr="00C07D26">
        <w:t xml:space="preserve">Similarly, the BoE </w:t>
      </w:r>
      <w:hyperlink r:id="rId40" w:history="1">
        <w:r w:rsidR="00616AD8" w:rsidRPr="00C07D26">
          <w:rPr>
            <w:rStyle w:val="Hyperlink"/>
          </w:rPr>
          <w:t>announced</w:t>
        </w:r>
      </w:hyperlink>
      <w:r w:rsidR="00616AD8" w:rsidRPr="00C07D26">
        <w:t xml:space="preserve"> </w:t>
      </w:r>
      <w:r w:rsidR="00CC0462">
        <w:t xml:space="preserve">in September </w:t>
      </w:r>
      <w:r w:rsidR="00616AD8" w:rsidRPr="00C07D26">
        <w:t xml:space="preserve">that it </w:t>
      </w:r>
      <w:r w:rsidR="0029574D" w:rsidRPr="00C07D26">
        <w:t>will</w:t>
      </w:r>
      <w:r w:rsidR="00616AD8" w:rsidRPr="00C07D26">
        <w:t xml:space="preserve"> focus active gilt sales on shorter maturities. </w:t>
      </w:r>
    </w:p>
    <w:p w14:paraId="305DE555" w14:textId="63ACA417" w:rsidR="00616AD8" w:rsidRPr="00C07D26" w:rsidRDefault="00B54258" w:rsidP="00B47EEA">
      <w:r w:rsidRPr="00C07D26">
        <w:lastRenderedPageBreak/>
        <w:t>The DMO's actions mean gilt issuance now has an average maturity of around 10 years, which is roughly half of the average maturity of the gilts issued in FY2015-2016. This has led to a significant shortening of the weight</w:t>
      </w:r>
      <w:r w:rsidR="00B54C70">
        <w:t>ed</w:t>
      </w:r>
      <w:r w:rsidRPr="00C07D26">
        <w:t xml:space="preserve"> average maturity of gilts, with the composition of the gilt market now closer to that of other G7 government bond markets.</w:t>
      </w:r>
      <w:r w:rsidR="002C0FC8" w:rsidRPr="00C07D26">
        <w:t xml:space="preserve"> Though this means gilt issuance is becoming more sensitive to the interest rate cycle, which raises refinancing risks, the DMOs actions should help </w:t>
      </w:r>
      <w:r w:rsidR="00D32DDD" w:rsidRPr="00C07D26">
        <w:t xml:space="preserve">to better calibrate </w:t>
      </w:r>
      <w:r w:rsidR="002C0FC8" w:rsidRPr="00C07D26">
        <w:t xml:space="preserve">gilt </w:t>
      </w:r>
      <w:r w:rsidR="00D32DDD" w:rsidRPr="00C07D26">
        <w:t>supply to a more price-sensitive demand base</w:t>
      </w:r>
      <w:r w:rsidR="00F9780C" w:rsidRPr="00C07D26">
        <w:t>.</w:t>
      </w:r>
    </w:p>
    <w:p w14:paraId="7CDC8EBB" w14:textId="063AF348" w:rsidR="00CB2C57" w:rsidRPr="00C07D26" w:rsidRDefault="00F532A2" w:rsidP="006B4D91">
      <w:pPr>
        <w:pStyle w:val="Heading3"/>
      </w:pPr>
      <w:r w:rsidRPr="00C07D26">
        <w:t xml:space="preserve">Higher term premia puts </w:t>
      </w:r>
      <w:r w:rsidR="006C0D35" w:rsidRPr="00C07D26">
        <w:t xml:space="preserve">the onus on </w:t>
      </w:r>
      <w:r w:rsidR="00895E97" w:rsidRPr="00C07D26">
        <w:t>government</w:t>
      </w:r>
      <w:r w:rsidR="006C0D35" w:rsidRPr="00C07D26">
        <w:t xml:space="preserve"> </w:t>
      </w:r>
      <w:r w:rsidR="00FD6488" w:rsidRPr="00C07D26">
        <w:t xml:space="preserve">to deliver </w:t>
      </w:r>
      <w:r w:rsidR="00530C7E" w:rsidRPr="00C07D26">
        <w:t>credible fiscal consolidation</w:t>
      </w:r>
    </w:p>
    <w:p w14:paraId="0B81FC76" w14:textId="35ADBAF2" w:rsidR="001C23A2" w:rsidRPr="00C07D26" w:rsidRDefault="002E4D71" w:rsidP="003C2E7C">
      <w:r>
        <w:t>Al</w:t>
      </w:r>
      <w:r w:rsidR="008D7BDA" w:rsidRPr="00C07D26">
        <w:t xml:space="preserve">together, </w:t>
      </w:r>
      <w:r w:rsidR="001C23A2" w:rsidRPr="00C07D26">
        <w:t>we think significantly higher issuance at a time of rising global safe asset supply</w:t>
      </w:r>
      <w:r w:rsidR="00227396" w:rsidRPr="00C07D26">
        <w:t xml:space="preserve">, </w:t>
      </w:r>
      <w:r w:rsidR="001C23A2" w:rsidRPr="00C07D26">
        <w:t>the marginal buyer of gilts becoming flightier and more price-sensitive</w:t>
      </w:r>
      <w:r w:rsidR="00227396" w:rsidRPr="00C07D26">
        <w:t>, and a more volatile inflationary environment</w:t>
      </w:r>
      <w:r w:rsidR="001C23A2" w:rsidRPr="00C07D26">
        <w:t xml:space="preserve"> suggest we have entered a regime of structurally higher term premia</w:t>
      </w:r>
      <w:r w:rsidR="001373F9" w:rsidRPr="00C07D26">
        <w:t xml:space="preserve"> (</w:t>
      </w:r>
      <w:r w:rsidR="00EA50BB" w:rsidRPr="006C1E35">
        <w:rPr>
          <w:b/>
          <w:color w:val="003469"/>
        </w:rPr>
        <w:fldChar w:fldCharType="begin"/>
      </w:r>
      <w:r w:rsidR="006C1E35" w:rsidRPr="006C1E35">
        <w:rPr>
          <w:b/>
          <w:color w:val="003469"/>
        </w:rPr>
        <w:instrText xml:space="preserve">REF _Ref215083962 \h \* Charformat </w:instrText>
      </w:r>
      <w:r w:rsidR="006C1E35" w:rsidRPr="006C1E35">
        <w:rPr>
          <w:b/>
          <w:color w:val="003469"/>
        </w:rPr>
      </w:r>
      <w:r w:rsidR="00EA50BB" w:rsidRPr="006C1E35">
        <w:rPr>
          <w:b/>
          <w:color w:val="003469"/>
        </w:rPr>
        <w:fldChar w:fldCharType="separate"/>
      </w:r>
      <w:r w:rsidR="006C1E35" w:rsidRPr="006C1E35">
        <w:rPr>
          <w:b/>
          <w:color w:val="003469"/>
        </w:rPr>
        <w:t>Chart 7</w:t>
      </w:r>
      <w:r w:rsidR="00EA50BB" w:rsidRPr="006C1E35">
        <w:rPr>
          <w:b/>
          <w:color w:val="003469"/>
        </w:rPr>
        <w:fldChar w:fldCharType="end"/>
      </w:r>
      <w:r w:rsidR="001373F9" w:rsidRPr="00C07D26">
        <w:t xml:space="preserve">). </w:t>
      </w:r>
      <w:r w:rsidR="00DD0896" w:rsidRPr="00C07D26">
        <w:t xml:space="preserve">Therefore, </w:t>
      </w:r>
      <w:r w:rsidR="00CA1879" w:rsidRPr="00C07D26">
        <w:t xml:space="preserve">the downward pressure on short-term rate expectations </w:t>
      </w:r>
      <w:r w:rsidR="00177D91" w:rsidRPr="00C07D26">
        <w:t xml:space="preserve">from weaker </w:t>
      </w:r>
      <w:r w:rsidR="00D54876" w:rsidRPr="00C07D26">
        <w:t xml:space="preserve">growth and inflation </w:t>
      </w:r>
      <w:r w:rsidR="00CA1879" w:rsidRPr="00C07D26">
        <w:t xml:space="preserve">is </w:t>
      </w:r>
      <w:r w:rsidR="00C64DBB" w:rsidRPr="00C07D26">
        <w:t>likely</w:t>
      </w:r>
      <w:r w:rsidR="00177D91" w:rsidRPr="00C07D26">
        <w:t xml:space="preserve"> to provide </w:t>
      </w:r>
      <w:r w:rsidR="00C64DBB" w:rsidRPr="00C07D26">
        <w:t xml:space="preserve">only a </w:t>
      </w:r>
      <w:r w:rsidR="00372C9F" w:rsidRPr="00C07D26">
        <w:t>modest</w:t>
      </w:r>
      <w:r w:rsidR="00C64DBB" w:rsidRPr="00C07D26">
        <w:t xml:space="preserve"> </w:t>
      </w:r>
      <w:r w:rsidR="00177D91" w:rsidRPr="00C07D26">
        <w:t>tailwind for gilts</w:t>
      </w:r>
      <w:r w:rsidR="00D54876" w:rsidRPr="00C07D26">
        <w:t xml:space="preserve"> over the next couple of years.</w:t>
      </w:r>
    </w:p>
    <w:p w14:paraId="20A82F19" w14:textId="6040AB5E" w:rsidR="003526AC" w:rsidRPr="00C07D26" w:rsidRDefault="003526AC" w:rsidP="006B4D91">
      <w:pPr>
        <w:pStyle w:val="ExhibitTitle"/>
      </w:pPr>
      <w:bookmarkStart w:id="6" w:name="_Ref215083962"/>
      <w:r w:rsidRPr="00C07D26">
        <w:t xml:space="preserve">Chart </w:t>
      </w:r>
      <w:r w:rsidRPr="00C07D26">
        <w:fldChar w:fldCharType="begin"/>
      </w:r>
      <w:r w:rsidR="00284C10" w:rsidRPr="00C07D26">
        <w:instrText>SEQ CHART</w:instrText>
      </w:r>
      <w:r w:rsidRPr="00C07D26">
        <w:fldChar w:fldCharType="separate"/>
      </w:r>
      <w:r w:rsidR="00284C10" w:rsidRPr="00C07D26">
        <w:t>7</w:t>
      </w:r>
      <w:r w:rsidRPr="00C07D26">
        <w:fldChar w:fldCharType="end"/>
      </w:r>
      <w:bookmarkEnd w:id="6"/>
      <w:r w:rsidRPr="00C07D26">
        <w:t xml:space="preserve">: </w:t>
      </w:r>
      <w:r w:rsidR="00AD3E9B" w:rsidRPr="00C07D26">
        <w:t xml:space="preserve">UK term premia </w:t>
      </w:r>
      <w:r w:rsidR="0039193E" w:rsidRPr="00C07D26">
        <w:t>has</w:t>
      </w:r>
      <w:r w:rsidR="00AD3E9B" w:rsidRPr="00C07D26">
        <w:t xml:space="preserve"> risen sharply </w:t>
      </w:r>
      <w:r w:rsidR="00641DD9" w:rsidRPr="00C07D26">
        <w:t>and is likely to remain elevated</w:t>
      </w:r>
    </w:p>
    <w:p w14:paraId="4FA88DEB" w14:textId="4DC87C8C" w:rsidR="00284C10" w:rsidRPr="00C07D26" w:rsidRDefault="00284C10" w:rsidP="006B4D91">
      <w:pPr>
        <w:spacing w:after="0"/>
      </w:pPr>
      <w:r w:rsidRPr="00C07D26">
        <w:rPr>
          <w:noProof/>
        </w:rPr>
        <w:drawing>
          <wp:inline distT="0" distB="0" distL="0" distR="0" wp14:anchorId="1F5ED6CF" wp14:editId="1E4AECD6">
            <wp:extent cx="3250933" cy="2541433"/>
            <wp:effectExtent l="0" t="0" r="6985" b="0"/>
            <wp:docPr id="212482402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24026" name=""/>
                    <pic:cNvPicPr/>
                  </pic:nvPicPr>
                  <pic:blipFill>
                    <a:blip r:embed="rId41">
                      <a:extLst>
                        <a:ext uri="{96DAC541-7B7A-43D3-8B79-37D633B846F1}">
                          <asvg:svgBlip xmlns:asvg="http://schemas.microsoft.com/office/drawing/2016/SVG/main" r:embed="rId42"/>
                        </a:ext>
                      </a:extLst>
                    </a:blip>
                    <a:srcRect b="2283"/>
                    <a:stretch>
                      <a:fillRect/>
                    </a:stretch>
                  </pic:blipFill>
                  <pic:spPr>
                    <a:xfrm>
                      <a:off x="0" y="0"/>
                      <a:ext cx="3250933" cy="2541433"/>
                    </a:xfrm>
                    <a:prstGeom prst="rect">
                      <a:avLst/>
                    </a:prstGeom>
                  </pic:spPr>
                </pic:pic>
              </a:graphicData>
            </a:graphic>
          </wp:inline>
        </w:drawing>
      </w:r>
    </w:p>
    <w:p w14:paraId="61AC5F71" w14:textId="5FEDB087" w:rsidR="003526AC" w:rsidRPr="00C07D26" w:rsidRDefault="00284C10" w:rsidP="006B4D91">
      <w:pPr>
        <w:pStyle w:val="ExhibitSource"/>
      </w:pPr>
      <w:r w:rsidRPr="00C07D26">
        <w:t>Sources: Oxford Economics</w:t>
      </w:r>
    </w:p>
    <w:p w14:paraId="1C0B9192" w14:textId="3F037F31" w:rsidR="00431928" w:rsidRPr="00C07D26" w:rsidRDefault="00863539" w:rsidP="00156C75">
      <w:r w:rsidRPr="00C07D26">
        <w:t xml:space="preserve">Although </w:t>
      </w:r>
      <w:r w:rsidR="00790EB9" w:rsidRPr="00C07D26">
        <w:t xml:space="preserve">the financial market reaction to </w:t>
      </w:r>
      <w:r w:rsidR="00B70680" w:rsidRPr="00C07D26">
        <w:t>November's</w:t>
      </w:r>
      <w:r w:rsidR="00790EB9" w:rsidRPr="00C07D26">
        <w:t xml:space="preserve"> Budget was </w:t>
      </w:r>
      <w:r w:rsidR="005F0C02" w:rsidRPr="00C07D26">
        <w:t>relatively muted</w:t>
      </w:r>
      <w:r w:rsidR="00790EB9" w:rsidRPr="00C07D26">
        <w:t xml:space="preserve">, </w:t>
      </w:r>
      <w:hyperlink r:id="rId43" w:history="1">
        <w:r w:rsidR="009023A6" w:rsidRPr="00C07D26">
          <w:rPr>
            <w:rStyle w:val="Hyperlink"/>
          </w:rPr>
          <w:t>we expect markets to increasingly question the credibility of the package</w:t>
        </w:r>
      </w:hyperlink>
      <w:r w:rsidR="009023A6" w:rsidRPr="00C07D26">
        <w:t xml:space="preserve">. </w:t>
      </w:r>
      <w:r w:rsidR="00431928" w:rsidRPr="00C07D26">
        <w:t xml:space="preserve">In particular, we have concerns around the back-loaded nature of the measures, the uncertain impact on revenues of many of the narrower tax-raising measures, a lack of spending restraint, and the dearth of growth-enhancing policies. </w:t>
      </w:r>
      <w:r w:rsidR="00FE7BA7">
        <w:t>Consequently</w:t>
      </w:r>
      <w:r w:rsidR="00431928" w:rsidRPr="00C07D26">
        <w:t xml:space="preserve">, </w:t>
      </w:r>
      <w:r w:rsidR="00FE7BA7">
        <w:t xml:space="preserve">we expect </w:t>
      </w:r>
      <w:r w:rsidR="00431928" w:rsidRPr="00C07D26">
        <w:t>i</w:t>
      </w:r>
      <w:r w:rsidR="00790EB9" w:rsidRPr="00C07D26">
        <w:t xml:space="preserve">nvestors </w:t>
      </w:r>
      <w:r w:rsidR="00A15BC1" w:rsidRPr="00C07D26">
        <w:t xml:space="preserve">to pay very close attention to the UK's fiscal position </w:t>
      </w:r>
      <w:r w:rsidR="008A0F86" w:rsidRPr="00C07D26">
        <w:t>and borrowing levels</w:t>
      </w:r>
      <w:r w:rsidR="00546871" w:rsidRPr="00C07D26">
        <w:t xml:space="preserve">, </w:t>
      </w:r>
      <w:r w:rsidR="00431928" w:rsidRPr="00C07D26">
        <w:t>and further</w:t>
      </w:r>
      <w:r w:rsidR="00A418BC" w:rsidRPr="00C07D26">
        <w:t xml:space="preserve"> </w:t>
      </w:r>
      <w:r w:rsidR="00546871" w:rsidRPr="00C07D26">
        <w:t>p</w:t>
      </w:r>
      <w:r w:rsidR="00A418BC" w:rsidRPr="00C07D26">
        <w:t xml:space="preserve">olicy missteps </w:t>
      </w:r>
      <w:r w:rsidR="00431928" w:rsidRPr="00C07D26">
        <w:t xml:space="preserve">are </w:t>
      </w:r>
      <w:r w:rsidR="00A418BC" w:rsidRPr="00C07D26">
        <w:t>likely to be punished far more swiftly than in the past.</w:t>
      </w:r>
      <w:r w:rsidR="00156C75" w:rsidRPr="00C07D26">
        <w:t xml:space="preserve"> </w:t>
      </w:r>
    </w:p>
    <w:p w14:paraId="67E793DA" w14:textId="5726891C" w:rsidR="00F017C1" w:rsidRPr="00C07D26" w:rsidRDefault="00156C75" w:rsidP="00156C75">
      <w:r w:rsidRPr="00C07D26">
        <w:t xml:space="preserve">For policymakers, this underlines the value of developing a </w:t>
      </w:r>
      <w:hyperlink r:id="rId44" w:history="1">
        <w:r w:rsidRPr="00C07D26">
          <w:rPr>
            <w:rStyle w:val="Hyperlink"/>
          </w:rPr>
          <w:t>clear and consistent fiscal strategy</w:t>
        </w:r>
      </w:hyperlink>
      <w:r w:rsidRPr="00C07D26">
        <w:t xml:space="preserve"> focused on</w:t>
      </w:r>
      <w:r w:rsidR="00475E38" w:rsidRPr="00C07D26">
        <w:t xml:space="preserve"> </w:t>
      </w:r>
      <w:r w:rsidR="009F463F" w:rsidRPr="00C07D26">
        <w:t xml:space="preserve">delivering a credible path towards fiscal consolidation and </w:t>
      </w:r>
      <w:r w:rsidR="00475E38" w:rsidRPr="00C07D26">
        <w:t xml:space="preserve">removing </w:t>
      </w:r>
      <w:r w:rsidR="009C790B" w:rsidRPr="00C07D26">
        <w:t>long-discussed</w:t>
      </w:r>
      <w:r w:rsidR="001A48A5" w:rsidRPr="00C07D26">
        <w:t xml:space="preserve"> and politically challenging</w:t>
      </w:r>
      <w:r w:rsidR="009C790B" w:rsidRPr="00C07D26">
        <w:t xml:space="preserve"> </w:t>
      </w:r>
      <w:hyperlink r:id="rId45" w:history="1">
        <w:r w:rsidR="009C790B" w:rsidRPr="00C07D26">
          <w:rPr>
            <w:rStyle w:val="Hyperlink"/>
          </w:rPr>
          <w:t>structural impediments to growth</w:t>
        </w:r>
      </w:hyperlink>
      <w:r w:rsidR="00344ACB" w:rsidRPr="00C07D26">
        <w:t>.</w:t>
      </w:r>
    </w:p>
    <w:sectPr w:rsidR="00F017C1" w:rsidRPr="00C07D26" w:rsidSect="00284C10">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83B39" w14:textId="77777777" w:rsidR="00D922A8" w:rsidRPr="00C07D26" w:rsidRDefault="00D922A8" w:rsidP="003C2E7C">
      <w:pPr>
        <w:spacing w:before="0" w:after="0"/>
      </w:pPr>
      <w:r w:rsidRPr="00C07D26">
        <w:separator/>
      </w:r>
    </w:p>
  </w:endnote>
  <w:endnote w:type="continuationSeparator" w:id="0">
    <w:p w14:paraId="59D841C1" w14:textId="77777777" w:rsidR="00D922A8" w:rsidRPr="00C07D26" w:rsidRDefault="00D922A8" w:rsidP="003C2E7C">
      <w:pPr>
        <w:spacing w:before="0" w:after="0"/>
      </w:pPr>
      <w:r w:rsidRPr="00C07D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0973" w14:textId="77777777" w:rsidR="001707FB" w:rsidRDefault="001707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C903F" w14:textId="5FD1B4C3" w:rsidR="003C2E7C" w:rsidRPr="00C07D26" w:rsidRDefault="003C2E7C" w:rsidP="003C2E7C">
    <w:pPr>
      <w:pStyle w:val="RepeatingFooter"/>
      <w:tabs>
        <w:tab w:val="clear" w:pos="4320"/>
        <w:tab w:val="center" w:pos="3685"/>
      </w:tabs>
    </w:pPr>
    <w:r w:rsidRPr="00C07D26">
      <w:t xml:space="preserve">Page </w:t>
    </w:r>
    <w:r w:rsidRPr="00C07D26">
      <w:fldChar w:fldCharType="begin"/>
    </w:r>
    <w:r w:rsidRPr="00C07D26">
      <w:instrText xml:space="preserve"> PAGE </w:instrText>
    </w:r>
    <w:r w:rsidRPr="00C07D26">
      <w:fldChar w:fldCharType="separate"/>
    </w:r>
    <w:r w:rsidRPr="00C07D26">
      <w:t>2</w:t>
    </w:r>
    <w:r w:rsidRPr="00C07D26">
      <w:fldChar w:fldCharType="end"/>
    </w:r>
    <w:r w:rsidRPr="00C07D26">
      <w:tab/>
      <w:t>Edward Allenby - eallenby@oxfordeconomics.com</w:t>
    </w:r>
    <w:r w:rsidRPr="00C07D26">
      <w:rPr>
        <w:noProof/>
      </w:rPr>
      <w:drawing>
        <wp:anchor distT="0" distB="0" distL="114300" distR="114300" simplePos="0" relativeHeight="251661312" behindDoc="0" locked="0" layoutInCell="1" allowOverlap="1" wp14:anchorId="0B107A0E" wp14:editId="12271D11">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2500" w14:textId="747D416C" w:rsidR="003C2E7C" w:rsidRPr="00C07D26" w:rsidRDefault="003C2E7C" w:rsidP="003C2E7C">
    <w:pPr>
      <w:pStyle w:val="Author"/>
    </w:pPr>
    <w:r w:rsidRPr="00C07D26">
      <w:t>Edward Allenby</w:t>
    </w:r>
    <w:r w:rsidR="006B4D91">
      <w:t xml:space="preserve"> - </w:t>
    </w:r>
    <w:r w:rsidRPr="00C07D26">
      <w:t>Senior UK Economist</w:t>
    </w:r>
    <w:r w:rsidR="006B4D91">
      <w:t xml:space="preserve"> - </w:t>
    </w:r>
    <w:r w:rsidRPr="00C07D26">
      <w:t>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EA80A" w14:textId="77777777" w:rsidR="00D922A8" w:rsidRPr="00C07D26" w:rsidRDefault="00D922A8" w:rsidP="003C2E7C">
      <w:pPr>
        <w:spacing w:before="0" w:after="0"/>
      </w:pPr>
      <w:r w:rsidRPr="00C07D26">
        <w:separator/>
      </w:r>
    </w:p>
  </w:footnote>
  <w:footnote w:type="continuationSeparator" w:id="0">
    <w:p w14:paraId="310151DA" w14:textId="77777777" w:rsidR="00D922A8" w:rsidRPr="00C07D26" w:rsidRDefault="00D922A8" w:rsidP="003C2E7C">
      <w:pPr>
        <w:spacing w:before="0" w:after="0"/>
      </w:pPr>
      <w:r w:rsidRPr="00C07D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51315" w14:textId="77777777" w:rsidR="003C2E7C" w:rsidRPr="00C07D26" w:rsidRDefault="003C2E7C">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B3C0F" w14:textId="4B32E12C" w:rsidR="003C2E7C" w:rsidRPr="00C07D26" w:rsidRDefault="00420221" w:rsidP="006270FD">
    <w:pPr>
      <w:pStyle w:val="Headline"/>
      <w:tabs>
        <w:tab w:val="left" w:pos="890"/>
      </w:tabs>
      <w:spacing w:before="120"/>
      <w:ind w:right="-1000"/>
    </w:pPr>
    <w:r w:rsidRPr="00C07D26">
      <w:t>Why higher term premia will slow the fall in gilt yields</w:t>
    </w:r>
    <w:r w:rsidR="003C2E7C" w:rsidRPr="00C07D26">
      <w:rPr>
        <w:noProof/>
      </w:rPr>
      <w:drawing>
        <wp:anchor distT="0" distB="0" distL="114300" distR="114300" simplePos="0" relativeHeight="251657214" behindDoc="1" locked="1" layoutInCell="1" allowOverlap="1" wp14:anchorId="07FB31BE" wp14:editId="5F888E11">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CB1F3" w14:textId="318685D6" w:rsidR="003C2E7C" w:rsidRPr="00C07D26" w:rsidRDefault="003C2E7C" w:rsidP="003C2E7C">
    <w:pPr>
      <w:rPr>
        <w:sz w:val="4"/>
      </w:rPr>
    </w:pPr>
    <w:r w:rsidRPr="00C07D26">
      <w:rPr>
        <w:noProof/>
        <w:sz w:val="4"/>
      </w:rPr>
      <w:drawing>
        <wp:anchor distT="0" distB="0" distL="114300" distR="114300" simplePos="0" relativeHeight="251658239" behindDoc="1" locked="1" layoutInCell="1" allowOverlap="1" wp14:anchorId="10C93577" wp14:editId="580B4F56">
          <wp:simplePos x="0" y="0"/>
          <wp:positionH relativeFrom="page">
            <wp:posOffset>107950</wp:posOffset>
          </wp:positionH>
          <wp:positionV relativeFrom="page">
            <wp:posOffset>158750</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C07D26">
      <w:rPr>
        <w:noProof/>
        <w:sz w:val="4"/>
      </w:rPr>
      <w:drawing>
        <wp:anchor distT="0" distB="0" distL="114300" distR="114300" simplePos="0" relativeHeight="251659264" behindDoc="1" locked="1" layoutInCell="1" allowOverlap="1" wp14:anchorId="42AE5702" wp14:editId="5056EB1D">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1803799215"/>
      <w:lock w:val="sdtLocked"/>
      <w:placeholder>
        <w:docPart w:val="DefaultPlaceholder_-1854013437"/>
      </w:placeholder>
      <w:date w:fullDate="2026-01-06T00:00:00Z">
        <w:dateFormat w:val="d MMMM yyyy"/>
        <w:lid w:val="en-GB"/>
        <w:storeMappedDataAs w:val="dateTime"/>
        <w:calendar w:val="gregorian"/>
      </w:date>
    </w:sdtPr>
    <w:sdtEndPr/>
    <w:sdtContent>
      <w:p w14:paraId="2825756C" w14:textId="63193DB3" w:rsidR="003C2E7C" w:rsidRPr="00C07D26" w:rsidRDefault="00B904D3" w:rsidP="003C2E7C">
        <w:pPr>
          <w:pStyle w:val="PublishDate"/>
          <w:framePr w:w="2835" w:h="340" w:hRule="exact" w:hSpace="180" w:wrap="around" w:vAnchor="page" w:hAnchor="page" w:x="7801" w:y="601" w:anchorLock="1"/>
        </w:pPr>
        <w:r>
          <w:t>6</w:t>
        </w:r>
        <w:r w:rsidR="003C2E7C" w:rsidRPr="00C07D26">
          <w:t xml:space="preserve"> </w:t>
        </w:r>
        <w:r w:rsidR="0038465F" w:rsidRPr="00C07D26">
          <w:t>January</w:t>
        </w:r>
        <w:r w:rsidR="003C2E7C" w:rsidRPr="00C07D26">
          <w:t xml:space="preserve"> 202</w:t>
        </w:r>
        <w:r w:rsidR="0038465F" w:rsidRPr="00C07D26">
          <w:t>6</w:t>
        </w:r>
      </w:p>
    </w:sdtContent>
  </w:sdt>
  <w:p w14:paraId="30F741BF" w14:textId="2C023549" w:rsidR="003C2E7C" w:rsidRPr="00C07D26" w:rsidRDefault="003C2E7C" w:rsidP="003C2E7C">
    <w:pPr>
      <w:pStyle w:val="ProductDescription"/>
      <w:framePr w:w="11339" w:h="1474" w:hRule="exact" w:hSpace="180" w:wrap="around" w:vAnchor="page" w:hAnchor="page" w:x="401" w:y="1141" w:anchorLock="1"/>
      <w:spacing w:after="200"/>
    </w:pPr>
    <w:r w:rsidRPr="00C07D26">
      <w:t>Research Briefing | UK</w:t>
    </w:r>
  </w:p>
  <w:p w14:paraId="0BB06419" w14:textId="17B775A8" w:rsidR="003C2E7C" w:rsidRPr="00C07D26" w:rsidRDefault="00420221" w:rsidP="003C2E7C">
    <w:pPr>
      <w:pStyle w:val="Headline"/>
      <w:framePr w:w="11339" w:h="1474" w:hRule="exact" w:hSpace="180" w:wrap="around" w:vAnchor="page" w:hAnchor="page" w:x="401" w:y="1141" w:anchorLock="1"/>
      <w:spacing w:line="200" w:lineRule="auto"/>
    </w:pPr>
    <w:r w:rsidRPr="00C07D26">
      <w:t>Why higher term premia will slow the fall in gilt yields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7C"/>
    <w:rsid w:val="0000363A"/>
    <w:rsid w:val="00003F56"/>
    <w:rsid w:val="00004E5C"/>
    <w:rsid w:val="000060AE"/>
    <w:rsid w:val="00010311"/>
    <w:rsid w:val="00014D24"/>
    <w:rsid w:val="00022483"/>
    <w:rsid w:val="00022FD6"/>
    <w:rsid w:val="0002433F"/>
    <w:rsid w:val="00025219"/>
    <w:rsid w:val="00025AC2"/>
    <w:rsid w:val="00025E65"/>
    <w:rsid w:val="00026706"/>
    <w:rsid w:val="00026F35"/>
    <w:rsid w:val="00027923"/>
    <w:rsid w:val="00032697"/>
    <w:rsid w:val="00034D8E"/>
    <w:rsid w:val="00036B10"/>
    <w:rsid w:val="000378E8"/>
    <w:rsid w:val="0004331F"/>
    <w:rsid w:val="00044D99"/>
    <w:rsid w:val="000455C7"/>
    <w:rsid w:val="000469F9"/>
    <w:rsid w:val="00050D1D"/>
    <w:rsid w:val="000534DB"/>
    <w:rsid w:val="00055D26"/>
    <w:rsid w:val="00060C8C"/>
    <w:rsid w:val="00065EFB"/>
    <w:rsid w:val="0006734F"/>
    <w:rsid w:val="00067596"/>
    <w:rsid w:val="0006785C"/>
    <w:rsid w:val="00067EDC"/>
    <w:rsid w:val="000720BE"/>
    <w:rsid w:val="000778CC"/>
    <w:rsid w:val="000811E8"/>
    <w:rsid w:val="00081C12"/>
    <w:rsid w:val="00081E39"/>
    <w:rsid w:val="00084324"/>
    <w:rsid w:val="000869AF"/>
    <w:rsid w:val="00097521"/>
    <w:rsid w:val="00097EF4"/>
    <w:rsid w:val="000A04D6"/>
    <w:rsid w:val="000A1F3D"/>
    <w:rsid w:val="000A2DCA"/>
    <w:rsid w:val="000A7469"/>
    <w:rsid w:val="000B1EA6"/>
    <w:rsid w:val="000B2D13"/>
    <w:rsid w:val="000B71C8"/>
    <w:rsid w:val="000C03CB"/>
    <w:rsid w:val="000C2DD1"/>
    <w:rsid w:val="000C2DD4"/>
    <w:rsid w:val="000C2DDA"/>
    <w:rsid w:val="000C5AE7"/>
    <w:rsid w:val="000C741D"/>
    <w:rsid w:val="000D187C"/>
    <w:rsid w:val="000D2BDC"/>
    <w:rsid w:val="000D7657"/>
    <w:rsid w:val="000D79E5"/>
    <w:rsid w:val="000E1403"/>
    <w:rsid w:val="000E20BC"/>
    <w:rsid w:val="000E2178"/>
    <w:rsid w:val="000E4561"/>
    <w:rsid w:val="000E6454"/>
    <w:rsid w:val="000E6D16"/>
    <w:rsid w:val="000F0126"/>
    <w:rsid w:val="000F053A"/>
    <w:rsid w:val="000F1A81"/>
    <w:rsid w:val="000F2E7E"/>
    <w:rsid w:val="000F3260"/>
    <w:rsid w:val="000F5AA9"/>
    <w:rsid w:val="000F5F9E"/>
    <w:rsid w:val="0010174C"/>
    <w:rsid w:val="00101A3C"/>
    <w:rsid w:val="0011169F"/>
    <w:rsid w:val="00111CB4"/>
    <w:rsid w:val="00112CF5"/>
    <w:rsid w:val="00113994"/>
    <w:rsid w:val="001223B5"/>
    <w:rsid w:val="00122E93"/>
    <w:rsid w:val="00124CD0"/>
    <w:rsid w:val="0012502E"/>
    <w:rsid w:val="00126405"/>
    <w:rsid w:val="0013105D"/>
    <w:rsid w:val="001321D6"/>
    <w:rsid w:val="001340E3"/>
    <w:rsid w:val="00134306"/>
    <w:rsid w:val="00135CD2"/>
    <w:rsid w:val="001373F9"/>
    <w:rsid w:val="0013748C"/>
    <w:rsid w:val="00140728"/>
    <w:rsid w:val="00142370"/>
    <w:rsid w:val="00143C67"/>
    <w:rsid w:val="001448BD"/>
    <w:rsid w:val="001455D2"/>
    <w:rsid w:val="00145A76"/>
    <w:rsid w:val="0014765C"/>
    <w:rsid w:val="001506A0"/>
    <w:rsid w:val="0015260E"/>
    <w:rsid w:val="00153A40"/>
    <w:rsid w:val="00154945"/>
    <w:rsid w:val="00154C13"/>
    <w:rsid w:val="00156C75"/>
    <w:rsid w:val="00157995"/>
    <w:rsid w:val="001624E3"/>
    <w:rsid w:val="0016425A"/>
    <w:rsid w:val="00164788"/>
    <w:rsid w:val="00164EEB"/>
    <w:rsid w:val="001707FB"/>
    <w:rsid w:val="00170F58"/>
    <w:rsid w:val="001733F2"/>
    <w:rsid w:val="00174129"/>
    <w:rsid w:val="00177D91"/>
    <w:rsid w:val="00181AE1"/>
    <w:rsid w:val="001843B3"/>
    <w:rsid w:val="0018520F"/>
    <w:rsid w:val="00185B9A"/>
    <w:rsid w:val="0018636A"/>
    <w:rsid w:val="00186C47"/>
    <w:rsid w:val="00191A1F"/>
    <w:rsid w:val="00192A44"/>
    <w:rsid w:val="00193015"/>
    <w:rsid w:val="001A48A5"/>
    <w:rsid w:val="001B599B"/>
    <w:rsid w:val="001B79A7"/>
    <w:rsid w:val="001C0BAB"/>
    <w:rsid w:val="001C1696"/>
    <w:rsid w:val="001C23A2"/>
    <w:rsid w:val="001C3136"/>
    <w:rsid w:val="001C3198"/>
    <w:rsid w:val="001C3540"/>
    <w:rsid w:val="001C3E22"/>
    <w:rsid w:val="001C7916"/>
    <w:rsid w:val="001D0230"/>
    <w:rsid w:val="001D0660"/>
    <w:rsid w:val="001D2D70"/>
    <w:rsid w:val="001D4021"/>
    <w:rsid w:val="001D5243"/>
    <w:rsid w:val="001D5CAE"/>
    <w:rsid w:val="001D69A3"/>
    <w:rsid w:val="001E0716"/>
    <w:rsid w:val="001E07F8"/>
    <w:rsid w:val="001E0E68"/>
    <w:rsid w:val="001E1920"/>
    <w:rsid w:val="001E3D6F"/>
    <w:rsid w:val="001E3ECE"/>
    <w:rsid w:val="001F046C"/>
    <w:rsid w:val="001F0D67"/>
    <w:rsid w:val="001F0F2A"/>
    <w:rsid w:val="001F2C0D"/>
    <w:rsid w:val="001F38CB"/>
    <w:rsid w:val="001F6742"/>
    <w:rsid w:val="001F675D"/>
    <w:rsid w:val="001F6DA9"/>
    <w:rsid w:val="00200550"/>
    <w:rsid w:val="00201F80"/>
    <w:rsid w:val="002025C8"/>
    <w:rsid w:val="00205692"/>
    <w:rsid w:val="00206A0A"/>
    <w:rsid w:val="002113C8"/>
    <w:rsid w:val="00213E73"/>
    <w:rsid w:val="0021456E"/>
    <w:rsid w:val="00217A9A"/>
    <w:rsid w:val="00221E5E"/>
    <w:rsid w:val="00221E92"/>
    <w:rsid w:val="00223B16"/>
    <w:rsid w:val="00227396"/>
    <w:rsid w:val="00232E1D"/>
    <w:rsid w:val="002332E0"/>
    <w:rsid w:val="00234848"/>
    <w:rsid w:val="002350A3"/>
    <w:rsid w:val="00235C14"/>
    <w:rsid w:val="002424C5"/>
    <w:rsid w:val="0024319D"/>
    <w:rsid w:val="0024363B"/>
    <w:rsid w:val="00246A96"/>
    <w:rsid w:val="00251CFA"/>
    <w:rsid w:val="00251FCB"/>
    <w:rsid w:val="002548DC"/>
    <w:rsid w:val="00260CA4"/>
    <w:rsid w:val="00261AE8"/>
    <w:rsid w:val="00263F77"/>
    <w:rsid w:val="00264241"/>
    <w:rsid w:val="00264865"/>
    <w:rsid w:val="00264A48"/>
    <w:rsid w:val="00265C37"/>
    <w:rsid w:val="00266268"/>
    <w:rsid w:val="00271AA8"/>
    <w:rsid w:val="002735EB"/>
    <w:rsid w:val="00275E39"/>
    <w:rsid w:val="00280CED"/>
    <w:rsid w:val="00282AD0"/>
    <w:rsid w:val="0028386F"/>
    <w:rsid w:val="00284C10"/>
    <w:rsid w:val="00286B04"/>
    <w:rsid w:val="002872DD"/>
    <w:rsid w:val="0029267A"/>
    <w:rsid w:val="0029574D"/>
    <w:rsid w:val="00295EAB"/>
    <w:rsid w:val="002A0395"/>
    <w:rsid w:val="002A2FCC"/>
    <w:rsid w:val="002A3815"/>
    <w:rsid w:val="002A383F"/>
    <w:rsid w:val="002A62F3"/>
    <w:rsid w:val="002A70BF"/>
    <w:rsid w:val="002A71F3"/>
    <w:rsid w:val="002B06A3"/>
    <w:rsid w:val="002B3B96"/>
    <w:rsid w:val="002B471D"/>
    <w:rsid w:val="002C0FC8"/>
    <w:rsid w:val="002C1928"/>
    <w:rsid w:val="002C1F44"/>
    <w:rsid w:val="002C29BD"/>
    <w:rsid w:val="002C4813"/>
    <w:rsid w:val="002C64C0"/>
    <w:rsid w:val="002D09F7"/>
    <w:rsid w:val="002D5389"/>
    <w:rsid w:val="002E33A0"/>
    <w:rsid w:val="002E3E49"/>
    <w:rsid w:val="002E4D67"/>
    <w:rsid w:val="002E4D71"/>
    <w:rsid w:val="002E613E"/>
    <w:rsid w:val="002E61AE"/>
    <w:rsid w:val="002E62BF"/>
    <w:rsid w:val="002E6BE5"/>
    <w:rsid w:val="002F0D86"/>
    <w:rsid w:val="002F17E0"/>
    <w:rsid w:val="002F505B"/>
    <w:rsid w:val="002F6DFC"/>
    <w:rsid w:val="00300093"/>
    <w:rsid w:val="00302D82"/>
    <w:rsid w:val="00302DE4"/>
    <w:rsid w:val="00302FAC"/>
    <w:rsid w:val="003039D1"/>
    <w:rsid w:val="00306F63"/>
    <w:rsid w:val="00307115"/>
    <w:rsid w:val="003103C9"/>
    <w:rsid w:val="00310EA0"/>
    <w:rsid w:val="0031646B"/>
    <w:rsid w:val="00317365"/>
    <w:rsid w:val="00320CF4"/>
    <w:rsid w:val="003213DC"/>
    <w:rsid w:val="0032211E"/>
    <w:rsid w:val="00322EAF"/>
    <w:rsid w:val="00323EA4"/>
    <w:rsid w:val="00324BEC"/>
    <w:rsid w:val="00325875"/>
    <w:rsid w:val="00325BA2"/>
    <w:rsid w:val="00330322"/>
    <w:rsid w:val="00330793"/>
    <w:rsid w:val="00330904"/>
    <w:rsid w:val="00331B68"/>
    <w:rsid w:val="0033274F"/>
    <w:rsid w:val="00337910"/>
    <w:rsid w:val="00342775"/>
    <w:rsid w:val="003444CF"/>
    <w:rsid w:val="003445D8"/>
    <w:rsid w:val="00344ACB"/>
    <w:rsid w:val="00344EEC"/>
    <w:rsid w:val="0034500E"/>
    <w:rsid w:val="00345BE0"/>
    <w:rsid w:val="003469CB"/>
    <w:rsid w:val="00350E36"/>
    <w:rsid w:val="00351D1D"/>
    <w:rsid w:val="003526AC"/>
    <w:rsid w:val="00352877"/>
    <w:rsid w:val="00352C5A"/>
    <w:rsid w:val="00353318"/>
    <w:rsid w:val="00354C45"/>
    <w:rsid w:val="00355AEB"/>
    <w:rsid w:val="00360505"/>
    <w:rsid w:val="003613FA"/>
    <w:rsid w:val="0036201A"/>
    <w:rsid w:val="003635C2"/>
    <w:rsid w:val="00363DDF"/>
    <w:rsid w:val="00370658"/>
    <w:rsid w:val="0037175D"/>
    <w:rsid w:val="00372C9F"/>
    <w:rsid w:val="003732F2"/>
    <w:rsid w:val="003769C2"/>
    <w:rsid w:val="00377BF9"/>
    <w:rsid w:val="003808BA"/>
    <w:rsid w:val="00382280"/>
    <w:rsid w:val="003828B1"/>
    <w:rsid w:val="0038465F"/>
    <w:rsid w:val="0038484C"/>
    <w:rsid w:val="00384E30"/>
    <w:rsid w:val="00385FE3"/>
    <w:rsid w:val="00386679"/>
    <w:rsid w:val="003907D4"/>
    <w:rsid w:val="0039193E"/>
    <w:rsid w:val="00391B9C"/>
    <w:rsid w:val="00393859"/>
    <w:rsid w:val="00394AC7"/>
    <w:rsid w:val="003A0E1B"/>
    <w:rsid w:val="003A2D6A"/>
    <w:rsid w:val="003A3461"/>
    <w:rsid w:val="003A37B4"/>
    <w:rsid w:val="003B0E56"/>
    <w:rsid w:val="003B18AF"/>
    <w:rsid w:val="003B2C10"/>
    <w:rsid w:val="003B4EA0"/>
    <w:rsid w:val="003C2E7C"/>
    <w:rsid w:val="003C4493"/>
    <w:rsid w:val="003C6FBF"/>
    <w:rsid w:val="003C7F1A"/>
    <w:rsid w:val="003D30FE"/>
    <w:rsid w:val="003D3A40"/>
    <w:rsid w:val="003D484B"/>
    <w:rsid w:val="003D4D30"/>
    <w:rsid w:val="003D68F2"/>
    <w:rsid w:val="003D6A06"/>
    <w:rsid w:val="003D7DA1"/>
    <w:rsid w:val="003E136D"/>
    <w:rsid w:val="003E3E39"/>
    <w:rsid w:val="003E4C1B"/>
    <w:rsid w:val="003E60BB"/>
    <w:rsid w:val="003E7A3E"/>
    <w:rsid w:val="003F04FC"/>
    <w:rsid w:val="003F0BB9"/>
    <w:rsid w:val="003F19E8"/>
    <w:rsid w:val="003F3106"/>
    <w:rsid w:val="003F339C"/>
    <w:rsid w:val="003F71DA"/>
    <w:rsid w:val="0040328B"/>
    <w:rsid w:val="00403448"/>
    <w:rsid w:val="00403468"/>
    <w:rsid w:val="004042C8"/>
    <w:rsid w:val="0040529E"/>
    <w:rsid w:val="00405B1B"/>
    <w:rsid w:val="004072FB"/>
    <w:rsid w:val="004100B6"/>
    <w:rsid w:val="00410112"/>
    <w:rsid w:val="00411093"/>
    <w:rsid w:val="00411D7A"/>
    <w:rsid w:val="00412953"/>
    <w:rsid w:val="0041338E"/>
    <w:rsid w:val="004139A5"/>
    <w:rsid w:val="004147A9"/>
    <w:rsid w:val="0041575F"/>
    <w:rsid w:val="004168B7"/>
    <w:rsid w:val="00417F0E"/>
    <w:rsid w:val="00420221"/>
    <w:rsid w:val="00424D72"/>
    <w:rsid w:val="00430C38"/>
    <w:rsid w:val="00431928"/>
    <w:rsid w:val="00434D04"/>
    <w:rsid w:val="00435CE0"/>
    <w:rsid w:val="00437A52"/>
    <w:rsid w:val="00450C49"/>
    <w:rsid w:val="00454127"/>
    <w:rsid w:val="00454417"/>
    <w:rsid w:val="00454D9C"/>
    <w:rsid w:val="00455E6A"/>
    <w:rsid w:val="00457B9C"/>
    <w:rsid w:val="00460140"/>
    <w:rsid w:val="00460395"/>
    <w:rsid w:val="004614B1"/>
    <w:rsid w:val="0046158A"/>
    <w:rsid w:val="00464DB9"/>
    <w:rsid w:val="00464FC1"/>
    <w:rsid w:val="00465A75"/>
    <w:rsid w:val="004670F2"/>
    <w:rsid w:val="004729D1"/>
    <w:rsid w:val="00472AD8"/>
    <w:rsid w:val="0047356A"/>
    <w:rsid w:val="00475E38"/>
    <w:rsid w:val="00476925"/>
    <w:rsid w:val="004816EA"/>
    <w:rsid w:val="00484B39"/>
    <w:rsid w:val="004858B4"/>
    <w:rsid w:val="0048686D"/>
    <w:rsid w:val="0049121D"/>
    <w:rsid w:val="00491B3B"/>
    <w:rsid w:val="00492148"/>
    <w:rsid w:val="0049300F"/>
    <w:rsid w:val="00493622"/>
    <w:rsid w:val="00494105"/>
    <w:rsid w:val="00494B5A"/>
    <w:rsid w:val="0049652E"/>
    <w:rsid w:val="004A0004"/>
    <w:rsid w:val="004A5BA5"/>
    <w:rsid w:val="004A6301"/>
    <w:rsid w:val="004A73EE"/>
    <w:rsid w:val="004B0E1B"/>
    <w:rsid w:val="004B2A95"/>
    <w:rsid w:val="004B3FDD"/>
    <w:rsid w:val="004B65C5"/>
    <w:rsid w:val="004C3D32"/>
    <w:rsid w:val="004C41C1"/>
    <w:rsid w:val="004C4D38"/>
    <w:rsid w:val="004C5E7C"/>
    <w:rsid w:val="004C7B4F"/>
    <w:rsid w:val="004D55D5"/>
    <w:rsid w:val="004D595F"/>
    <w:rsid w:val="004E1269"/>
    <w:rsid w:val="004E24BD"/>
    <w:rsid w:val="004E64D2"/>
    <w:rsid w:val="004E6F66"/>
    <w:rsid w:val="004F2339"/>
    <w:rsid w:val="004F5F14"/>
    <w:rsid w:val="004F775F"/>
    <w:rsid w:val="005114D9"/>
    <w:rsid w:val="005114E4"/>
    <w:rsid w:val="005139E0"/>
    <w:rsid w:val="00514090"/>
    <w:rsid w:val="00514C7F"/>
    <w:rsid w:val="00515EE4"/>
    <w:rsid w:val="0051610C"/>
    <w:rsid w:val="005171A6"/>
    <w:rsid w:val="005178EE"/>
    <w:rsid w:val="00517DD5"/>
    <w:rsid w:val="00520749"/>
    <w:rsid w:val="0052083D"/>
    <w:rsid w:val="00520E37"/>
    <w:rsid w:val="00525064"/>
    <w:rsid w:val="00525AB0"/>
    <w:rsid w:val="00527232"/>
    <w:rsid w:val="00530C7E"/>
    <w:rsid w:val="005327DA"/>
    <w:rsid w:val="0053301E"/>
    <w:rsid w:val="0053385D"/>
    <w:rsid w:val="005340C0"/>
    <w:rsid w:val="00534C35"/>
    <w:rsid w:val="00537083"/>
    <w:rsid w:val="00537DA5"/>
    <w:rsid w:val="00541119"/>
    <w:rsid w:val="00544670"/>
    <w:rsid w:val="005455A4"/>
    <w:rsid w:val="00546871"/>
    <w:rsid w:val="00546D2D"/>
    <w:rsid w:val="00550C12"/>
    <w:rsid w:val="00551214"/>
    <w:rsid w:val="00552114"/>
    <w:rsid w:val="005548AD"/>
    <w:rsid w:val="005549C1"/>
    <w:rsid w:val="00555820"/>
    <w:rsid w:val="00557BEF"/>
    <w:rsid w:val="00564E79"/>
    <w:rsid w:val="00566FF3"/>
    <w:rsid w:val="00571AD1"/>
    <w:rsid w:val="00571D4A"/>
    <w:rsid w:val="00571E9F"/>
    <w:rsid w:val="00572725"/>
    <w:rsid w:val="00572CD2"/>
    <w:rsid w:val="00574291"/>
    <w:rsid w:val="005746AD"/>
    <w:rsid w:val="00576837"/>
    <w:rsid w:val="00576C3F"/>
    <w:rsid w:val="005772FE"/>
    <w:rsid w:val="00577947"/>
    <w:rsid w:val="00580201"/>
    <w:rsid w:val="0058091B"/>
    <w:rsid w:val="00583EB1"/>
    <w:rsid w:val="0058559D"/>
    <w:rsid w:val="00586017"/>
    <w:rsid w:val="00587F8C"/>
    <w:rsid w:val="0059045E"/>
    <w:rsid w:val="00594118"/>
    <w:rsid w:val="0059664E"/>
    <w:rsid w:val="0059685A"/>
    <w:rsid w:val="00597949"/>
    <w:rsid w:val="005A34C5"/>
    <w:rsid w:val="005A3954"/>
    <w:rsid w:val="005A456C"/>
    <w:rsid w:val="005A580B"/>
    <w:rsid w:val="005A7196"/>
    <w:rsid w:val="005B3B0B"/>
    <w:rsid w:val="005C051C"/>
    <w:rsid w:val="005C07E5"/>
    <w:rsid w:val="005C1B26"/>
    <w:rsid w:val="005C1B59"/>
    <w:rsid w:val="005C3D67"/>
    <w:rsid w:val="005D2509"/>
    <w:rsid w:val="005D4E01"/>
    <w:rsid w:val="005D653A"/>
    <w:rsid w:val="005D68A5"/>
    <w:rsid w:val="005E0686"/>
    <w:rsid w:val="005F0C02"/>
    <w:rsid w:val="005F0FC0"/>
    <w:rsid w:val="005F1CAE"/>
    <w:rsid w:val="005F213E"/>
    <w:rsid w:val="005F262F"/>
    <w:rsid w:val="005F26EF"/>
    <w:rsid w:val="005F437B"/>
    <w:rsid w:val="005F4743"/>
    <w:rsid w:val="005F56E4"/>
    <w:rsid w:val="005F5F04"/>
    <w:rsid w:val="006006B0"/>
    <w:rsid w:val="006019CD"/>
    <w:rsid w:val="00602D58"/>
    <w:rsid w:val="006059E5"/>
    <w:rsid w:val="006073E3"/>
    <w:rsid w:val="00607A54"/>
    <w:rsid w:val="00616AD8"/>
    <w:rsid w:val="00616F02"/>
    <w:rsid w:val="006226F2"/>
    <w:rsid w:val="0062511D"/>
    <w:rsid w:val="00626B19"/>
    <w:rsid w:val="006270AC"/>
    <w:rsid w:val="006270FD"/>
    <w:rsid w:val="006306DA"/>
    <w:rsid w:val="00632B83"/>
    <w:rsid w:val="00634525"/>
    <w:rsid w:val="0063454C"/>
    <w:rsid w:val="006366D8"/>
    <w:rsid w:val="006368AF"/>
    <w:rsid w:val="00641DD9"/>
    <w:rsid w:val="00641F40"/>
    <w:rsid w:val="006438BD"/>
    <w:rsid w:val="00645BF1"/>
    <w:rsid w:val="0065000D"/>
    <w:rsid w:val="006508B3"/>
    <w:rsid w:val="0065296A"/>
    <w:rsid w:val="00655964"/>
    <w:rsid w:val="006562AB"/>
    <w:rsid w:val="00656F9C"/>
    <w:rsid w:val="00657F89"/>
    <w:rsid w:val="0066148D"/>
    <w:rsid w:val="0066165F"/>
    <w:rsid w:val="00662633"/>
    <w:rsid w:val="006640A9"/>
    <w:rsid w:val="00670BFC"/>
    <w:rsid w:val="0067202C"/>
    <w:rsid w:val="00672937"/>
    <w:rsid w:val="00673875"/>
    <w:rsid w:val="00673B00"/>
    <w:rsid w:val="006754D8"/>
    <w:rsid w:val="0067609D"/>
    <w:rsid w:val="00676B9B"/>
    <w:rsid w:val="006773B3"/>
    <w:rsid w:val="00685BFC"/>
    <w:rsid w:val="00685D06"/>
    <w:rsid w:val="0068716C"/>
    <w:rsid w:val="00690497"/>
    <w:rsid w:val="006909A0"/>
    <w:rsid w:val="006929D6"/>
    <w:rsid w:val="00693628"/>
    <w:rsid w:val="006A0E06"/>
    <w:rsid w:val="006A1A36"/>
    <w:rsid w:val="006A3E55"/>
    <w:rsid w:val="006A608B"/>
    <w:rsid w:val="006A6493"/>
    <w:rsid w:val="006B1B18"/>
    <w:rsid w:val="006B47D2"/>
    <w:rsid w:val="006B4D91"/>
    <w:rsid w:val="006B4F14"/>
    <w:rsid w:val="006B5E8C"/>
    <w:rsid w:val="006B5FD7"/>
    <w:rsid w:val="006B7AD8"/>
    <w:rsid w:val="006B7FCA"/>
    <w:rsid w:val="006C0265"/>
    <w:rsid w:val="006C0D35"/>
    <w:rsid w:val="006C1228"/>
    <w:rsid w:val="006C1E35"/>
    <w:rsid w:val="006C3456"/>
    <w:rsid w:val="006C3E1A"/>
    <w:rsid w:val="006C7DEC"/>
    <w:rsid w:val="006D0AEC"/>
    <w:rsid w:val="006D3C3F"/>
    <w:rsid w:val="006D4D09"/>
    <w:rsid w:val="006D568D"/>
    <w:rsid w:val="006D7871"/>
    <w:rsid w:val="006F03F0"/>
    <w:rsid w:val="006F1BFA"/>
    <w:rsid w:val="006F28F2"/>
    <w:rsid w:val="006F4873"/>
    <w:rsid w:val="006F4E73"/>
    <w:rsid w:val="006F5813"/>
    <w:rsid w:val="006F7F1F"/>
    <w:rsid w:val="00703915"/>
    <w:rsid w:val="00704B61"/>
    <w:rsid w:val="007068FB"/>
    <w:rsid w:val="00706F42"/>
    <w:rsid w:val="0071748A"/>
    <w:rsid w:val="0071782D"/>
    <w:rsid w:val="007219DD"/>
    <w:rsid w:val="00723D8F"/>
    <w:rsid w:val="00726231"/>
    <w:rsid w:val="00726D14"/>
    <w:rsid w:val="0073321A"/>
    <w:rsid w:val="00733963"/>
    <w:rsid w:val="0073768A"/>
    <w:rsid w:val="00737B18"/>
    <w:rsid w:val="0074180C"/>
    <w:rsid w:val="0074509F"/>
    <w:rsid w:val="007451BA"/>
    <w:rsid w:val="00745F09"/>
    <w:rsid w:val="0074754B"/>
    <w:rsid w:val="00751D91"/>
    <w:rsid w:val="00753B0E"/>
    <w:rsid w:val="00753C2A"/>
    <w:rsid w:val="00754741"/>
    <w:rsid w:val="00754AFA"/>
    <w:rsid w:val="00756381"/>
    <w:rsid w:val="00756579"/>
    <w:rsid w:val="00760C4B"/>
    <w:rsid w:val="00762354"/>
    <w:rsid w:val="007635E0"/>
    <w:rsid w:val="007637AD"/>
    <w:rsid w:val="00763D64"/>
    <w:rsid w:val="0076442F"/>
    <w:rsid w:val="0076498A"/>
    <w:rsid w:val="007656CF"/>
    <w:rsid w:val="00772573"/>
    <w:rsid w:val="00773FBE"/>
    <w:rsid w:val="007753FF"/>
    <w:rsid w:val="00776402"/>
    <w:rsid w:val="0077664A"/>
    <w:rsid w:val="0077679C"/>
    <w:rsid w:val="00776877"/>
    <w:rsid w:val="00777077"/>
    <w:rsid w:val="00781746"/>
    <w:rsid w:val="00783244"/>
    <w:rsid w:val="00786ABB"/>
    <w:rsid w:val="00787637"/>
    <w:rsid w:val="007907DF"/>
    <w:rsid w:val="00790EB9"/>
    <w:rsid w:val="0079359C"/>
    <w:rsid w:val="00795E67"/>
    <w:rsid w:val="0079686D"/>
    <w:rsid w:val="007A3E3C"/>
    <w:rsid w:val="007A4259"/>
    <w:rsid w:val="007B00F3"/>
    <w:rsid w:val="007B192D"/>
    <w:rsid w:val="007B4093"/>
    <w:rsid w:val="007B4856"/>
    <w:rsid w:val="007B52BC"/>
    <w:rsid w:val="007B65EB"/>
    <w:rsid w:val="007B6E4A"/>
    <w:rsid w:val="007C1A13"/>
    <w:rsid w:val="007C417B"/>
    <w:rsid w:val="007C459E"/>
    <w:rsid w:val="007C4D0F"/>
    <w:rsid w:val="007C6FEE"/>
    <w:rsid w:val="007D04E6"/>
    <w:rsid w:val="007D1FBD"/>
    <w:rsid w:val="007D5E6B"/>
    <w:rsid w:val="007D6843"/>
    <w:rsid w:val="007D751D"/>
    <w:rsid w:val="007E5327"/>
    <w:rsid w:val="007E6E5C"/>
    <w:rsid w:val="007E7358"/>
    <w:rsid w:val="007F35E4"/>
    <w:rsid w:val="007F43B4"/>
    <w:rsid w:val="008005AA"/>
    <w:rsid w:val="00801365"/>
    <w:rsid w:val="008029E0"/>
    <w:rsid w:val="00805DA5"/>
    <w:rsid w:val="00805DBA"/>
    <w:rsid w:val="00807042"/>
    <w:rsid w:val="00810374"/>
    <w:rsid w:val="00810E92"/>
    <w:rsid w:val="0081241C"/>
    <w:rsid w:val="008133A8"/>
    <w:rsid w:val="008134AB"/>
    <w:rsid w:val="0081446B"/>
    <w:rsid w:val="00815397"/>
    <w:rsid w:val="00817045"/>
    <w:rsid w:val="008224A9"/>
    <w:rsid w:val="008237B9"/>
    <w:rsid w:val="00824348"/>
    <w:rsid w:val="00826AE2"/>
    <w:rsid w:val="008303FA"/>
    <w:rsid w:val="008321AD"/>
    <w:rsid w:val="008329FF"/>
    <w:rsid w:val="00836285"/>
    <w:rsid w:val="008365B2"/>
    <w:rsid w:val="008379F1"/>
    <w:rsid w:val="0084169C"/>
    <w:rsid w:val="008418E1"/>
    <w:rsid w:val="00842731"/>
    <w:rsid w:val="00842891"/>
    <w:rsid w:val="00845CD0"/>
    <w:rsid w:val="00846B5F"/>
    <w:rsid w:val="00847084"/>
    <w:rsid w:val="00851356"/>
    <w:rsid w:val="00852289"/>
    <w:rsid w:val="008547A4"/>
    <w:rsid w:val="008556AC"/>
    <w:rsid w:val="008579BA"/>
    <w:rsid w:val="00860802"/>
    <w:rsid w:val="00861A58"/>
    <w:rsid w:val="00862800"/>
    <w:rsid w:val="00862D78"/>
    <w:rsid w:val="00863539"/>
    <w:rsid w:val="00865014"/>
    <w:rsid w:val="00865819"/>
    <w:rsid w:val="00873494"/>
    <w:rsid w:val="008740A0"/>
    <w:rsid w:val="008768D9"/>
    <w:rsid w:val="00881DDA"/>
    <w:rsid w:val="0088454A"/>
    <w:rsid w:val="008855B6"/>
    <w:rsid w:val="00885B90"/>
    <w:rsid w:val="00885BCA"/>
    <w:rsid w:val="008863F9"/>
    <w:rsid w:val="00887D48"/>
    <w:rsid w:val="00890E94"/>
    <w:rsid w:val="00891AA7"/>
    <w:rsid w:val="00895E97"/>
    <w:rsid w:val="008A0A19"/>
    <w:rsid w:val="008A0F86"/>
    <w:rsid w:val="008A15BF"/>
    <w:rsid w:val="008A3589"/>
    <w:rsid w:val="008A3739"/>
    <w:rsid w:val="008A3E6F"/>
    <w:rsid w:val="008A6548"/>
    <w:rsid w:val="008B0562"/>
    <w:rsid w:val="008B1F54"/>
    <w:rsid w:val="008B5848"/>
    <w:rsid w:val="008B68B6"/>
    <w:rsid w:val="008C1927"/>
    <w:rsid w:val="008C3004"/>
    <w:rsid w:val="008C59E0"/>
    <w:rsid w:val="008C615F"/>
    <w:rsid w:val="008C7B2A"/>
    <w:rsid w:val="008C7EEC"/>
    <w:rsid w:val="008D1E29"/>
    <w:rsid w:val="008D44F9"/>
    <w:rsid w:val="008D553C"/>
    <w:rsid w:val="008D7553"/>
    <w:rsid w:val="008D7BDA"/>
    <w:rsid w:val="008D7CAA"/>
    <w:rsid w:val="008E0003"/>
    <w:rsid w:val="008E0F2D"/>
    <w:rsid w:val="008E379D"/>
    <w:rsid w:val="008E3B4A"/>
    <w:rsid w:val="008E5E55"/>
    <w:rsid w:val="008E7717"/>
    <w:rsid w:val="008E7F38"/>
    <w:rsid w:val="008F113C"/>
    <w:rsid w:val="008F4127"/>
    <w:rsid w:val="008F7D8D"/>
    <w:rsid w:val="0090071C"/>
    <w:rsid w:val="009023A6"/>
    <w:rsid w:val="00904FCE"/>
    <w:rsid w:val="00905301"/>
    <w:rsid w:val="0090583C"/>
    <w:rsid w:val="00905A5A"/>
    <w:rsid w:val="00905D32"/>
    <w:rsid w:val="00910BC9"/>
    <w:rsid w:val="009117C4"/>
    <w:rsid w:val="009117D4"/>
    <w:rsid w:val="009124D5"/>
    <w:rsid w:val="00912730"/>
    <w:rsid w:val="00913854"/>
    <w:rsid w:val="00914293"/>
    <w:rsid w:val="00916E77"/>
    <w:rsid w:val="00920ADC"/>
    <w:rsid w:val="00923246"/>
    <w:rsid w:val="009315C1"/>
    <w:rsid w:val="00932477"/>
    <w:rsid w:val="00935B78"/>
    <w:rsid w:val="00936D8C"/>
    <w:rsid w:val="009428C3"/>
    <w:rsid w:val="00947DAB"/>
    <w:rsid w:val="0095022E"/>
    <w:rsid w:val="0095071B"/>
    <w:rsid w:val="00950AB2"/>
    <w:rsid w:val="00951102"/>
    <w:rsid w:val="009512F4"/>
    <w:rsid w:val="009517DD"/>
    <w:rsid w:val="00951978"/>
    <w:rsid w:val="00954442"/>
    <w:rsid w:val="00955403"/>
    <w:rsid w:val="00963A4E"/>
    <w:rsid w:val="009645FE"/>
    <w:rsid w:val="00964B98"/>
    <w:rsid w:val="009673E8"/>
    <w:rsid w:val="009701C0"/>
    <w:rsid w:val="00972110"/>
    <w:rsid w:val="00975507"/>
    <w:rsid w:val="009811A3"/>
    <w:rsid w:val="00984A6D"/>
    <w:rsid w:val="009864C0"/>
    <w:rsid w:val="00987F38"/>
    <w:rsid w:val="00990230"/>
    <w:rsid w:val="00990773"/>
    <w:rsid w:val="009907B1"/>
    <w:rsid w:val="0099109C"/>
    <w:rsid w:val="00995E0A"/>
    <w:rsid w:val="00996291"/>
    <w:rsid w:val="009A0DBE"/>
    <w:rsid w:val="009A2098"/>
    <w:rsid w:val="009A4AE9"/>
    <w:rsid w:val="009A59B4"/>
    <w:rsid w:val="009B2A1F"/>
    <w:rsid w:val="009B2AFF"/>
    <w:rsid w:val="009B2C3F"/>
    <w:rsid w:val="009B2CFC"/>
    <w:rsid w:val="009B3455"/>
    <w:rsid w:val="009B49AD"/>
    <w:rsid w:val="009B53C6"/>
    <w:rsid w:val="009B56B6"/>
    <w:rsid w:val="009C23A2"/>
    <w:rsid w:val="009C4DB0"/>
    <w:rsid w:val="009C790B"/>
    <w:rsid w:val="009D261B"/>
    <w:rsid w:val="009D4B8F"/>
    <w:rsid w:val="009D4F2F"/>
    <w:rsid w:val="009D5534"/>
    <w:rsid w:val="009D62E4"/>
    <w:rsid w:val="009E01D8"/>
    <w:rsid w:val="009E0F11"/>
    <w:rsid w:val="009E1B6E"/>
    <w:rsid w:val="009E2365"/>
    <w:rsid w:val="009E2467"/>
    <w:rsid w:val="009E24B8"/>
    <w:rsid w:val="009E2EC2"/>
    <w:rsid w:val="009E515C"/>
    <w:rsid w:val="009E6941"/>
    <w:rsid w:val="009F23F7"/>
    <w:rsid w:val="009F2AD3"/>
    <w:rsid w:val="009F463F"/>
    <w:rsid w:val="009F5128"/>
    <w:rsid w:val="009F641E"/>
    <w:rsid w:val="009F7FE8"/>
    <w:rsid w:val="00A00339"/>
    <w:rsid w:val="00A00DC3"/>
    <w:rsid w:val="00A017D5"/>
    <w:rsid w:val="00A01F2C"/>
    <w:rsid w:val="00A0303E"/>
    <w:rsid w:val="00A03BED"/>
    <w:rsid w:val="00A041C0"/>
    <w:rsid w:val="00A0647C"/>
    <w:rsid w:val="00A073EB"/>
    <w:rsid w:val="00A12D83"/>
    <w:rsid w:val="00A13D52"/>
    <w:rsid w:val="00A15BC1"/>
    <w:rsid w:val="00A17186"/>
    <w:rsid w:val="00A202E0"/>
    <w:rsid w:val="00A2040F"/>
    <w:rsid w:val="00A218AF"/>
    <w:rsid w:val="00A25410"/>
    <w:rsid w:val="00A266E4"/>
    <w:rsid w:val="00A3325F"/>
    <w:rsid w:val="00A33D6E"/>
    <w:rsid w:val="00A35971"/>
    <w:rsid w:val="00A369C7"/>
    <w:rsid w:val="00A418BC"/>
    <w:rsid w:val="00A428A5"/>
    <w:rsid w:val="00A42DAE"/>
    <w:rsid w:val="00A43FF3"/>
    <w:rsid w:val="00A4414D"/>
    <w:rsid w:val="00A44326"/>
    <w:rsid w:val="00A44BCA"/>
    <w:rsid w:val="00A45385"/>
    <w:rsid w:val="00A4574E"/>
    <w:rsid w:val="00A53AC4"/>
    <w:rsid w:val="00A551E8"/>
    <w:rsid w:val="00A6307E"/>
    <w:rsid w:val="00A63A74"/>
    <w:rsid w:val="00A6623A"/>
    <w:rsid w:val="00A7006C"/>
    <w:rsid w:val="00A70E9F"/>
    <w:rsid w:val="00A73D33"/>
    <w:rsid w:val="00A8359B"/>
    <w:rsid w:val="00A84446"/>
    <w:rsid w:val="00A844A6"/>
    <w:rsid w:val="00A851A4"/>
    <w:rsid w:val="00A853C5"/>
    <w:rsid w:val="00A86304"/>
    <w:rsid w:val="00A91BAF"/>
    <w:rsid w:val="00A91F84"/>
    <w:rsid w:val="00A92021"/>
    <w:rsid w:val="00A92889"/>
    <w:rsid w:val="00A939EA"/>
    <w:rsid w:val="00A94A04"/>
    <w:rsid w:val="00A95DD6"/>
    <w:rsid w:val="00A96087"/>
    <w:rsid w:val="00AA543F"/>
    <w:rsid w:val="00AA70F5"/>
    <w:rsid w:val="00AA7945"/>
    <w:rsid w:val="00AA7DC8"/>
    <w:rsid w:val="00AB083F"/>
    <w:rsid w:val="00AB2939"/>
    <w:rsid w:val="00AB7124"/>
    <w:rsid w:val="00AB7668"/>
    <w:rsid w:val="00AC4A1A"/>
    <w:rsid w:val="00AC5128"/>
    <w:rsid w:val="00AC559A"/>
    <w:rsid w:val="00AC65D0"/>
    <w:rsid w:val="00AC73B7"/>
    <w:rsid w:val="00AD1302"/>
    <w:rsid w:val="00AD3E9B"/>
    <w:rsid w:val="00AD5000"/>
    <w:rsid w:val="00AD51E9"/>
    <w:rsid w:val="00AD5BFE"/>
    <w:rsid w:val="00AD5D8D"/>
    <w:rsid w:val="00AD7AA7"/>
    <w:rsid w:val="00AE0ACA"/>
    <w:rsid w:val="00AE3BAC"/>
    <w:rsid w:val="00AE3FDA"/>
    <w:rsid w:val="00AE4510"/>
    <w:rsid w:val="00AE5AC2"/>
    <w:rsid w:val="00AE62BA"/>
    <w:rsid w:val="00AE6440"/>
    <w:rsid w:val="00AF0E59"/>
    <w:rsid w:val="00AF435B"/>
    <w:rsid w:val="00AF7A64"/>
    <w:rsid w:val="00AF7FAC"/>
    <w:rsid w:val="00B0745B"/>
    <w:rsid w:val="00B101DE"/>
    <w:rsid w:val="00B10E40"/>
    <w:rsid w:val="00B13A30"/>
    <w:rsid w:val="00B13D38"/>
    <w:rsid w:val="00B15025"/>
    <w:rsid w:val="00B161A8"/>
    <w:rsid w:val="00B1678F"/>
    <w:rsid w:val="00B23413"/>
    <w:rsid w:val="00B25733"/>
    <w:rsid w:val="00B27743"/>
    <w:rsid w:val="00B3006F"/>
    <w:rsid w:val="00B32089"/>
    <w:rsid w:val="00B322A3"/>
    <w:rsid w:val="00B33B44"/>
    <w:rsid w:val="00B35EE1"/>
    <w:rsid w:val="00B368F2"/>
    <w:rsid w:val="00B377F1"/>
    <w:rsid w:val="00B41C2F"/>
    <w:rsid w:val="00B4346C"/>
    <w:rsid w:val="00B47EEA"/>
    <w:rsid w:val="00B53E18"/>
    <w:rsid w:val="00B54258"/>
    <w:rsid w:val="00B54C70"/>
    <w:rsid w:val="00B55233"/>
    <w:rsid w:val="00B554F2"/>
    <w:rsid w:val="00B60A36"/>
    <w:rsid w:val="00B617B7"/>
    <w:rsid w:val="00B70051"/>
    <w:rsid w:val="00B70680"/>
    <w:rsid w:val="00B73184"/>
    <w:rsid w:val="00B73809"/>
    <w:rsid w:val="00B7433A"/>
    <w:rsid w:val="00B75BF0"/>
    <w:rsid w:val="00B766DE"/>
    <w:rsid w:val="00B770BC"/>
    <w:rsid w:val="00B82CA0"/>
    <w:rsid w:val="00B83FAB"/>
    <w:rsid w:val="00B851E5"/>
    <w:rsid w:val="00B859F9"/>
    <w:rsid w:val="00B904D3"/>
    <w:rsid w:val="00B93F4F"/>
    <w:rsid w:val="00B9610E"/>
    <w:rsid w:val="00BA1ABF"/>
    <w:rsid w:val="00BA1F02"/>
    <w:rsid w:val="00BA3611"/>
    <w:rsid w:val="00BA649B"/>
    <w:rsid w:val="00BB0F6E"/>
    <w:rsid w:val="00BB23D9"/>
    <w:rsid w:val="00BB286A"/>
    <w:rsid w:val="00BC07F0"/>
    <w:rsid w:val="00BC4E66"/>
    <w:rsid w:val="00BC73BC"/>
    <w:rsid w:val="00BD4162"/>
    <w:rsid w:val="00BD609A"/>
    <w:rsid w:val="00BD775A"/>
    <w:rsid w:val="00BE11D5"/>
    <w:rsid w:val="00BE174A"/>
    <w:rsid w:val="00BE38E5"/>
    <w:rsid w:val="00BE56CA"/>
    <w:rsid w:val="00BE5878"/>
    <w:rsid w:val="00BE5A73"/>
    <w:rsid w:val="00BF16E4"/>
    <w:rsid w:val="00BF1D7F"/>
    <w:rsid w:val="00BF21DE"/>
    <w:rsid w:val="00BF2215"/>
    <w:rsid w:val="00BF25FF"/>
    <w:rsid w:val="00BF2D2F"/>
    <w:rsid w:val="00BF6790"/>
    <w:rsid w:val="00BF740D"/>
    <w:rsid w:val="00C00B54"/>
    <w:rsid w:val="00C00DC9"/>
    <w:rsid w:val="00C0332A"/>
    <w:rsid w:val="00C071A9"/>
    <w:rsid w:val="00C07B27"/>
    <w:rsid w:val="00C07D26"/>
    <w:rsid w:val="00C110C5"/>
    <w:rsid w:val="00C1113B"/>
    <w:rsid w:val="00C1131B"/>
    <w:rsid w:val="00C14B9B"/>
    <w:rsid w:val="00C1774C"/>
    <w:rsid w:val="00C20872"/>
    <w:rsid w:val="00C2289D"/>
    <w:rsid w:val="00C22F16"/>
    <w:rsid w:val="00C26208"/>
    <w:rsid w:val="00C262D0"/>
    <w:rsid w:val="00C31D7D"/>
    <w:rsid w:val="00C352C3"/>
    <w:rsid w:val="00C35DC5"/>
    <w:rsid w:val="00C37F29"/>
    <w:rsid w:val="00C4276D"/>
    <w:rsid w:val="00C43256"/>
    <w:rsid w:val="00C44585"/>
    <w:rsid w:val="00C4458B"/>
    <w:rsid w:val="00C445E7"/>
    <w:rsid w:val="00C5014A"/>
    <w:rsid w:val="00C50CAA"/>
    <w:rsid w:val="00C51F88"/>
    <w:rsid w:val="00C5284E"/>
    <w:rsid w:val="00C53A42"/>
    <w:rsid w:val="00C6068B"/>
    <w:rsid w:val="00C61DCD"/>
    <w:rsid w:val="00C63881"/>
    <w:rsid w:val="00C64DBB"/>
    <w:rsid w:val="00C65403"/>
    <w:rsid w:val="00C659ED"/>
    <w:rsid w:val="00C6738D"/>
    <w:rsid w:val="00C716ED"/>
    <w:rsid w:val="00C72FA2"/>
    <w:rsid w:val="00C732E6"/>
    <w:rsid w:val="00C74123"/>
    <w:rsid w:val="00C74282"/>
    <w:rsid w:val="00C74778"/>
    <w:rsid w:val="00C747F1"/>
    <w:rsid w:val="00C7670F"/>
    <w:rsid w:val="00C80795"/>
    <w:rsid w:val="00C80BF0"/>
    <w:rsid w:val="00C80D79"/>
    <w:rsid w:val="00C82BFF"/>
    <w:rsid w:val="00C82F7F"/>
    <w:rsid w:val="00C84A6A"/>
    <w:rsid w:val="00C853EA"/>
    <w:rsid w:val="00C8638F"/>
    <w:rsid w:val="00C87066"/>
    <w:rsid w:val="00C91836"/>
    <w:rsid w:val="00C921FD"/>
    <w:rsid w:val="00C925C8"/>
    <w:rsid w:val="00C967EF"/>
    <w:rsid w:val="00CA11BB"/>
    <w:rsid w:val="00CA1639"/>
    <w:rsid w:val="00CA1879"/>
    <w:rsid w:val="00CA3696"/>
    <w:rsid w:val="00CA38C0"/>
    <w:rsid w:val="00CA7B4E"/>
    <w:rsid w:val="00CB02DB"/>
    <w:rsid w:val="00CB0B0B"/>
    <w:rsid w:val="00CB0F00"/>
    <w:rsid w:val="00CB17B5"/>
    <w:rsid w:val="00CB2C57"/>
    <w:rsid w:val="00CB3B56"/>
    <w:rsid w:val="00CB5085"/>
    <w:rsid w:val="00CB7F22"/>
    <w:rsid w:val="00CC0462"/>
    <w:rsid w:val="00CC1657"/>
    <w:rsid w:val="00CC18BA"/>
    <w:rsid w:val="00CC2A47"/>
    <w:rsid w:val="00CC6280"/>
    <w:rsid w:val="00CC7715"/>
    <w:rsid w:val="00CD0750"/>
    <w:rsid w:val="00CD303B"/>
    <w:rsid w:val="00CD598A"/>
    <w:rsid w:val="00CE0971"/>
    <w:rsid w:val="00CE10DD"/>
    <w:rsid w:val="00CE2A83"/>
    <w:rsid w:val="00CE2C0E"/>
    <w:rsid w:val="00CE3F39"/>
    <w:rsid w:val="00CE4C17"/>
    <w:rsid w:val="00CE6503"/>
    <w:rsid w:val="00CE7A42"/>
    <w:rsid w:val="00CF181F"/>
    <w:rsid w:val="00CF1A80"/>
    <w:rsid w:val="00D004B6"/>
    <w:rsid w:val="00D0062E"/>
    <w:rsid w:val="00D011C3"/>
    <w:rsid w:val="00D05FDF"/>
    <w:rsid w:val="00D06C80"/>
    <w:rsid w:val="00D105F1"/>
    <w:rsid w:val="00D10C07"/>
    <w:rsid w:val="00D128F0"/>
    <w:rsid w:val="00D143A7"/>
    <w:rsid w:val="00D144A8"/>
    <w:rsid w:val="00D16E00"/>
    <w:rsid w:val="00D17150"/>
    <w:rsid w:val="00D17459"/>
    <w:rsid w:val="00D17EBC"/>
    <w:rsid w:val="00D21964"/>
    <w:rsid w:val="00D23102"/>
    <w:rsid w:val="00D236A0"/>
    <w:rsid w:val="00D27AE6"/>
    <w:rsid w:val="00D32DDD"/>
    <w:rsid w:val="00D34F4B"/>
    <w:rsid w:val="00D3559C"/>
    <w:rsid w:val="00D3662F"/>
    <w:rsid w:val="00D36D00"/>
    <w:rsid w:val="00D3778B"/>
    <w:rsid w:val="00D40E8B"/>
    <w:rsid w:val="00D42CE8"/>
    <w:rsid w:val="00D430A6"/>
    <w:rsid w:val="00D50B11"/>
    <w:rsid w:val="00D51023"/>
    <w:rsid w:val="00D523B0"/>
    <w:rsid w:val="00D53741"/>
    <w:rsid w:val="00D54876"/>
    <w:rsid w:val="00D55422"/>
    <w:rsid w:val="00D60F7B"/>
    <w:rsid w:val="00D62234"/>
    <w:rsid w:val="00D6331E"/>
    <w:rsid w:val="00D64CC0"/>
    <w:rsid w:val="00D65F97"/>
    <w:rsid w:val="00D67985"/>
    <w:rsid w:val="00D73011"/>
    <w:rsid w:val="00D74AF0"/>
    <w:rsid w:val="00D74F21"/>
    <w:rsid w:val="00D77777"/>
    <w:rsid w:val="00D82EB1"/>
    <w:rsid w:val="00D86796"/>
    <w:rsid w:val="00D86F23"/>
    <w:rsid w:val="00D922A8"/>
    <w:rsid w:val="00D924CB"/>
    <w:rsid w:val="00D94E78"/>
    <w:rsid w:val="00D95912"/>
    <w:rsid w:val="00DA11EA"/>
    <w:rsid w:val="00DA1725"/>
    <w:rsid w:val="00DA2CED"/>
    <w:rsid w:val="00DA477A"/>
    <w:rsid w:val="00DA64CC"/>
    <w:rsid w:val="00DB0228"/>
    <w:rsid w:val="00DB0636"/>
    <w:rsid w:val="00DB190F"/>
    <w:rsid w:val="00DB1AD5"/>
    <w:rsid w:val="00DB33B0"/>
    <w:rsid w:val="00DB3563"/>
    <w:rsid w:val="00DB48B0"/>
    <w:rsid w:val="00DB77F1"/>
    <w:rsid w:val="00DC09CA"/>
    <w:rsid w:val="00DC1886"/>
    <w:rsid w:val="00DC2042"/>
    <w:rsid w:val="00DC374A"/>
    <w:rsid w:val="00DC6D5E"/>
    <w:rsid w:val="00DC7A87"/>
    <w:rsid w:val="00DD0896"/>
    <w:rsid w:val="00DD3030"/>
    <w:rsid w:val="00DD437B"/>
    <w:rsid w:val="00DD47D2"/>
    <w:rsid w:val="00DD5930"/>
    <w:rsid w:val="00DD7B29"/>
    <w:rsid w:val="00DE67A6"/>
    <w:rsid w:val="00DF0810"/>
    <w:rsid w:val="00DF16B5"/>
    <w:rsid w:val="00DF1C1B"/>
    <w:rsid w:val="00DF206D"/>
    <w:rsid w:val="00DF222A"/>
    <w:rsid w:val="00DF28AF"/>
    <w:rsid w:val="00DF6048"/>
    <w:rsid w:val="00DF6CAB"/>
    <w:rsid w:val="00DF6EE0"/>
    <w:rsid w:val="00DF7383"/>
    <w:rsid w:val="00E005E8"/>
    <w:rsid w:val="00E0100B"/>
    <w:rsid w:val="00E011C2"/>
    <w:rsid w:val="00E029B8"/>
    <w:rsid w:val="00E05D8B"/>
    <w:rsid w:val="00E05EEA"/>
    <w:rsid w:val="00E06364"/>
    <w:rsid w:val="00E06EC3"/>
    <w:rsid w:val="00E13314"/>
    <w:rsid w:val="00E13362"/>
    <w:rsid w:val="00E172F8"/>
    <w:rsid w:val="00E20F62"/>
    <w:rsid w:val="00E2147A"/>
    <w:rsid w:val="00E24926"/>
    <w:rsid w:val="00E27803"/>
    <w:rsid w:val="00E27C12"/>
    <w:rsid w:val="00E3064A"/>
    <w:rsid w:val="00E30BA5"/>
    <w:rsid w:val="00E35137"/>
    <w:rsid w:val="00E35D4F"/>
    <w:rsid w:val="00E414BB"/>
    <w:rsid w:val="00E4453D"/>
    <w:rsid w:val="00E44AD9"/>
    <w:rsid w:val="00E45456"/>
    <w:rsid w:val="00E45B41"/>
    <w:rsid w:val="00E52A41"/>
    <w:rsid w:val="00E57045"/>
    <w:rsid w:val="00E57784"/>
    <w:rsid w:val="00E614BB"/>
    <w:rsid w:val="00E618A7"/>
    <w:rsid w:val="00E61DDE"/>
    <w:rsid w:val="00E6234F"/>
    <w:rsid w:val="00E65E3F"/>
    <w:rsid w:val="00E661FE"/>
    <w:rsid w:val="00E66A46"/>
    <w:rsid w:val="00E70C22"/>
    <w:rsid w:val="00E71C0E"/>
    <w:rsid w:val="00E73B16"/>
    <w:rsid w:val="00E74999"/>
    <w:rsid w:val="00E7528F"/>
    <w:rsid w:val="00E7765E"/>
    <w:rsid w:val="00E818F2"/>
    <w:rsid w:val="00E81D7D"/>
    <w:rsid w:val="00E82286"/>
    <w:rsid w:val="00E831CF"/>
    <w:rsid w:val="00E844F0"/>
    <w:rsid w:val="00E87429"/>
    <w:rsid w:val="00E93F30"/>
    <w:rsid w:val="00E959E1"/>
    <w:rsid w:val="00E95C18"/>
    <w:rsid w:val="00E9714E"/>
    <w:rsid w:val="00EA0EF8"/>
    <w:rsid w:val="00EA2AD4"/>
    <w:rsid w:val="00EA50BB"/>
    <w:rsid w:val="00EA640F"/>
    <w:rsid w:val="00EB72DE"/>
    <w:rsid w:val="00EC018C"/>
    <w:rsid w:val="00EC1C8E"/>
    <w:rsid w:val="00EC5BD3"/>
    <w:rsid w:val="00EC6114"/>
    <w:rsid w:val="00EC6AC4"/>
    <w:rsid w:val="00ED0B59"/>
    <w:rsid w:val="00ED2A18"/>
    <w:rsid w:val="00ED2B97"/>
    <w:rsid w:val="00ED45E1"/>
    <w:rsid w:val="00ED4DC7"/>
    <w:rsid w:val="00ED64C8"/>
    <w:rsid w:val="00ED71EB"/>
    <w:rsid w:val="00ED74AE"/>
    <w:rsid w:val="00ED7CA4"/>
    <w:rsid w:val="00EE1F72"/>
    <w:rsid w:val="00EE45B2"/>
    <w:rsid w:val="00EE6750"/>
    <w:rsid w:val="00EE6D0D"/>
    <w:rsid w:val="00EF16D3"/>
    <w:rsid w:val="00EF322A"/>
    <w:rsid w:val="00EF348E"/>
    <w:rsid w:val="00EF6C6F"/>
    <w:rsid w:val="00F0020A"/>
    <w:rsid w:val="00F017C1"/>
    <w:rsid w:val="00F0491D"/>
    <w:rsid w:val="00F06E9B"/>
    <w:rsid w:val="00F102F6"/>
    <w:rsid w:val="00F10730"/>
    <w:rsid w:val="00F12F25"/>
    <w:rsid w:val="00F1365C"/>
    <w:rsid w:val="00F178D0"/>
    <w:rsid w:val="00F20649"/>
    <w:rsid w:val="00F21C0E"/>
    <w:rsid w:val="00F22C30"/>
    <w:rsid w:val="00F22E16"/>
    <w:rsid w:val="00F259A0"/>
    <w:rsid w:val="00F265E1"/>
    <w:rsid w:val="00F26D1F"/>
    <w:rsid w:val="00F26F95"/>
    <w:rsid w:val="00F300FF"/>
    <w:rsid w:val="00F343E6"/>
    <w:rsid w:val="00F350ED"/>
    <w:rsid w:val="00F35FE7"/>
    <w:rsid w:val="00F40523"/>
    <w:rsid w:val="00F40A2C"/>
    <w:rsid w:val="00F422ED"/>
    <w:rsid w:val="00F432D8"/>
    <w:rsid w:val="00F433A6"/>
    <w:rsid w:val="00F44104"/>
    <w:rsid w:val="00F448EE"/>
    <w:rsid w:val="00F459E9"/>
    <w:rsid w:val="00F46C2D"/>
    <w:rsid w:val="00F478C7"/>
    <w:rsid w:val="00F5106F"/>
    <w:rsid w:val="00F532A2"/>
    <w:rsid w:val="00F54A1C"/>
    <w:rsid w:val="00F54BD1"/>
    <w:rsid w:val="00F54E62"/>
    <w:rsid w:val="00F552B7"/>
    <w:rsid w:val="00F55C91"/>
    <w:rsid w:val="00F573C1"/>
    <w:rsid w:val="00F60102"/>
    <w:rsid w:val="00F60858"/>
    <w:rsid w:val="00F629A5"/>
    <w:rsid w:val="00F63AE9"/>
    <w:rsid w:val="00F64118"/>
    <w:rsid w:val="00F64AE7"/>
    <w:rsid w:val="00F66FB4"/>
    <w:rsid w:val="00F672DE"/>
    <w:rsid w:val="00F71C77"/>
    <w:rsid w:val="00F73D65"/>
    <w:rsid w:val="00F73E34"/>
    <w:rsid w:val="00F77130"/>
    <w:rsid w:val="00F812D7"/>
    <w:rsid w:val="00F82EEC"/>
    <w:rsid w:val="00F83E0C"/>
    <w:rsid w:val="00F872D5"/>
    <w:rsid w:val="00F87669"/>
    <w:rsid w:val="00F90200"/>
    <w:rsid w:val="00F91234"/>
    <w:rsid w:val="00F91ACE"/>
    <w:rsid w:val="00F91AD9"/>
    <w:rsid w:val="00F93F3C"/>
    <w:rsid w:val="00F941F2"/>
    <w:rsid w:val="00F9780C"/>
    <w:rsid w:val="00FA18B7"/>
    <w:rsid w:val="00FA1D7C"/>
    <w:rsid w:val="00FA7A6B"/>
    <w:rsid w:val="00FB14AC"/>
    <w:rsid w:val="00FB16DA"/>
    <w:rsid w:val="00FB293E"/>
    <w:rsid w:val="00FB3332"/>
    <w:rsid w:val="00FB7B0E"/>
    <w:rsid w:val="00FC1220"/>
    <w:rsid w:val="00FC446A"/>
    <w:rsid w:val="00FC760A"/>
    <w:rsid w:val="00FC7EA7"/>
    <w:rsid w:val="00FD1AEA"/>
    <w:rsid w:val="00FD1CED"/>
    <w:rsid w:val="00FD3FEC"/>
    <w:rsid w:val="00FD476C"/>
    <w:rsid w:val="00FD5D6F"/>
    <w:rsid w:val="00FD6488"/>
    <w:rsid w:val="00FE0C1B"/>
    <w:rsid w:val="00FE284C"/>
    <w:rsid w:val="00FE30DB"/>
    <w:rsid w:val="00FE3471"/>
    <w:rsid w:val="00FE3A80"/>
    <w:rsid w:val="00FE59A6"/>
    <w:rsid w:val="00FE7BA7"/>
    <w:rsid w:val="00FE7CC5"/>
    <w:rsid w:val="00FF1119"/>
    <w:rsid w:val="00FF1BA8"/>
    <w:rsid w:val="00FF22F8"/>
    <w:rsid w:val="00FF3E85"/>
    <w:rsid w:val="00FF71EA"/>
    <w:rsid w:val="00FF7F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47A29E"/>
  <w15:chartTrackingRefBased/>
  <w15:docId w15:val="{35C3CD11-414D-4F22-AF14-CEEFD4D2D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E7C"/>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3C2E7C"/>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3C2E7C"/>
    <w:pPr>
      <w:outlineLvl w:val="1"/>
    </w:pPr>
    <w:rPr>
      <w:sz w:val="28"/>
    </w:rPr>
  </w:style>
  <w:style w:type="paragraph" w:styleId="Heading3">
    <w:name w:val="heading 3"/>
    <w:basedOn w:val="Normal"/>
    <w:next w:val="Normal"/>
    <w:link w:val="Heading3Char"/>
    <w:uiPriority w:val="9"/>
    <w:unhideWhenUsed/>
    <w:qFormat/>
    <w:rsid w:val="003C2E7C"/>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3C2E7C"/>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3C2E7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3C2E7C"/>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3C2E7C"/>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3C2E7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3C2E7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7C"/>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3C2E7C"/>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3C2E7C"/>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3C2E7C"/>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3C2E7C"/>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3C2E7C"/>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3C2E7C"/>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3C2E7C"/>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C2E7C"/>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3C2E7C"/>
    <w:pPr>
      <w:ind w:left="862" w:right="862"/>
      <w:jc w:val="center"/>
    </w:pPr>
    <w:rPr>
      <w:i/>
      <w:iCs/>
      <w:color w:val="404040" w:themeColor="text1" w:themeTint="BF"/>
    </w:rPr>
  </w:style>
  <w:style w:type="character" w:customStyle="1" w:styleId="QuoteChar">
    <w:name w:val="Quote Char"/>
    <w:basedOn w:val="DefaultParagraphFont"/>
    <w:link w:val="Quote"/>
    <w:uiPriority w:val="29"/>
    <w:rsid w:val="003C2E7C"/>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3C2E7C"/>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3C2E7C"/>
    <w:pPr>
      <w:tabs>
        <w:tab w:val="center" w:pos="4320"/>
        <w:tab w:val="right" w:pos="8640"/>
      </w:tabs>
    </w:pPr>
  </w:style>
  <w:style w:type="character" w:customStyle="1" w:styleId="HeaderChar">
    <w:name w:val="Header Char"/>
    <w:basedOn w:val="DefaultParagraphFont"/>
    <w:link w:val="Header"/>
    <w:uiPriority w:val="99"/>
    <w:rsid w:val="003C2E7C"/>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3C2E7C"/>
    <w:pPr>
      <w:tabs>
        <w:tab w:val="center" w:pos="4320"/>
        <w:tab w:val="right" w:pos="8640"/>
      </w:tabs>
    </w:pPr>
  </w:style>
  <w:style w:type="character" w:customStyle="1" w:styleId="FooterChar">
    <w:name w:val="Footer Char"/>
    <w:basedOn w:val="DefaultParagraphFont"/>
    <w:link w:val="Footer"/>
    <w:uiPriority w:val="99"/>
    <w:rsid w:val="003C2E7C"/>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3C2E7C"/>
    <w:rPr>
      <w:noProof w:val="0"/>
    </w:rPr>
  </w:style>
  <w:style w:type="character" w:styleId="Hyperlink">
    <w:name w:val="Hyperlink"/>
    <w:basedOn w:val="DefaultParagraphFont"/>
    <w:uiPriority w:val="99"/>
    <w:unhideWhenUsed/>
    <w:rsid w:val="003C2E7C"/>
    <w:rPr>
      <w:noProof w:val="0"/>
      <w:color w:val="467886" w:themeColor="hyperlink"/>
      <w:u w:val="single"/>
    </w:rPr>
  </w:style>
  <w:style w:type="paragraph" w:styleId="Revision">
    <w:name w:val="Revision"/>
    <w:hidden/>
    <w:uiPriority w:val="99"/>
    <w:semiHidden/>
    <w:rsid w:val="003C2E7C"/>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3C2E7C"/>
    <w:pPr>
      <w:spacing w:after="120"/>
    </w:pPr>
    <w:rPr>
      <w:b/>
      <w:bCs/>
      <w:color w:val="FFFFFF"/>
      <w:sz w:val="32"/>
      <w:szCs w:val="32"/>
    </w:rPr>
  </w:style>
  <w:style w:type="paragraph" w:customStyle="1" w:styleId="Headline">
    <w:name w:val="Headline"/>
    <w:basedOn w:val="Normal"/>
    <w:next w:val="Normal"/>
    <w:link w:val="HeadlineChar"/>
    <w:qFormat/>
    <w:rsid w:val="003C2E7C"/>
    <w:rPr>
      <w:rFonts w:ascii="Segoe UI Semilight" w:hAnsi="Segoe UI Semilight" w:cs="Segoe UI Semilight"/>
      <w:b/>
      <w:bCs/>
      <w:color w:val="FFFFFF"/>
      <w:sz w:val="40"/>
      <w:szCs w:val="40"/>
    </w:rPr>
  </w:style>
  <w:style w:type="paragraph" w:customStyle="1" w:styleId="ExhibitTitle">
    <w:name w:val="Exhibit Title"/>
    <w:basedOn w:val="Normal"/>
    <w:qFormat/>
    <w:rsid w:val="003C2E7C"/>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3C2E7C"/>
    <w:pPr>
      <w:shd w:val="clear" w:color="auto" w:fill="D6E2FA"/>
      <w:spacing w:after="0"/>
    </w:pPr>
    <w:rPr>
      <w:color w:val="595959" w:themeColor="text1" w:themeTint="A6"/>
      <w:sz w:val="18"/>
    </w:rPr>
  </w:style>
  <w:style w:type="paragraph" w:customStyle="1" w:styleId="ExhibitSource">
    <w:name w:val="Exhibit Source"/>
    <w:next w:val="Normal"/>
    <w:qFormat/>
    <w:rsid w:val="003C2E7C"/>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rsid w:val="003C2E7C"/>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3C2E7C"/>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3C2E7C"/>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3C2E7C"/>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3C2E7C"/>
    <w:rPr>
      <w:rFonts w:ascii="Segoe UI" w:hAnsi="Segoe UI" w:cs="Segoe UI"/>
      <w:noProof w:val="0"/>
      <w:color w:val="000000" w:themeColor="text1"/>
    </w:rPr>
  </w:style>
  <w:style w:type="paragraph" w:customStyle="1" w:styleId="Summary">
    <w:name w:val="Summary"/>
    <w:basedOn w:val="Normal"/>
    <w:link w:val="SummaryChar"/>
    <w:qFormat/>
    <w:rsid w:val="003C2E7C"/>
    <w:pPr>
      <w:numPr>
        <w:numId w:val="1"/>
      </w:numPr>
      <w:ind w:left="1797" w:hanging="357"/>
    </w:pPr>
    <w:rPr>
      <w:kern w:val="2"/>
      <w:sz w:val="22"/>
      <w14:ligatures w14:val="standardContextual"/>
    </w:rPr>
  </w:style>
  <w:style w:type="paragraph" w:customStyle="1" w:styleId="TableData">
    <w:name w:val="Table Data"/>
    <w:link w:val="TableDataChar"/>
    <w:qFormat/>
    <w:rsid w:val="003C2E7C"/>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3C2E7C"/>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3C2E7C"/>
    <w:rPr>
      <w:rFonts w:ascii="Segoe UI Semilight" w:hAnsi="Segoe UI Semilight" w:cs="Segoe UI Semilight"/>
      <w:b/>
      <w:bCs/>
      <w:noProof w:val="0"/>
      <w:color w:val="FFFFFF"/>
      <w:kern w:val="0"/>
      <w:sz w:val="40"/>
      <w:szCs w:val="40"/>
      <w14:ligatures w14:val="none"/>
    </w:rPr>
  </w:style>
  <w:style w:type="paragraph" w:customStyle="1" w:styleId="PublishDate">
    <w:name w:val="Publish Date"/>
    <w:basedOn w:val="Normal"/>
    <w:link w:val="PublishDateChar"/>
    <w:qFormat/>
    <w:rsid w:val="003C2E7C"/>
    <w:pPr>
      <w:spacing w:before="0" w:after="0"/>
      <w:jc w:val="right"/>
    </w:pPr>
    <w:rPr>
      <w:color w:val="003469"/>
      <w:sz w:val="24"/>
      <w:szCs w:val="24"/>
    </w:rPr>
  </w:style>
  <w:style w:type="paragraph" w:customStyle="1" w:styleId="Author">
    <w:name w:val="Author"/>
    <w:basedOn w:val="Bullet"/>
    <w:link w:val="AuthorChar"/>
    <w:qFormat/>
    <w:rsid w:val="003C2E7C"/>
    <w:pPr>
      <w:numPr>
        <w:numId w:val="0"/>
      </w:numPr>
      <w:spacing w:after="0" w:line="240" w:lineRule="auto"/>
    </w:pPr>
    <w:rPr>
      <w:color w:val="7F7F7F" w:themeColor="text1" w:themeTint="80"/>
      <w:szCs w:val="22"/>
    </w:rPr>
  </w:style>
  <w:style w:type="character" w:customStyle="1" w:styleId="PublishDateChar">
    <w:name w:val="Publish Date Char"/>
    <w:basedOn w:val="DefaultParagraphFont"/>
    <w:link w:val="PublishDate"/>
    <w:rsid w:val="003C2E7C"/>
    <w:rPr>
      <w:rFonts w:ascii="Segoe UI" w:hAnsi="Segoe UI" w:cs="Segoe UI"/>
      <w:noProof w:val="0"/>
      <w:color w:val="003469"/>
      <w:kern w:val="0"/>
      <w:sz w:val="24"/>
      <w:szCs w:val="24"/>
      <w14:ligatures w14:val="none"/>
    </w:rPr>
  </w:style>
  <w:style w:type="character" w:customStyle="1" w:styleId="AuthorChar">
    <w:name w:val="Author Char"/>
    <w:basedOn w:val="FooterChar"/>
    <w:link w:val="Author"/>
    <w:rsid w:val="003C2E7C"/>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3C2E7C"/>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3C2E7C"/>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3C2E7C"/>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3C2E7C"/>
    <w:rPr>
      <w:color w:val="003469"/>
    </w:rPr>
  </w:style>
  <w:style w:type="character" w:customStyle="1" w:styleId="RepeatingFooterChar">
    <w:name w:val="Repeating Footer Char"/>
    <w:basedOn w:val="FooterChar"/>
    <w:link w:val="RepeatingFooter"/>
    <w:rsid w:val="003C2E7C"/>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3C2E7C"/>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3C2E7C"/>
    <w:rPr>
      <w:b/>
      <w:bCs/>
      <w:noProof w:val="0"/>
    </w:rPr>
  </w:style>
  <w:style w:type="character" w:customStyle="1" w:styleId="Italics">
    <w:name w:val="Italics"/>
    <w:uiPriority w:val="1"/>
    <w:qFormat/>
    <w:rsid w:val="003C2E7C"/>
    <w:rPr>
      <w:i/>
      <w:iCs/>
      <w:noProof w:val="0"/>
    </w:rPr>
  </w:style>
  <w:style w:type="table" w:customStyle="1" w:styleId="TableGridHeader">
    <w:name w:val="Table Grid Header"/>
    <w:basedOn w:val="TableNormal"/>
    <w:uiPriority w:val="99"/>
    <w:rsid w:val="003C2E7C"/>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08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header" Target="header3.xml"/><Relationship Id="rId26" Type="http://schemas.openxmlformats.org/officeDocument/2006/relationships/image" Target="media/image11.png"/><Relationship Id="rId39" Type="http://schemas.openxmlformats.org/officeDocument/2006/relationships/hyperlink" Target="https://my.oxfordeconomics.com/reportaction/c7798234371649A9b9fEb5/Toc" TargetMode="External"/><Relationship Id="rId21" Type="http://schemas.openxmlformats.org/officeDocument/2006/relationships/hyperlink" Target="https://www.bankofengland.co.uk/monetary-policy-report/2025/november-2025" TargetMode="External"/><Relationship Id="rId34" Type="http://schemas.openxmlformats.org/officeDocument/2006/relationships/hyperlink" Target="https://obr.uk/docs/dlm_uploads/Fiscal-risks-and-sustainability-report-July-2025.pdf" TargetMode="External"/><Relationship Id="rId42" Type="http://schemas.openxmlformats.org/officeDocument/2006/relationships/image" Target="media/image20.svg"/><Relationship Id="rId47" Type="http://schemas.openxmlformats.org/officeDocument/2006/relationships/glossaryDocument" Target="glossary/document.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www.bankofengland.co.uk/markets/market-intelligence/survey-results/2025/market-participants-survey-results-december-2025"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mo.gov.uk/media/2hhipeem/sa261125b.pdf" TargetMode="Externa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media/image18.svg"/><Relationship Id="rId40" Type="http://schemas.openxmlformats.org/officeDocument/2006/relationships/hyperlink" Target="https://my.oxfordeconomics.com/reportaction/9693E7C18870424f8D2C56/Toc" TargetMode="External"/><Relationship Id="rId45" Type="http://schemas.openxmlformats.org/officeDocument/2006/relationships/hyperlink" Target="https://my.oxfordeconomics.com/reports/b49D0226b2764dC58A169d" TargetMode="Externa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s://www.bankofengland.co.uk/markets/market-intelligence/survey-results/2025/market-participants-survey-results-december-2025" TargetMode="External"/><Relationship Id="rId28" Type="http://schemas.openxmlformats.org/officeDocument/2006/relationships/hyperlink" Target="https://www.bankofengland.co.uk/monetary-policy-report/2025/august-2025" TargetMode="External"/><Relationship Id="rId36" Type="http://schemas.openxmlformats.org/officeDocument/2006/relationships/image" Target="media/image17.png"/><Relationship Id="rId10" Type="http://schemas.openxmlformats.org/officeDocument/2006/relationships/hyperlink" Target="https://my.oxfordeconomics.com/reportaction/6347364ea9054d0fb0c25f/Toc" TargetMode="External"/><Relationship Id="rId19" Type="http://schemas.openxmlformats.org/officeDocument/2006/relationships/footer" Target="footer3.xml"/><Relationship Id="rId31" Type="http://schemas.openxmlformats.org/officeDocument/2006/relationships/image" Target="media/image14.svg"/><Relationship Id="rId44" Type="http://schemas.openxmlformats.org/officeDocument/2006/relationships/hyperlink" Target="https://my.oxfordeconomics.com/reportaction/47fC801319C04f76a107ad/To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hyperlink" Target="https://www.bankofengland.co.uk/monetary-policy-report/2025/november-2025" TargetMode="External"/><Relationship Id="rId27" Type="http://schemas.openxmlformats.org/officeDocument/2006/relationships/image" Target="media/image12.svg"/><Relationship Id="rId30" Type="http://schemas.openxmlformats.org/officeDocument/2006/relationships/image" Target="media/image13.png"/><Relationship Id="rId35" Type="http://schemas.openxmlformats.org/officeDocument/2006/relationships/hyperlink" Target="https://www.bankofengland.co.uk/financial-stability-report/2025/july-2025" TargetMode="External"/><Relationship Id="rId43" Type="http://schemas.openxmlformats.org/officeDocument/2006/relationships/hyperlink" Target="https://my.oxfordeconomics.com/reportaction/8813081223CE4e7ab55563/Toc" TargetMode="External"/><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image" Target="media/image10.svg"/><Relationship Id="rId33" Type="http://schemas.openxmlformats.org/officeDocument/2006/relationships/image" Target="media/image16.svg"/><Relationship Id="rId38" Type="http://schemas.openxmlformats.org/officeDocument/2006/relationships/hyperlink" Target="https://my.oxfordeconomics.com/reportaction/dee19fAaee4C4bD2aD6544/Toc" TargetMode="External"/><Relationship Id="rId46" Type="http://schemas.openxmlformats.org/officeDocument/2006/relationships/fontTable" Target="fontTable.xml"/><Relationship Id="rId20" Type="http://schemas.openxmlformats.org/officeDocument/2006/relationships/hyperlink" Target="https://my.oxfordeconomics.com/reportaction/9E2D6F7FD2E94145B0D607/Toc" TargetMode="External"/><Relationship Id="rId41" Type="http://schemas.openxmlformats.org/officeDocument/2006/relationships/image" Target="media/image19.png"/></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2F4D8F69-52F7-46F2-B449-68A76BD1E58B}"/>
      </w:docPartPr>
      <w:docPartBody>
        <w:p w:rsidR="00370ECB" w:rsidRDefault="009062DF">
          <w:r w:rsidRPr="008E6963">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2DF"/>
    <w:rsid w:val="00033625"/>
    <w:rsid w:val="001C3E22"/>
    <w:rsid w:val="001F6742"/>
    <w:rsid w:val="00240B0C"/>
    <w:rsid w:val="002E61AE"/>
    <w:rsid w:val="00370ECB"/>
    <w:rsid w:val="003775D9"/>
    <w:rsid w:val="00417F0E"/>
    <w:rsid w:val="004F775F"/>
    <w:rsid w:val="00514C7F"/>
    <w:rsid w:val="00525655"/>
    <w:rsid w:val="0062511D"/>
    <w:rsid w:val="007D1FBD"/>
    <w:rsid w:val="00863B0C"/>
    <w:rsid w:val="009062DF"/>
    <w:rsid w:val="00C07B27"/>
    <w:rsid w:val="00C80795"/>
    <w:rsid w:val="00DA1725"/>
    <w:rsid w:val="00DF16B5"/>
    <w:rsid w:val="00E06364"/>
    <w:rsid w:val="00E6234F"/>
    <w:rsid w:val="00EC6114"/>
    <w:rsid w:val="00FB14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bad2983f189b08317ae7fe927a2f2b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f6587de4469ac49f2967b9bbb3170ea5"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E79EC2-2DB0-4349-83F1-6BDAD5D76A31}">
  <ds:schemaRefs>
    <ds:schemaRef ds:uri="6ec33f61-c765-4e3b-9958-53c32fd1fd0b"/>
    <ds:schemaRef ds:uri="http://www.w3.org/XML/1998/namespace"/>
    <ds:schemaRef ds:uri="http://schemas.microsoft.com/office/2006/documentManagement/types"/>
    <ds:schemaRef ds:uri="6c77b332-7df6-4eff-997f-266963d55fc4"/>
    <ds:schemaRef ds:uri="http://purl.org/dc/elements/1.1/"/>
    <ds:schemaRef ds:uri="http://schemas.microsoft.com/office/2006/metadata/properties"/>
    <ds:schemaRef ds:uri="http://schemas.microsoft.com/office/infopath/2007/PartnerControls"/>
    <ds:schemaRef ds:uri="http://purl.org/dc/dcmitype/"/>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DC4D8BA8-682C-4896-A982-D948EDC10CDC}">
  <ds:schemaRefs>
    <ds:schemaRef ds:uri="http://schemas.microsoft.com/sharepoint/v3/contenttype/forms"/>
  </ds:schemaRefs>
</ds:datastoreItem>
</file>

<file path=customXml/itemProps3.xml><?xml version="1.0" encoding="utf-8"?>
<ds:datastoreItem xmlns:ds="http://schemas.openxmlformats.org/officeDocument/2006/customXml" ds:itemID="{05949354-52A7-48CC-8414-37A8B3127E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6</Pages>
  <Words>2723</Words>
  <Characters>14406</Characters>
  <Application>Microsoft Office Word</Application>
  <DocSecurity>0</DocSecurity>
  <Lines>194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9</cp:revision>
  <dcterms:created xsi:type="dcterms:W3CDTF">2026-01-06T12:04:00Z</dcterms:created>
  <dcterms:modified xsi:type="dcterms:W3CDTF">2026-01-06T14:12:00Z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2026-01-06T14:03:35.000Z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v0.8.2.0</vt:lpwstr>
  </property>
  <property fmtid="{D5CDD505-2E9C-101B-9397-08002B2CF9AE}" pid="10" name="OEP_ANALYST_FULLNAME">
    <vt:lpwstr>Edward Allenby</vt:lpwstr>
  </property>
  <property fmtid="{D5CDD505-2E9C-101B-9397-08002B2CF9AE}" pid="11" name="OEP_ANALYST_JOBTITLE">
    <vt:lpwstr>Senior UK Economist</vt:lpwstr>
  </property>
  <property fmtid="{D5CDD505-2E9C-101B-9397-08002B2CF9AE}" pid="12" name="OEP_ANALYST_EMAIL">
    <vt:lpwstr>eallenby@oxfordeconomics.com</vt:lpwstr>
  </property>
  <property fmtid="{D5CDD505-2E9C-101B-9397-08002B2CF9AE}" pid="13" name="OEP_AUTHORS">
    <vt:lpwstr>Edward Allenby|Senior UK Economist|eallenby@oxfordeconomics.com_x000d_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Themes:fiscal policy,financial markets,sovereign debt</vt:lpwstr>
  </property>
  <property fmtid="{D5CDD505-2E9C-101B-9397-08002B2CF9AE}" pid="16" name="OEP_KEY_THEMES">
    <vt:lpwstr>fiscal policy,financial markets,sovereign debt</vt:lpwstr>
  </property>
  <property fmtid="{D5CDD505-2E9C-101B-9397-08002B2CF9AE}" pid="17" name="ContentTypeId">
    <vt:lpwstr>0x01010009401BB7205AF745BAD4FA98BDE0B98F</vt:lpwstr>
  </property>
  <property fmtid="{D5CDD505-2E9C-101B-9397-08002B2CF9AE}" pid="18" name="OEP_PRODUCT_CODE">
    <vt:lpwstr>6002901a3aAA4563a1c376</vt:lpwstr>
  </property>
  <property fmtid="{D5CDD505-2E9C-101B-9397-08002B2CF9AE}" pid="19" name="OEP_PUBLISH_DATE">
    <vt:lpwstr/>
  </property>
</Properties>
</file>