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AB2D" w14:textId="72BBD7C2" w:rsidR="00E67718" w:rsidRDefault="0092601B" w:rsidP="003C2E7C">
      <w:pPr>
        <w:pStyle w:val="Bullet"/>
      </w:pPr>
      <w:r w:rsidRPr="0092601B">
        <w:t xml:space="preserve">We </w:t>
      </w:r>
      <w:r w:rsidR="00AE1132">
        <w:t xml:space="preserve">expect </w:t>
      </w:r>
      <w:r w:rsidR="00AB3198">
        <w:t xml:space="preserve">the Bank of England's </w:t>
      </w:r>
      <w:r w:rsidR="00AE1132">
        <w:t xml:space="preserve">Monetary Policy Committee to hold </w:t>
      </w:r>
      <w:r w:rsidR="00E018BD">
        <w:t>Bank Rate at 3.75% at next week's meeting.</w:t>
      </w:r>
      <w:r w:rsidR="00E67718">
        <w:t xml:space="preserve"> </w:t>
      </w:r>
      <w:r w:rsidR="00E54CF5">
        <w:t>The majority of MPC</w:t>
      </w:r>
      <w:r w:rsidR="00A13B66">
        <w:t xml:space="preserve"> members</w:t>
      </w:r>
      <w:r w:rsidR="00E54CF5">
        <w:t xml:space="preserve"> anticipate</w:t>
      </w:r>
      <w:r w:rsidR="00B4025B">
        <w:t xml:space="preserve"> further </w:t>
      </w:r>
      <w:r w:rsidR="00E54CF5">
        <w:t xml:space="preserve">rate </w:t>
      </w:r>
      <w:r w:rsidR="00B4025B">
        <w:t>cuts will be required</w:t>
      </w:r>
      <w:r w:rsidR="00A13B66">
        <w:t>,</w:t>
      </w:r>
      <w:r w:rsidR="00E54CF5">
        <w:t xml:space="preserve"> but </w:t>
      </w:r>
      <w:r w:rsidR="00B4025B">
        <w:t>they</w:t>
      </w:r>
      <w:r w:rsidR="00E54CF5">
        <w:t>'re</w:t>
      </w:r>
      <w:r w:rsidR="00B4025B">
        <w:t xml:space="preserve"> concerned about the potential strength of </w:t>
      </w:r>
      <w:r w:rsidR="004864B5">
        <w:t xml:space="preserve">2026 pay awards and </w:t>
      </w:r>
      <w:r w:rsidR="00F02B2B">
        <w:t>the</w:t>
      </w:r>
      <w:r w:rsidR="009D3D21">
        <w:t>ir</w:t>
      </w:r>
      <w:r w:rsidR="00F02B2B">
        <w:t xml:space="preserve"> impact on inflation</w:t>
      </w:r>
      <w:r w:rsidR="008C34C0">
        <w:t>.</w:t>
      </w:r>
    </w:p>
    <w:p w14:paraId="388F285C" w14:textId="77777777" w:rsidR="00A10C66" w:rsidRDefault="009C0ACE" w:rsidP="009C0ACE">
      <w:pPr>
        <w:pStyle w:val="Bullet"/>
      </w:pPr>
      <w:r>
        <w:t xml:space="preserve">The </w:t>
      </w:r>
      <w:r w:rsidR="00E54CF5">
        <w:t xml:space="preserve">current bout of mild </w:t>
      </w:r>
      <w:r>
        <w:t>stagflation is likely to keep the committee divided</w:t>
      </w:r>
      <w:r w:rsidR="00A13B66">
        <w:t xml:space="preserve"> on the timing of</w:t>
      </w:r>
      <w:r w:rsidR="00FB3DBD">
        <w:t xml:space="preserve"> these</w:t>
      </w:r>
      <w:r w:rsidR="00A13B66">
        <w:t xml:space="preserve"> future cuts</w:t>
      </w:r>
      <w:r>
        <w:t xml:space="preserve">, encouraging a </w:t>
      </w:r>
      <w:r w:rsidR="00DA24C7">
        <w:t>gradual</w:t>
      </w:r>
      <w:r w:rsidR="00DA28CB">
        <w:t xml:space="preserve"> approach to loosening policy further. </w:t>
      </w:r>
    </w:p>
    <w:p w14:paraId="03565BA1" w14:textId="16C4AA8F" w:rsidR="00D420F3" w:rsidRDefault="00D834C3" w:rsidP="009C0ACE">
      <w:pPr>
        <w:pStyle w:val="Bullet"/>
      </w:pPr>
      <w:r>
        <w:t xml:space="preserve">We </w:t>
      </w:r>
      <w:r w:rsidR="007140D5">
        <w:t>see</w:t>
      </w:r>
      <w:r>
        <w:t xml:space="preserve"> the end-April meeting </w:t>
      </w:r>
      <w:r w:rsidR="007140D5">
        <w:t>as the most likely timing for the next</w:t>
      </w:r>
      <w:r w:rsidR="00FC57B2">
        <w:t xml:space="preserve"> cut</w:t>
      </w:r>
      <w:r w:rsidR="007140D5">
        <w:t>. By then</w:t>
      </w:r>
      <w:r w:rsidR="00FC57B2">
        <w:t xml:space="preserve">, </w:t>
      </w:r>
      <w:r w:rsidR="00112924">
        <w:t>the MPC</w:t>
      </w:r>
      <w:r w:rsidR="00FC57B2">
        <w:t xml:space="preserve"> should have a clearer view of the</w:t>
      </w:r>
      <w:r w:rsidR="00112924">
        <w:t xml:space="preserve"> </w:t>
      </w:r>
      <w:r w:rsidR="00CB154D">
        <w:t xml:space="preserve">pay awards and </w:t>
      </w:r>
      <w:r w:rsidR="00F875A7">
        <w:t>whether th</w:t>
      </w:r>
      <w:r w:rsidR="00540CF5">
        <w:t>ere</w:t>
      </w:r>
      <w:r w:rsidR="00F875A7">
        <w:t xml:space="preserve"> is further evidence of slack emerging in the economy</w:t>
      </w:r>
      <w:r w:rsidR="00CB154D">
        <w:t>.</w:t>
      </w:r>
    </w:p>
    <w:p w14:paraId="4D96BE91" w14:textId="05C4B153" w:rsidR="004367E7" w:rsidRDefault="0055776F" w:rsidP="00D80726">
      <w:r>
        <w:t xml:space="preserve">At the </w:t>
      </w:r>
      <w:hyperlink r:id="rId10" w:history="1">
        <w:r w:rsidRPr="00EB258C">
          <w:rPr>
            <w:rStyle w:val="Hyperlink"/>
          </w:rPr>
          <w:t>December meeting</w:t>
        </w:r>
      </w:hyperlink>
      <w:r>
        <w:t xml:space="preserve"> of the Bank of England's Monetary Policy Committee, the </w:t>
      </w:r>
      <w:r w:rsidR="004F04AB">
        <w:t>vote split between the doves and hawks remained very narrow</w:t>
      </w:r>
      <w:r w:rsidR="00F9122F">
        <w:t xml:space="preserve">, emphasising </w:t>
      </w:r>
      <w:r w:rsidR="00A23791">
        <w:t>how divided the committee has become.</w:t>
      </w:r>
      <w:r w:rsidR="004F0668">
        <w:t xml:space="preserve"> </w:t>
      </w:r>
    </w:p>
    <w:p w14:paraId="6100E47F" w14:textId="27397699" w:rsidR="00DA2FD1" w:rsidRDefault="004F0668" w:rsidP="00D80726">
      <w:r>
        <w:t xml:space="preserve">The minutes and individual member </w:t>
      </w:r>
      <w:r w:rsidRPr="004F0668">
        <w:t>summary statements sent two key messages about the outlook</w:t>
      </w:r>
      <w:r w:rsidR="009D3D21">
        <w:t xml:space="preserve"> for </w:t>
      </w:r>
      <w:r w:rsidR="00E465E4">
        <w:t>Bank Rate</w:t>
      </w:r>
      <w:r w:rsidRPr="004F0668">
        <w:t>.</w:t>
      </w:r>
      <w:r w:rsidR="00081B96">
        <w:t xml:space="preserve"> First, the balance of risks </w:t>
      </w:r>
      <w:r w:rsidR="00EC3EE0">
        <w:t xml:space="preserve">to inflation </w:t>
      </w:r>
      <w:r w:rsidR="00033104">
        <w:t>had tilted in a dovish direction</w:t>
      </w:r>
      <w:r w:rsidR="00702F2F">
        <w:t xml:space="preserve">. And second, that </w:t>
      </w:r>
      <w:r w:rsidR="00CA72CA" w:rsidRPr="00CA72CA">
        <w:t>judgements around further rate cuts would become closer call</w:t>
      </w:r>
      <w:r w:rsidR="00CA72CA">
        <w:t xml:space="preserve">s, </w:t>
      </w:r>
      <w:r w:rsidR="00FF0743">
        <w:t>suggesting that there was little appetite</w:t>
      </w:r>
      <w:r w:rsidR="003D67D6" w:rsidRPr="003D67D6">
        <w:t xml:space="preserve"> among the majority of committee members to loosen policy again in the near term</w:t>
      </w:r>
      <w:r w:rsidR="009D3D21">
        <w:t>,</w:t>
      </w:r>
      <w:r w:rsidR="003D67D6" w:rsidRPr="003D67D6">
        <w:t xml:space="preserve"> after December's cut</w:t>
      </w:r>
      <w:r w:rsidR="003D67D6">
        <w:t>.</w:t>
      </w:r>
    </w:p>
    <w:p w14:paraId="7EAEB727" w14:textId="671EA4FB" w:rsidR="00B15812" w:rsidRDefault="00E71FE2" w:rsidP="00B15812">
      <w:r>
        <w:t>Data published since the December meeting may</w:t>
      </w:r>
      <w:r w:rsidR="009D3D21">
        <w:t>, at the margin,</w:t>
      </w:r>
      <w:r>
        <w:t xml:space="preserve"> help to ease some of the MPC's concerns about </w:t>
      </w:r>
      <w:r w:rsidR="009D3D21">
        <w:t xml:space="preserve">the stickiness of </w:t>
      </w:r>
      <w:r>
        <w:t xml:space="preserve">inflation, particularly those emanating from the </w:t>
      </w:r>
      <w:hyperlink r:id="rId11" w:history="1">
        <w:r w:rsidR="009A717D" w:rsidRPr="00A62D10">
          <w:rPr>
            <w:rStyle w:val="Hyperlink"/>
          </w:rPr>
          <w:t>labour market</w:t>
        </w:r>
      </w:hyperlink>
      <w:r w:rsidR="009A717D">
        <w:t xml:space="preserve">. Private sector regular pay growth </w:t>
      </w:r>
      <w:r w:rsidR="009A717D" w:rsidRPr="00560D13">
        <w:t xml:space="preserve">– the MPC's preferred measure of </w:t>
      </w:r>
      <w:r w:rsidR="00E54CF5">
        <w:t>wages</w:t>
      </w:r>
      <w:r w:rsidR="009A717D" w:rsidRPr="00560D13">
        <w:t xml:space="preserve"> –</w:t>
      </w:r>
      <w:r w:rsidR="009A717D">
        <w:t xml:space="preserve"> slowed to 3.6% in the three months to November, slightly undershooting the BoE's most recent staff projections. </w:t>
      </w:r>
      <w:r w:rsidR="009D3D21">
        <w:t xml:space="preserve">Although </w:t>
      </w:r>
      <w:r w:rsidR="009A717D">
        <w:t>some of this move reflected base effects, which should unwind, momentum has also been soft</w:t>
      </w:r>
      <w:r w:rsidR="009D3D21">
        <w:t xml:space="preserve"> – </w:t>
      </w:r>
      <w:r w:rsidR="009A717D">
        <w:t xml:space="preserve">the </w:t>
      </w:r>
      <w:r w:rsidR="009A717D" w:rsidRPr="00306BF0">
        <w:t>three-month-on-three-month annualised rate</w:t>
      </w:r>
      <w:r w:rsidR="009A717D">
        <w:t xml:space="preserve"> </w:t>
      </w:r>
      <w:r w:rsidR="009D3D21">
        <w:t xml:space="preserve">is </w:t>
      </w:r>
      <w:r w:rsidR="009A717D">
        <w:t xml:space="preserve">now broadly </w:t>
      </w:r>
      <w:r w:rsidR="00A13B66" w:rsidRPr="00A13B66">
        <w:t>in line with the pace the MPC considers to be consistent with achieving the</w:t>
      </w:r>
      <w:r w:rsidR="00A13B66">
        <w:t xml:space="preserve"> 2%</w:t>
      </w:r>
      <w:r w:rsidR="00A13B66" w:rsidRPr="00A13B66">
        <w:t xml:space="preserve"> inflation target in the medium term</w:t>
      </w:r>
      <w:r w:rsidR="00A13B66">
        <w:t xml:space="preserve"> </w:t>
      </w:r>
      <w:r w:rsidR="00604C32">
        <w:t>(</w:t>
      </w:r>
      <w:r w:rsidR="00EF4128" w:rsidRPr="00F8066D">
        <w:rPr>
          <w:b/>
          <w:color w:val="003469"/>
        </w:rPr>
        <w:fldChar w:fldCharType="begin"/>
      </w:r>
      <w:r w:rsidR="00F8066D" w:rsidRPr="00F8066D">
        <w:rPr>
          <w:b/>
          <w:color w:val="003469"/>
        </w:rPr>
        <w:instrText xml:space="preserve">REF _Ref214911160 \h \* Charformat </w:instrText>
      </w:r>
      <w:r w:rsidR="00EF4128" w:rsidRPr="00F8066D">
        <w:rPr>
          <w:b/>
          <w:color w:val="003469"/>
        </w:rPr>
      </w:r>
      <w:r w:rsidR="00EF4128" w:rsidRPr="00F8066D">
        <w:rPr>
          <w:b/>
          <w:color w:val="003469"/>
        </w:rPr>
        <w:fldChar w:fldCharType="separate"/>
      </w:r>
      <w:r w:rsidR="00E73759" w:rsidRPr="00E73759">
        <w:rPr>
          <w:b/>
          <w:color w:val="003469"/>
        </w:rPr>
        <w:t>Chart 1</w:t>
      </w:r>
      <w:r w:rsidR="00EF4128" w:rsidRPr="00F8066D">
        <w:rPr>
          <w:b/>
          <w:color w:val="003469"/>
        </w:rPr>
        <w:fldChar w:fldCharType="end"/>
      </w:r>
      <w:r w:rsidR="00604C32">
        <w:t>)</w:t>
      </w:r>
      <w:r w:rsidR="004563A2">
        <w:t>.</w:t>
      </w:r>
    </w:p>
    <w:p w14:paraId="29B2F759" w14:textId="5CF09425" w:rsidR="003C2E7C" w:rsidRPr="00C07D26" w:rsidRDefault="003C2E7C" w:rsidP="00B15812">
      <w:pPr>
        <w:pStyle w:val="ExhibitTitle"/>
        <w:jc w:val="center"/>
      </w:pPr>
      <w:bookmarkStart w:id="0" w:name="_Ref214911160"/>
      <w:r w:rsidRPr="00C07D26">
        <w:t xml:space="preserve">Chart </w:t>
      </w:r>
      <w:r w:rsidRPr="00C07D26">
        <w:fldChar w:fldCharType="begin"/>
      </w:r>
      <w:r w:rsidR="00B15812">
        <w:instrText>SEQ CHART</w:instrText>
      </w:r>
      <w:r w:rsidRPr="00C07D26">
        <w:fldChar w:fldCharType="separate"/>
      </w:r>
      <w:r w:rsidR="00E73759">
        <w:rPr>
          <w:noProof/>
        </w:rPr>
        <w:t>1</w:t>
      </w:r>
      <w:r w:rsidRPr="00C07D26">
        <w:fldChar w:fldCharType="end"/>
      </w:r>
      <w:bookmarkEnd w:id="0"/>
      <w:r w:rsidRPr="00C07D26">
        <w:t xml:space="preserve">: </w:t>
      </w:r>
      <w:r w:rsidR="00D82F4B" w:rsidRPr="00D82F4B">
        <w:t>Pay growth continue</w:t>
      </w:r>
      <w:r w:rsidR="0025073F">
        <w:t>s</w:t>
      </w:r>
      <w:r w:rsidR="00D82F4B" w:rsidRPr="00D82F4B">
        <w:t xml:space="preserve"> to cool, with underlying pressures weak</w:t>
      </w:r>
    </w:p>
    <w:p w14:paraId="04EADA6F" w14:textId="36D0DDBD" w:rsidR="00B15812" w:rsidRDefault="00B15812" w:rsidP="00B15812">
      <w:pPr>
        <w:spacing w:after="0"/>
        <w:jc w:val="center"/>
        <w:rPr>
          <w:noProof/>
        </w:rPr>
      </w:pPr>
      <w:r>
        <w:rPr>
          <w:noProof/>
        </w:rPr>
        <w:drawing>
          <wp:inline distT="0" distB="0" distL="0" distR="0" wp14:anchorId="05D7640B" wp14:editId="1B480C50">
            <wp:extent cx="4006964" cy="3146389"/>
            <wp:effectExtent l="0" t="0" r="0" b="0"/>
            <wp:docPr id="11860170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17083" name=""/>
                    <pic:cNvPicPr/>
                  </pic:nvPicPr>
                  <pic:blipFill>
                    <a:blip r:embed="rId12">
                      <a:extLst>
                        <a:ext uri="{96DAC541-7B7A-43D3-8B79-37D633B846F1}">
                          <asvg:svgBlip xmlns:asvg="http://schemas.microsoft.com/office/drawing/2016/SVG/main" r:embed="rId13"/>
                        </a:ext>
                      </a:extLst>
                    </a:blip>
                    <a:srcRect b="1797"/>
                    <a:stretch>
                      <a:fillRect/>
                    </a:stretch>
                  </pic:blipFill>
                  <pic:spPr>
                    <a:xfrm>
                      <a:off x="0" y="0"/>
                      <a:ext cx="4006964" cy="3146389"/>
                    </a:xfrm>
                    <a:prstGeom prst="rect">
                      <a:avLst/>
                    </a:prstGeom>
                  </pic:spPr>
                </pic:pic>
              </a:graphicData>
            </a:graphic>
          </wp:inline>
        </w:drawing>
      </w:r>
    </w:p>
    <w:p w14:paraId="75711B7D" w14:textId="173B1560" w:rsidR="003C2E7C" w:rsidRPr="00C07D26" w:rsidRDefault="00B15812" w:rsidP="00B15812">
      <w:pPr>
        <w:pStyle w:val="ExhibitSource"/>
        <w:jc w:val="center"/>
      </w:pPr>
      <w:r>
        <w:t>Source: Haver Analytics</w:t>
      </w:r>
    </w:p>
    <w:p w14:paraId="7141673C" w14:textId="1FB81E5A" w:rsidR="003C2E7C" w:rsidRPr="00C07D26" w:rsidRDefault="003C2E7C" w:rsidP="003C2E7C">
      <w:pPr>
        <w:pStyle w:val="ExhibitSource"/>
        <w:jc w:val="center"/>
        <w:sectPr w:rsidR="003C2E7C" w:rsidRPr="00C07D26" w:rsidSect="00B15812">
          <w:headerReference w:type="even" r:id="rId14"/>
          <w:headerReference w:type="default" r:id="rId15"/>
          <w:footerReference w:type="even" r:id="rId16"/>
          <w:footerReference w:type="default" r:id="rId17"/>
          <w:headerReference w:type="first" r:id="rId18"/>
          <w:footerReference w:type="first" r:id="rId19"/>
          <w:pgSz w:w="11906" w:h="16838"/>
          <w:pgMar w:top="1417" w:right="1276" w:bottom="838" w:left="1134" w:header="708" w:footer="300" w:gutter="0"/>
          <w:cols w:space="708"/>
          <w:titlePg/>
          <w:docGrid w:linePitch="360"/>
        </w:sectPr>
      </w:pPr>
    </w:p>
    <w:p w14:paraId="57EFAD00" w14:textId="29B91FAF" w:rsidR="00E571D8" w:rsidRDefault="00194F33" w:rsidP="004563A2">
      <w:r>
        <w:lastRenderedPageBreak/>
        <w:t xml:space="preserve">However, the MPC </w:t>
      </w:r>
      <w:r w:rsidRPr="00194F33">
        <w:t>remains concerned that pay settlements could start to edge higher again</w:t>
      </w:r>
      <w:r w:rsidR="00327A92">
        <w:t xml:space="preserve"> soon</w:t>
      </w:r>
      <w:r w:rsidRPr="00194F33">
        <w:t xml:space="preserve">. The BoE's </w:t>
      </w:r>
      <w:hyperlink r:id="rId20" w:history="1">
        <w:r w:rsidR="00327A92" w:rsidRPr="00FB577F">
          <w:rPr>
            <w:rStyle w:val="Hyperlink"/>
          </w:rPr>
          <w:t>Decision Maker Panel</w:t>
        </w:r>
      </w:hyperlink>
      <w:r w:rsidRPr="00194F33">
        <w:t xml:space="preserve"> for December reported that the downward trend in year-ahead pay growth expectations has plateaued </w:t>
      </w:r>
      <w:r w:rsidR="00E54CF5">
        <w:t>recently</w:t>
      </w:r>
      <w:r w:rsidR="009D3D21">
        <w:t>, at</w:t>
      </w:r>
      <w:r w:rsidR="00E54CF5">
        <w:t xml:space="preserve"> </w:t>
      </w:r>
      <w:r w:rsidRPr="00194F33">
        <w:t>around 3.7%. Meanwhile, intelligence from the BoE's regional agents suggests that the 2026 new year pay deals are likely to average 3.5%, down only marginally from the 3.7% they reported for early</w:t>
      </w:r>
      <w:r w:rsidR="009D3D21">
        <w:t xml:space="preserve"> </w:t>
      </w:r>
      <w:r w:rsidRPr="00194F33">
        <w:t xml:space="preserve">2025. This would still be above a target-consistent pace. </w:t>
      </w:r>
    </w:p>
    <w:p w14:paraId="06503F07" w14:textId="75CFBF64" w:rsidR="00194F33" w:rsidRDefault="003F1AD1" w:rsidP="004563A2">
      <w:r>
        <w:t xml:space="preserve">Evidence that </w:t>
      </w:r>
      <w:r w:rsidR="00A12115">
        <w:t xml:space="preserve">labour market conditions continue to </w:t>
      </w:r>
      <w:r w:rsidR="001E2DED">
        <w:t>cool</w:t>
      </w:r>
      <w:r w:rsidR="00A12115">
        <w:t xml:space="preserve"> suggest</w:t>
      </w:r>
      <w:r w:rsidR="00F1775B">
        <w:t>s</w:t>
      </w:r>
      <w:r w:rsidR="00A12115">
        <w:t xml:space="preserve"> </w:t>
      </w:r>
      <w:r w:rsidR="00AC517A">
        <w:t>the momentum behind pay growth</w:t>
      </w:r>
      <w:r w:rsidR="0003796E">
        <w:t xml:space="preserve"> may slow further in the near term.</w:t>
      </w:r>
      <w:r w:rsidR="00DA24C7">
        <w:t xml:space="preserve"> </w:t>
      </w:r>
      <w:r w:rsidR="0003796E">
        <w:t xml:space="preserve">Most notably, HMRC's count of payrolled employees fell by a further 43,000 in December, after a 33,000 drop a month earlier. </w:t>
      </w:r>
      <w:r w:rsidR="00A24327">
        <w:t>Although the HMRC measure tends t</w:t>
      </w:r>
      <w:r w:rsidR="00D726DA">
        <w:t xml:space="preserve">o be revised up over time, these falls </w:t>
      </w:r>
      <w:r w:rsidR="00875D11">
        <w:t>were</w:t>
      </w:r>
      <w:r w:rsidR="0003796E">
        <w:t xml:space="preserve"> the largest monthly declines seen since late 2020, with the renewed weakening in labour market conditions becoming more broad-based</w:t>
      </w:r>
      <w:r w:rsidR="003F71BB">
        <w:t xml:space="preserve"> (</w:t>
      </w:r>
      <w:r w:rsidR="00EF4128" w:rsidRPr="00F8066D">
        <w:rPr>
          <w:b/>
          <w:color w:val="003469"/>
        </w:rPr>
        <w:fldChar w:fldCharType="begin"/>
      </w:r>
      <w:r w:rsidR="00F8066D" w:rsidRPr="00F8066D">
        <w:rPr>
          <w:b/>
          <w:color w:val="003469"/>
        </w:rPr>
        <w:instrText xml:space="preserve">REF _Ref220423812 \h \* Charformat </w:instrText>
      </w:r>
      <w:r w:rsidR="00EF4128" w:rsidRPr="00F8066D">
        <w:rPr>
          <w:b/>
          <w:color w:val="003469"/>
        </w:rPr>
      </w:r>
      <w:r w:rsidR="00EF4128" w:rsidRPr="00F8066D">
        <w:rPr>
          <w:b/>
          <w:color w:val="003469"/>
        </w:rPr>
        <w:fldChar w:fldCharType="separate"/>
      </w:r>
      <w:r w:rsidR="00E73759" w:rsidRPr="00E73759">
        <w:rPr>
          <w:b/>
          <w:color w:val="003469"/>
        </w:rPr>
        <w:t>Chart 2</w:t>
      </w:r>
      <w:r w:rsidR="00EF4128" w:rsidRPr="00F8066D">
        <w:rPr>
          <w:b/>
          <w:color w:val="003469"/>
        </w:rPr>
        <w:fldChar w:fldCharType="end"/>
      </w:r>
      <w:r w:rsidR="003F71BB">
        <w:t>).</w:t>
      </w:r>
      <w:r w:rsidR="001D5715">
        <w:t xml:space="preserve"> And weakness in the payrolls data chimes </w:t>
      </w:r>
      <w:r w:rsidR="00B12F1B">
        <w:t xml:space="preserve">with a range of business surveys and </w:t>
      </w:r>
      <w:hyperlink r:id="rId21" w:history="1">
        <w:r w:rsidR="00B12F1B" w:rsidRPr="00A1328F">
          <w:rPr>
            <w:rStyle w:val="Hyperlink"/>
          </w:rPr>
          <w:t>alternative indicators</w:t>
        </w:r>
      </w:hyperlink>
      <w:r w:rsidR="003B26DC">
        <w:t>,</w:t>
      </w:r>
      <w:r w:rsidR="00875D11">
        <w:t xml:space="preserve"> suggesting the jobs market is in poor shape.</w:t>
      </w:r>
    </w:p>
    <w:p w14:paraId="0EF59350" w14:textId="7D16FCD2" w:rsidR="00267D0D" w:rsidRDefault="00267D0D" w:rsidP="002A0752">
      <w:pPr>
        <w:pStyle w:val="ExhibitTitle"/>
      </w:pPr>
      <w:bookmarkStart w:id="1" w:name="_Ref220423812"/>
      <w:r>
        <w:t xml:space="preserve">Chart </w:t>
      </w:r>
      <w:r>
        <w:fldChar w:fldCharType="begin"/>
      </w:r>
      <w:r w:rsidR="00EF4128">
        <w:instrText>SEQ CHART</w:instrText>
      </w:r>
      <w:r>
        <w:fldChar w:fldCharType="separate"/>
      </w:r>
      <w:r w:rsidR="00E73759">
        <w:rPr>
          <w:noProof/>
        </w:rPr>
        <w:t>2</w:t>
      </w:r>
      <w:r>
        <w:fldChar w:fldCharType="end"/>
      </w:r>
      <w:bookmarkEnd w:id="1"/>
      <w:r>
        <w:t xml:space="preserve">: </w:t>
      </w:r>
      <w:r w:rsidR="00DB444C">
        <w:t>The latest payroll data point to renewed weakness across the labour market</w:t>
      </w:r>
    </w:p>
    <w:p w14:paraId="503FC0DF" w14:textId="2D631F8A" w:rsidR="00DB444C" w:rsidRDefault="00DB444C" w:rsidP="002A0752">
      <w:pPr>
        <w:spacing w:after="0"/>
      </w:pPr>
      <w:r>
        <w:rPr>
          <w:noProof/>
        </w:rPr>
        <w:drawing>
          <wp:inline distT="0" distB="0" distL="0" distR="0" wp14:anchorId="4EBDBB63" wp14:editId="324166C8">
            <wp:extent cx="3250933" cy="2552005"/>
            <wp:effectExtent l="0" t="0" r="6985" b="1270"/>
            <wp:docPr id="7504558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5584" name=""/>
                    <pic:cNvPicPr/>
                  </pic:nvPicPr>
                  <pic:blipFill>
                    <a:blip r:embed="rId22">
                      <a:extLst>
                        <a:ext uri="{96DAC541-7B7A-43D3-8B79-37D633B846F1}">
                          <asvg:svgBlip xmlns:asvg="http://schemas.microsoft.com/office/drawing/2016/SVG/main" r:embed="rId23"/>
                        </a:ext>
                      </a:extLst>
                    </a:blip>
                    <a:srcRect b="1799"/>
                    <a:stretch>
                      <a:fillRect/>
                    </a:stretch>
                  </pic:blipFill>
                  <pic:spPr>
                    <a:xfrm>
                      <a:off x="0" y="0"/>
                      <a:ext cx="3250933" cy="2552005"/>
                    </a:xfrm>
                    <a:prstGeom prst="rect">
                      <a:avLst/>
                    </a:prstGeom>
                  </pic:spPr>
                </pic:pic>
              </a:graphicData>
            </a:graphic>
          </wp:inline>
        </w:drawing>
      </w:r>
    </w:p>
    <w:p w14:paraId="0EF343CE" w14:textId="53E37D5C" w:rsidR="00267D0D" w:rsidRDefault="00DB444C" w:rsidP="002A0752">
      <w:pPr>
        <w:pStyle w:val="ExhibitSource"/>
      </w:pPr>
      <w:r>
        <w:t>Source: Haver Analytics</w:t>
      </w:r>
    </w:p>
    <w:p w14:paraId="5509C7F3" w14:textId="1B99EF8C" w:rsidR="007E7C39" w:rsidRDefault="00267D0D" w:rsidP="001C16C4">
      <w:r>
        <w:t xml:space="preserve">Elsewhere, </w:t>
      </w:r>
      <w:r w:rsidR="00F97671">
        <w:t xml:space="preserve">December's </w:t>
      </w:r>
      <w:hyperlink r:id="rId24" w:history="1">
        <w:r w:rsidR="00F97671" w:rsidRPr="00F254B2">
          <w:rPr>
            <w:rStyle w:val="Hyperlink"/>
          </w:rPr>
          <w:t>CPI inflation</w:t>
        </w:r>
      </w:hyperlink>
      <w:r w:rsidR="00F97671">
        <w:t xml:space="preserve"> reading </w:t>
      </w:r>
      <w:r w:rsidR="00043A4B">
        <w:t>rose 0.2ppts to 3.4%</w:t>
      </w:r>
      <w:r w:rsidR="00D5334A">
        <w:t xml:space="preserve"> y/y</w:t>
      </w:r>
      <w:r w:rsidR="0044754F">
        <w:t>.</w:t>
      </w:r>
      <w:r w:rsidR="00AC3EB7">
        <w:t xml:space="preserve"> </w:t>
      </w:r>
      <w:r w:rsidR="0044754F">
        <w:t>However,</w:t>
      </w:r>
      <w:r w:rsidR="00AC3EB7">
        <w:t xml:space="preserve"> this was largely due to </w:t>
      </w:r>
      <w:r w:rsidR="00B93F4C">
        <w:t xml:space="preserve">a combination of </w:t>
      </w:r>
      <w:r w:rsidR="00803DB9">
        <w:t xml:space="preserve">the unwinding of </w:t>
      </w:r>
      <w:r w:rsidR="00AC3EB7">
        <w:t>earlier weaker outturns</w:t>
      </w:r>
      <w:r w:rsidR="0095048A">
        <w:t xml:space="preserve"> across a range of </w:t>
      </w:r>
      <w:r w:rsidR="00B93F4C" w:rsidRPr="00B93F4C">
        <w:t>notoriously</w:t>
      </w:r>
      <w:r w:rsidR="00AC3EB7">
        <w:t xml:space="preserve"> volatile </w:t>
      </w:r>
      <w:r w:rsidR="0095048A">
        <w:t xml:space="preserve">core sub-categories </w:t>
      </w:r>
      <w:r w:rsidR="00B93F4C">
        <w:t>and the 2025 Budget uprating of tobacco duty</w:t>
      </w:r>
      <w:r w:rsidR="001157B4">
        <w:t>, after the 2024 duty increase</w:t>
      </w:r>
      <w:r w:rsidR="00D63224">
        <w:t xml:space="preserve"> happened a month earlier</w:t>
      </w:r>
      <w:r w:rsidR="007742B3">
        <w:t>.</w:t>
      </w:r>
      <w:r w:rsidR="00806CE3">
        <w:t xml:space="preserve"> Although </w:t>
      </w:r>
      <w:r w:rsidR="000322B6">
        <w:t xml:space="preserve">both </w:t>
      </w:r>
      <w:r w:rsidR="00806CE3">
        <w:t xml:space="preserve">headline and services inflation </w:t>
      </w:r>
      <w:r w:rsidR="00F75BD4">
        <w:t xml:space="preserve">have come in </w:t>
      </w:r>
      <w:r w:rsidR="00DB5DA6">
        <w:t>fractionally</w:t>
      </w:r>
      <w:r w:rsidR="00F75BD4">
        <w:t xml:space="preserve"> weaker than forecast by BoE staff</w:t>
      </w:r>
      <w:r w:rsidR="003E6AB3">
        <w:t xml:space="preserve"> in recent months, </w:t>
      </w:r>
      <w:r w:rsidR="00C950FB">
        <w:t>the MPC's measure of core services inflation has remained virtually unchanged.</w:t>
      </w:r>
    </w:p>
    <w:p w14:paraId="20BBD431" w14:textId="182ED547" w:rsidR="008E6F91" w:rsidRDefault="008E6F91" w:rsidP="001C16C4">
      <w:r>
        <w:t xml:space="preserve">Turning to demand, </w:t>
      </w:r>
      <w:hyperlink r:id="rId25" w:history="1">
        <w:r w:rsidRPr="00997CB9">
          <w:rPr>
            <w:rStyle w:val="Hyperlink"/>
          </w:rPr>
          <w:t>November's GDP outturn</w:t>
        </w:r>
      </w:hyperlink>
      <w:r>
        <w:t xml:space="preserve"> provided a rare upside surprise and suggests output growth in Q4 2025 is likely to</w:t>
      </w:r>
      <w:r w:rsidR="00214192">
        <w:t xml:space="preserve"> come in at 0.1% q/q, marginally higher than </w:t>
      </w:r>
      <w:r w:rsidR="00B37901">
        <w:t xml:space="preserve">the BoE's flat forecast. However, </w:t>
      </w:r>
      <w:r w:rsidR="001C1C0D">
        <w:t>these are small magnit</w:t>
      </w:r>
      <w:r w:rsidR="00EA2E54">
        <w:t>udes</w:t>
      </w:r>
      <w:r w:rsidR="00D745D2">
        <w:t>,</w:t>
      </w:r>
      <w:r w:rsidR="00EA2E54">
        <w:t xml:space="preserve"> and </w:t>
      </w:r>
      <w:r w:rsidR="00B37901">
        <w:t xml:space="preserve">much of this strength appears to reflect noisy data rather than </w:t>
      </w:r>
      <w:r w:rsidR="00803DB9">
        <w:t xml:space="preserve">a </w:t>
      </w:r>
      <w:r w:rsidR="00B37901">
        <w:t>strong underlying narrative.</w:t>
      </w:r>
      <w:r w:rsidR="00F63D64">
        <w:t xml:space="preserve"> </w:t>
      </w:r>
      <w:r w:rsidR="004D69B9">
        <w:t xml:space="preserve">As a result, we </w:t>
      </w:r>
      <w:r w:rsidR="008B3FA1">
        <w:t xml:space="preserve">think </w:t>
      </w:r>
      <w:r w:rsidR="004D69B9">
        <w:t>the growth outlook is little change</w:t>
      </w:r>
      <w:r w:rsidR="008B3FA1">
        <w:t>d</w:t>
      </w:r>
      <w:r w:rsidR="004D69B9">
        <w:t xml:space="preserve"> and </w:t>
      </w:r>
      <w:r w:rsidR="008B3FA1">
        <w:t>expect 2026 to be another challenging year, with domestic headwinds capping GDP growth slightly below 1%.</w:t>
      </w:r>
    </w:p>
    <w:p w14:paraId="032093D0" w14:textId="2A14E3C7" w:rsidR="00493622" w:rsidRPr="00C07D26" w:rsidRDefault="00A144F8" w:rsidP="002A0752">
      <w:pPr>
        <w:pStyle w:val="Heading3"/>
      </w:pPr>
      <w:r>
        <w:t xml:space="preserve">Budget measures </w:t>
      </w:r>
      <w:r w:rsidR="00394FA0">
        <w:t>should bring down the MPC's near-term inflation forecast</w:t>
      </w:r>
    </w:p>
    <w:p w14:paraId="5E4B9FB1" w14:textId="3674840C" w:rsidR="007411CA" w:rsidRDefault="00E72486" w:rsidP="00C37BC3">
      <w:r>
        <w:t>The MPC will present its updated forecasts at the February meeting.</w:t>
      </w:r>
      <w:r w:rsidR="00E5049E" w:rsidRPr="00E5049E">
        <w:t xml:space="preserve"> </w:t>
      </w:r>
      <w:r w:rsidR="007411CA">
        <w:t>We expect the</w:t>
      </w:r>
      <w:r w:rsidR="009E3F4D">
        <w:t xml:space="preserve"> new</w:t>
      </w:r>
      <w:r w:rsidR="007411CA">
        <w:t xml:space="preserve"> </w:t>
      </w:r>
      <w:r w:rsidR="00C51653">
        <w:t xml:space="preserve">inflation </w:t>
      </w:r>
      <w:r w:rsidR="007411CA">
        <w:t xml:space="preserve">forecast to more closely resemble our own projections, with a much sharper slowdown </w:t>
      </w:r>
      <w:r w:rsidR="00C51653">
        <w:t>this year</w:t>
      </w:r>
      <w:r w:rsidR="008A60C6">
        <w:t xml:space="preserve"> than previously </w:t>
      </w:r>
      <w:r w:rsidR="0056106D">
        <w:t>forecast</w:t>
      </w:r>
      <w:r w:rsidR="00D83A51">
        <w:t xml:space="preserve">, </w:t>
      </w:r>
      <w:r w:rsidR="001E35F9">
        <w:t xml:space="preserve">but </w:t>
      </w:r>
      <w:r w:rsidR="003A2C7F">
        <w:t>higher inflation in 2027</w:t>
      </w:r>
      <w:r w:rsidR="008A60C6">
        <w:t xml:space="preserve"> (</w:t>
      </w:r>
      <w:r w:rsidR="00EF4128" w:rsidRPr="00F8066D">
        <w:rPr>
          <w:b/>
          <w:color w:val="003469"/>
        </w:rPr>
        <w:fldChar w:fldCharType="begin"/>
      </w:r>
      <w:r w:rsidR="00F8066D" w:rsidRPr="00F8066D">
        <w:rPr>
          <w:b/>
          <w:color w:val="003469"/>
        </w:rPr>
        <w:instrText xml:space="preserve">REF _Ref220423813 \h \* Charformat </w:instrText>
      </w:r>
      <w:r w:rsidR="00EF4128" w:rsidRPr="00F8066D">
        <w:rPr>
          <w:b/>
          <w:color w:val="003469"/>
        </w:rPr>
      </w:r>
      <w:r w:rsidR="00EF4128" w:rsidRPr="00F8066D">
        <w:rPr>
          <w:b/>
          <w:color w:val="003469"/>
        </w:rPr>
        <w:fldChar w:fldCharType="separate"/>
      </w:r>
      <w:r w:rsidR="00E73759" w:rsidRPr="00E73759">
        <w:rPr>
          <w:b/>
          <w:color w:val="003469"/>
        </w:rPr>
        <w:t>Chart 3</w:t>
      </w:r>
      <w:r w:rsidR="00EF4128" w:rsidRPr="00F8066D">
        <w:rPr>
          <w:b/>
          <w:color w:val="003469"/>
        </w:rPr>
        <w:fldChar w:fldCharType="end"/>
      </w:r>
      <w:r w:rsidR="008A60C6">
        <w:t>)</w:t>
      </w:r>
      <w:r w:rsidR="001E35F9">
        <w:t>.</w:t>
      </w:r>
    </w:p>
    <w:p w14:paraId="6ECB1409" w14:textId="5B161BFB" w:rsidR="004139D6" w:rsidRDefault="004139D6" w:rsidP="002A0752">
      <w:pPr>
        <w:pStyle w:val="ExhibitTitle"/>
      </w:pPr>
      <w:bookmarkStart w:id="2" w:name="_Ref220353705"/>
      <w:bookmarkStart w:id="3" w:name="_Ref220423813"/>
      <w:r>
        <w:lastRenderedPageBreak/>
        <w:t xml:space="preserve">Chart </w:t>
      </w:r>
      <w:bookmarkEnd w:id="2"/>
      <w:r w:rsidR="00EF4128">
        <w:fldChar w:fldCharType="begin"/>
      </w:r>
      <w:r w:rsidR="00E73759">
        <w:instrText>SEQ CHART</w:instrText>
      </w:r>
      <w:r w:rsidR="00EF4128">
        <w:fldChar w:fldCharType="separate"/>
      </w:r>
      <w:r w:rsidR="00E73759">
        <w:rPr>
          <w:noProof/>
        </w:rPr>
        <w:t>3</w:t>
      </w:r>
      <w:r w:rsidR="00EF4128">
        <w:fldChar w:fldCharType="end"/>
      </w:r>
      <w:bookmarkEnd w:id="3"/>
      <w:r>
        <w:t xml:space="preserve">: </w:t>
      </w:r>
      <w:r w:rsidR="00FC55A1">
        <w:t>T</w:t>
      </w:r>
      <w:r w:rsidR="00FD12DB">
        <w:t xml:space="preserve">he BoE's new </w:t>
      </w:r>
      <w:r w:rsidR="008B4384">
        <w:t xml:space="preserve">forecast </w:t>
      </w:r>
      <w:r w:rsidR="00E22F3F">
        <w:t xml:space="preserve">is likely to </w:t>
      </w:r>
      <w:r w:rsidR="00395A2B">
        <w:t>show a sharper slowdown</w:t>
      </w:r>
    </w:p>
    <w:p w14:paraId="4631A43F" w14:textId="614B2BBB" w:rsidR="00E73759" w:rsidRDefault="00E73759" w:rsidP="002A0752">
      <w:pPr>
        <w:spacing w:after="0"/>
        <w:rPr>
          <w:noProof/>
        </w:rPr>
      </w:pPr>
      <w:r>
        <w:rPr>
          <w:noProof/>
        </w:rPr>
        <w:drawing>
          <wp:inline distT="0" distB="0" distL="0" distR="0" wp14:anchorId="1BD98F42" wp14:editId="2C30BD6E">
            <wp:extent cx="3250933" cy="2541433"/>
            <wp:effectExtent l="0" t="0" r="6985" b="0"/>
            <wp:docPr id="145102055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20558" name=""/>
                    <pic:cNvPicPr/>
                  </pic:nvPicPr>
                  <pic:blipFill>
                    <a:blip r:embed="rId26">
                      <a:extLst>
                        <a:ext uri="{96DAC541-7B7A-43D3-8B79-37D633B846F1}">
                          <asvg:svgBlip xmlns:asvg="http://schemas.microsoft.com/office/drawing/2016/SVG/main" r:embed="rId27"/>
                        </a:ext>
                      </a:extLst>
                    </a:blip>
                    <a:srcRect b="2283"/>
                    <a:stretch>
                      <a:fillRect/>
                    </a:stretch>
                  </pic:blipFill>
                  <pic:spPr>
                    <a:xfrm>
                      <a:off x="0" y="0"/>
                      <a:ext cx="3250933" cy="2541433"/>
                    </a:xfrm>
                    <a:prstGeom prst="rect">
                      <a:avLst/>
                    </a:prstGeom>
                  </pic:spPr>
                </pic:pic>
              </a:graphicData>
            </a:graphic>
          </wp:inline>
        </w:drawing>
      </w:r>
    </w:p>
    <w:p w14:paraId="0F999B7E" w14:textId="703A9347" w:rsidR="000A4395" w:rsidRDefault="00E73759" w:rsidP="002A0752">
      <w:pPr>
        <w:pStyle w:val="ExhibitSource"/>
      </w:pPr>
      <w:r>
        <w:t>Sources: Oxford Economics, Bank of England, HMT</w:t>
      </w:r>
    </w:p>
    <w:p w14:paraId="3EDEE3BD" w14:textId="77777777" w:rsidR="00DC02C2" w:rsidRDefault="00DC02C2" w:rsidP="00DC02C2">
      <w:r>
        <w:t xml:space="preserve">Recent favourable outturns mean February's inflation forecast will start from a slightly lower level than previously assumed. Meanwhile, the MPC remarked in December that one-off reductions to regulatory costs levied on households' energy bills, and changes to fuel duty, were likely to directly lower inflation by around 0.5ppts in April 2026. </w:t>
      </w:r>
    </w:p>
    <w:p w14:paraId="07D38F7F" w14:textId="6DE1CFD2" w:rsidR="00DC02C2" w:rsidRDefault="00DC02C2" w:rsidP="00DC02C2">
      <w:r>
        <w:t>R</w:t>
      </w:r>
      <w:r w:rsidRPr="00B14EC8">
        <w:t>ecent shifts in market expectations for Bank Rate, as well as relatively modest changes in sterling and commodity futures prices across the 15 working-day period used by the BoE to generate the forecast's conditioning assumptions, are unlikely to have a significant impact on the BoE's near-term inflation outlook.</w:t>
      </w:r>
    </w:p>
    <w:p w14:paraId="70CFFB4D" w14:textId="07849760" w:rsidR="00FE355C" w:rsidRPr="00DC02C2" w:rsidRDefault="00DC19AB" w:rsidP="00FE355C">
      <w:r>
        <w:t xml:space="preserve">Further ahead, we expect the MPC to raise its inflation forecast slightly above the 2% target </w:t>
      </w:r>
      <w:r w:rsidR="00070ACE">
        <w:t>in 2027</w:t>
      </w:r>
      <w:r>
        <w:t>.</w:t>
      </w:r>
      <w:r w:rsidR="001C4368">
        <w:t xml:space="preserve"> This reflects our view that several of the factors set to weigh on inflation in H1 2026 should prove temporary and unwind over the course of H2 2026 and 2027.</w:t>
      </w:r>
      <w:r w:rsidR="00FE355C" w:rsidRPr="00FE355C">
        <w:t xml:space="preserve"> </w:t>
      </w:r>
      <w:r w:rsidR="00FE355C">
        <w:t xml:space="preserve">This would send a message that the MPC </w:t>
      </w:r>
      <w:r w:rsidR="00070ACE">
        <w:t xml:space="preserve">intends to </w:t>
      </w:r>
      <w:r w:rsidR="00FE355C">
        <w:t xml:space="preserve">maintain </w:t>
      </w:r>
      <w:r w:rsidR="00070ACE">
        <w:t>its</w:t>
      </w:r>
      <w:r w:rsidR="00FE355C">
        <w:t xml:space="preserve"> cautious approach to loosening policy further.</w:t>
      </w:r>
    </w:p>
    <w:p w14:paraId="6C10C830" w14:textId="4E4E0446" w:rsidR="0088566D" w:rsidRDefault="004E5920" w:rsidP="00DC02C2">
      <w:r>
        <w:t>Separately</w:t>
      </w:r>
      <w:r w:rsidR="00764C29">
        <w:t>,</w:t>
      </w:r>
      <w:r>
        <w:t xml:space="preserve"> </w:t>
      </w:r>
      <w:r w:rsidR="00764C29">
        <w:t>t</w:t>
      </w:r>
      <w:r w:rsidR="00FE355C">
        <w:t xml:space="preserve">he MPC will also conduct its annual stocktake </w:t>
      </w:r>
      <w:r w:rsidR="00E17AE6">
        <w:t>on the supply side</w:t>
      </w:r>
      <w:r w:rsidR="00BC0172">
        <w:t xml:space="preserve">, so there will be </w:t>
      </w:r>
      <w:r w:rsidR="00F119A9">
        <w:t>a lot</w:t>
      </w:r>
      <w:r w:rsidR="00BC0172">
        <w:t xml:space="preserve"> of moving parts in the forecast.</w:t>
      </w:r>
      <w:r w:rsidR="002F3E3B">
        <w:t xml:space="preserve"> Given </w:t>
      </w:r>
      <w:r w:rsidR="00F217EA">
        <w:t xml:space="preserve">official </w:t>
      </w:r>
      <w:r w:rsidR="008E71B8">
        <w:t xml:space="preserve">productivity growth has remained weak and there has been a sharp slowdown in net migration in recent years, </w:t>
      </w:r>
      <w:r w:rsidR="002155CC">
        <w:t>we think the BoE may flag that the risks to its potential output forecast are skewed to the downside.</w:t>
      </w:r>
    </w:p>
    <w:p w14:paraId="1C812362" w14:textId="38A972EE" w:rsidR="004816EA" w:rsidRPr="00C07D26" w:rsidRDefault="00555610" w:rsidP="002A0752">
      <w:pPr>
        <w:pStyle w:val="Heading3"/>
      </w:pPr>
      <w:r>
        <w:t xml:space="preserve">Mild stagflationary conditions </w:t>
      </w:r>
      <w:r w:rsidR="00062C39">
        <w:t>are</w:t>
      </w:r>
      <w:r>
        <w:t xml:space="preserve"> likely to keep the MPC divided</w:t>
      </w:r>
    </w:p>
    <w:p w14:paraId="1FDAF62D" w14:textId="10DFEB97" w:rsidR="00D80726" w:rsidRDefault="004D196C" w:rsidP="003C2E7C">
      <w:r>
        <w:t xml:space="preserve">The MPC </w:t>
      </w:r>
      <w:r w:rsidR="00F63618">
        <w:t>introduced</w:t>
      </w:r>
      <w:r>
        <w:t xml:space="preserve"> two </w:t>
      </w:r>
      <w:r w:rsidR="00F63618">
        <w:t xml:space="preserve">new </w:t>
      </w:r>
      <w:r w:rsidR="00EB4D2E">
        <w:t>alternative scenarios for the economic outlook</w:t>
      </w:r>
      <w:r w:rsidR="0022522A">
        <w:t xml:space="preserve"> in November's </w:t>
      </w:r>
      <w:bookmarkStart w:id="4" w:name="_Hlk220577198"/>
      <w:r w:rsidR="0022522A">
        <w:t>Monetary Policy Report</w:t>
      </w:r>
      <w:bookmarkEnd w:id="4"/>
      <w:r w:rsidR="00F63618">
        <w:t xml:space="preserve">, as a </w:t>
      </w:r>
      <w:r w:rsidR="00B94404">
        <w:t xml:space="preserve">way of helping to communicate where members saw the risks around </w:t>
      </w:r>
      <w:r w:rsidR="0022522A">
        <w:t>the</w:t>
      </w:r>
      <w:r w:rsidR="00EB4D2E">
        <w:t xml:space="preserve"> central projection</w:t>
      </w:r>
      <w:r w:rsidR="00E937BB">
        <w:t>.</w:t>
      </w:r>
    </w:p>
    <w:p w14:paraId="1DE08DEF" w14:textId="14928055" w:rsidR="005E70BA" w:rsidRDefault="005E70BA" w:rsidP="003C2E7C">
      <w:r>
        <w:t xml:space="preserve">The first alternative scenario </w:t>
      </w:r>
      <w:r w:rsidR="000158A3">
        <w:t xml:space="preserve">is a negative demand shock, </w:t>
      </w:r>
      <w:r w:rsidR="00C4236C">
        <w:t>show</w:t>
      </w:r>
      <w:r w:rsidR="000158A3">
        <w:t>ing</w:t>
      </w:r>
      <w:r w:rsidR="00C4236C">
        <w:t xml:space="preserve"> downside risks to inflation from greater weakness in output, especially in consumer spending</w:t>
      </w:r>
      <w:r w:rsidR="00CC0936">
        <w:t>, leading to a further rise in unemployment and slack in the economy.</w:t>
      </w:r>
      <w:r w:rsidR="00AC0EAF">
        <w:t xml:space="preserve"> The second is mainly an adverse supply shock</w:t>
      </w:r>
      <w:r w:rsidR="00DB43BB">
        <w:t>, showing upside risk</w:t>
      </w:r>
      <w:r w:rsidR="00264E8E">
        <w:t>s</w:t>
      </w:r>
      <w:r w:rsidR="00DB43BB">
        <w:t xml:space="preserve"> to inflation</w:t>
      </w:r>
      <w:r w:rsidR="00264E8E">
        <w:t>, with elevated inflation expectations keeping pay growth above a target</w:t>
      </w:r>
      <w:r w:rsidR="00803DB9">
        <w:t>-</w:t>
      </w:r>
      <w:r w:rsidR="00264E8E">
        <w:t>consistent pace</w:t>
      </w:r>
      <w:r w:rsidR="00DE32F9">
        <w:t>,</w:t>
      </w:r>
      <w:r w:rsidR="00264E8E">
        <w:t xml:space="preserve"> </w:t>
      </w:r>
      <w:r w:rsidR="00F12353">
        <w:t>without generating</w:t>
      </w:r>
      <w:r w:rsidR="00DE32F9">
        <w:t xml:space="preserve"> stronger economic activity. </w:t>
      </w:r>
      <w:r w:rsidR="00817200" w:rsidRPr="00817200">
        <w:t xml:space="preserve">Most MPC members believe that one or the other </w:t>
      </w:r>
      <w:r w:rsidR="00803DB9">
        <w:t xml:space="preserve">of these scenarios </w:t>
      </w:r>
      <w:r w:rsidR="00817200" w:rsidRPr="00817200">
        <w:t>is more likely to occur.</w:t>
      </w:r>
    </w:p>
    <w:p w14:paraId="088E6520" w14:textId="27CCD2B6" w:rsidR="009A0DCF" w:rsidRDefault="005F3470" w:rsidP="003C2E7C">
      <w:r w:rsidRPr="005F3470">
        <w:t xml:space="preserve">There has been a concerted effort by the committee to refer to these scenarios in discussions about the policy outlook. Swati Dhingra and Alan Taylor have suggested that they consider the downside scenario to be their baseline. </w:t>
      </w:r>
      <w:r w:rsidR="00241933">
        <w:t>The o</w:t>
      </w:r>
      <w:r w:rsidR="00241933" w:rsidRPr="005F3470">
        <w:t xml:space="preserve">ther </w:t>
      </w:r>
      <w:r w:rsidRPr="005F3470">
        <w:t>members have intimated that they still see the central projection as their baseline outlook</w:t>
      </w:r>
      <w:r w:rsidR="00D5437A">
        <w:t xml:space="preserve">, </w:t>
      </w:r>
      <w:r w:rsidR="003C6F73">
        <w:t xml:space="preserve">but </w:t>
      </w:r>
      <w:r w:rsidR="00803DB9">
        <w:t xml:space="preserve">have </w:t>
      </w:r>
      <w:r w:rsidR="00872CF9">
        <w:t xml:space="preserve">placed </w:t>
      </w:r>
      <w:r w:rsidR="0098784E">
        <w:t xml:space="preserve">different weights </w:t>
      </w:r>
      <w:r w:rsidR="00872CF9">
        <w:t xml:space="preserve">on the alternative scenarios. </w:t>
      </w:r>
      <w:r w:rsidR="009D2778">
        <w:t xml:space="preserve">Bailey, Sarah Breeden, and Dave Ramsden have suggested that they put </w:t>
      </w:r>
      <w:r w:rsidR="00DA44B3">
        <w:t>more weight on an outcome closest to the downside scenario, whereas Huw Pill, Megan Greene, and Catherine Mann</w:t>
      </w:r>
      <w:r w:rsidR="00DD077F">
        <w:t xml:space="preserve"> </w:t>
      </w:r>
      <w:r w:rsidR="00803DB9">
        <w:t xml:space="preserve">have </w:t>
      </w:r>
      <w:r w:rsidR="00DD077F">
        <w:t xml:space="preserve">cited concerns </w:t>
      </w:r>
      <w:r w:rsidR="00803DB9">
        <w:t xml:space="preserve">echoing </w:t>
      </w:r>
      <w:r w:rsidR="00DD077F">
        <w:t xml:space="preserve">the upside risk scenario. Clare Lombardelli </w:t>
      </w:r>
      <w:r w:rsidR="002C1189">
        <w:t>has shared those</w:t>
      </w:r>
      <w:r w:rsidR="00CC7B4A">
        <w:t xml:space="preserve"> </w:t>
      </w:r>
      <w:r w:rsidR="002C1189">
        <w:t>worries, but has also made effort</w:t>
      </w:r>
      <w:r w:rsidR="00BB64A6">
        <w:t>s</w:t>
      </w:r>
      <w:r w:rsidR="002C1189">
        <w:t xml:space="preserve"> to acknowledge the downside risks from </w:t>
      </w:r>
      <w:r w:rsidR="00803DB9">
        <w:t xml:space="preserve">the </w:t>
      </w:r>
      <w:r w:rsidR="002C1189">
        <w:t>weak</w:t>
      </w:r>
      <w:r w:rsidR="00803DB9">
        <w:t>ness of</w:t>
      </w:r>
      <w:r w:rsidR="002C1189">
        <w:t xml:space="preserve"> </w:t>
      </w:r>
      <w:r w:rsidR="00D0257F">
        <w:t>consumer spending</w:t>
      </w:r>
      <w:r w:rsidR="002C1189">
        <w:t xml:space="preserve"> (</w:t>
      </w:r>
      <w:r w:rsidR="00EF4128" w:rsidRPr="00F8066D">
        <w:rPr>
          <w:b/>
          <w:color w:val="003469"/>
        </w:rPr>
        <w:fldChar w:fldCharType="begin"/>
      </w:r>
      <w:r w:rsidR="00F8066D" w:rsidRPr="00F8066D">
        <w:rPr>
          <w:b/>
          <w:color w:val="003469"/>
        </w:rPr>
        <w:instrText xml:space="preserve">REF _Ref220423814 \h \* Charformat </w:instrText>
      </w:r>
      <w:r w:rsidR="00EF4128" w:rsidRPr="00F8066D">
        <w:rPr>
          <w:b/>
          <w:color w:val="003469"/>
        </w:rPr>
      </w:r>
      <w:r w:rsidR="00EF4128" w:rsidRPr="00F8066D">
        <w:rPr>
          <w:b/>
          <w:color w:val="003469"/>
        </w:rPr>
        <w:fldChar w:fldCharType="separate"/>
      </w:r>
      <w:r w:rsidR="00E73759" w:rsidRPr="00E73759">
        <w:rPr>
          <w:b/>
          <w:color w:val="003469"/>
        </w:rPr>
        <w:t>Chart 4</w:t>
      </w:r>
      <w:r w:rsidR="00EF4128" w:rsidRPr="00F8066D">
        <w:rPr>
          <w:b/>
          <w:color w:val="003469"/>
        </w:rPr>
        <w:fldChar w:fldCharType="end"/>
      </w:r>
      <w:r w:rsidR="002C1189">
        <w:t>)</w:t>
      </w:r>
      <w:r w:rsidR="00D0257F">
        <w:t>.</w:t>
      </w:r>
    </w:p>
    <w:p w14:paraId="5816E546" w14:textId="66DED37F" w:rsidR="009F13B5" w:rsidRDefault="009F13B5" w:rsidP="002A0752">
      <w:pPr>
        <w:pStyle w:val="ExhibitTitle"/>
      </w:pPr>
      <w:bookmarkStart w:id="5" w:name="_Ref220403897"/>
      <w:bookmarkStart w:id="6" w:name="_Ref220423814"/>
      <w:r>
        <w:lastRenderedPageBreak/>
        <w:t xml:space="preserve">Chart </w:t>
      </w:r>
      <w:bookmarkEnd w:id="5"/>
      <w:r w:rsidR="00EF4128">
        <w:fldChar w:fldCharType="begin"/>
      </w:r>
      <w:r w:rsidR="00EF4128">
        <w:instrText>SEQ CHART</w:instrText>
      </w:r>
      <w:r w:rsidR="00EF4128">
        <w:fldChar w:fldCharType="separate"/>
      </w:r>
      <w:r w:rsidR="00E73759">
        <w:rPr>
          <w:noProof/>
        </w:rPr>
        <w:t>4</w:t>
      </w:r>
      <w:r w:rsidR="00EF4128">
        <w:fldChar w:fldCharType="end"/>
      </w:r>
      <w:bookmarkEnd w:id="6"/>
      <w:r>
        <w:t xml:space="preserve">: </w:t>
      </w:r>
      <w:r w:rsidR="0067314E">
        <w:t xml:space="preserve">The MPC remains divided on the </w:t>
      </w:r>
      <w:r w:rsidR="00782B5E">
        <w:t>risks to the inflation outlook</w:t>
      </w:r>
    </w:p>
    <w:p w14:paraId="42C97A4D" w14:textId="449599E9" w:rsidR="00BA0D66" w:rsidRDefault="00BA0D66" w:rsidP="002A0752">
      <w:pPr>
        <w:spacing w:after="0"/>
        <w:rPr>
          <w:noProof/>
        </w:rPr>
      </w:pPr>
      <w:r>
        <w:rPr>
          <w:noProof/>
        </w:rPr>
        <w:drawing>
          <wp:inline distT="0" distB="0" distL="0" distR="0" wp14:anchorId="3A3E5896" wp14:editId="00391068">
            <wp:extent cx="3250933" cy="2552005"/>
            <wp:effectExtent l="0" t="0" r="6985" b="1270"/>
            <wp:docPr id="98274950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9500" name=""/>
                    <pic:cNvPicPr/>
                  </pic:nvPicPr>
                  <pic:blipFill>
                    <a:blip r:embed="rId28">
                      <a:extLst>
                        <a:ext uri="{96DAC541-7B7A-43D3-8B79-37D633B846F1}">
                          <asvg:svgBlip xmlns:asvg="http://schemas.microsoft.com/office/drawing/2016/SVG/main" r:embed="rId29"/>
                        </a:ext>
                      </a:extLst>
                    </a:blip>
                    <a:srcRect b="1799"/>
                    <a:stretch>
                      <a:fillRect/>
                    </a:stretch>
                  </pic:blipFill>
                  <pic:spPr>
                    <a:xfrm>
                      <a:off x="0" y="0"/>
                      <a:ext cx="3250933" cy="2552005"/>
                    </a:xfrm>
                    <a:prstGeom prst="rect">
                      <a:avLst/>
                    </a:prstGeom>
                  </pic:spPr>
                </pic:pic>
              </a:graphicData>
            </a:graphic>
          </wp:inline>
        </w:drawing>
      </w:r>
    </w:p>
    <w:p w14:paraId="6ACC5D87" w14:textId="66EFC271" w:rsidR="009F13B5" w:rsidRDefault="00BA0D66" w:rsidP="002A0752">
      <w:pPr>
        <w:pStyle w:val="ExhibitSource"/>
      </w:pPr>
      <w:r>
        <w:t>Source: Oxford Economics</w:t>
      </w:r>
    </w:p>
    <w:p w14:paraId="3C924FBE" w14:textId="732D58C6" w:rsidR="00B00F0D" w:rsidRDefault="003A64E1" w:rsidP="003C2E7C">
      <w:r>
        <w:t xml:space="preserve">We think the MPC will probably retain these scenarios for February's </w:t>
      </w:r>
      <w:r w:rsidR="00803DB9">
        <w:t>Monetary Policy Report</w:t>
      </w:r>
      <w:r>
        <w:t xml:space="preserve">. </w:t>
      </w:r>
      <w:r w:rsidR="00D0257F" w:rsidRPr="00D0257F">
        <w:t xml:space="preserve">However, as we outlined in a recent </w:t>
      </w:r>
      <w:hyperlink r:id="rId30" w:history="1">
        <w:r w:rsidR="00D0257F" w:rsidRPr="00D0257F">
          <w:rPr>
            <w:rStyle w:val="Hyperlink"/>
          </w:rPr>
          <w:t>Research Briefing</w:t>
        </w:r>
      </w:hyperlink>
      <w:r w:rsidR="00D0257F" w:rsidRPr="00D0257F">
        <w:t xml:space="preserve">, these alternative scenarios are not mutually exclusive. The mildly stagflationary environment that the UK finds itself in, with weak growth and upside risks to price pressures in the medium term, means we suspect elements of both scenarios are likely to materialise. This </w:t>
      </w:r>
      <w:r w:rsidR="00FF5E9B">
        <w:t xml:space="preserve">suggests </w:t>
      </w:r>
      <w:r w:rsidR="00452F90">
        <w:t xml:space="preserve">that </w:t>
      </w:r>
      <w:r w:rsidR="00FF5E9B">
        <w:t>the com</w:t>
      </w:r>
      <w:r w:rsidR="00270B81">
        <w:t>mittee is likely to remain divided for a prolonged period</w:t>
      </w:r>
      <w:r w:rsidR="0092629F">
        <w:t>, encourag</w:t>
      </w:r>
      <w:r w:rsidR="00BA5C6F">
        <w:t>ing</w:t>
      </w:r>
      <w:r w:rsidR="0092629F">
        <w:t xml:space="preserve"> </w:t>
      </w:r>
      <w:r w:rsidR="005F7BE0">
        <w:t xml:space="preserve">a </w:t>
      </w:r>
      <w:r w:rsidR="00BA5C6F">
        <w:t>gradual</w:t>
      </w:r>
      <w:r w:rsidR="005F7BE0">
        <w:t xml:space="preserve"> approach to </w:t>
      </w:r>
      <w:r w:rsidR="00A10C66">
        <w:t xml:space="preserve">further policy </w:t>
      </w:r>
      <w:r w:rsidR="005F7BE0">
        <w:t>loosening.</w:t>
      </w:r>
    </w:p>
    <w:p w14:paraId="208FAC74" w14:textId="1AE64BE3" w:rsidR="00B00F0D" w:rsidRDefault="00655AEB" w:rsidP="002A0752">
      <w:pPr>
        <w:pStyle w:val="Heading3"/>
      </w:pPr>
      <w:r>
        <w:t xml:space="preserve">The MPC may use its report to </w:t>
      </w:r>
      <w:r w:rsidR="00353747">
        <w:t xml:space="preserve">signal </w:t>
      </w:r>
      <w:r w:rsidR="00B6573D">
        <w:t>that policy is approaching neutral</w:t>
      </w:r>
    </w:p>
    <w:p w14:paraId="3619619F" w14:textId="791C76DD" w:rsidR="000F2758" w:rsidRDefault="006C08B7" w:rsidP="003C2E7C">
      <w:r>
        <w:t xml:space="preserve">In December's guidance, </w:t>
      </w:r>
      <w:r w:rsidR="00961864">
        <w:t xml:space="preserve">the MPC emphasised </w:t>
      </w:r>
      <w:r w:rsidR="007272C7">
        <w:t xml:space="preserve">that for individual members, judgements around further </w:t>
      </w:r>
      <w:r w:rsidR="007B0313">
        <w:t>rate cuts</w:t>
      </w:r>
      <w:r w:rsidR="00957A34">
        <w:t xml:space="preserve"> would become a closer call as </w:t>
      </w:r>
      <w:r w:rsidR="00372E60">
        <w:t xml:space="preserve">policy approaches neutral, and that </w:t>
      </w:r>
      <w:r w:rsidR="00654E84">
        <w:t xml:space="preserve">there is a range of views on what level that is. </w:t>
      </w:r>
      <w:r w:rsidR="000F2758">
        <w:t>A</w:t>
      </w:r>
      <w:r w:rsidR="007232DD">
        <w:t xml:space="preserve">s </w:t>
      </w:r>
      <w:r w:rsidR="00FB0CB0">
        <w:t xml:space="preserve">was the case in the February </w:t>
      </w:r>
      <w:r w:rsidR="009A143E">
        <w:t>Monetary Policy Reports</w:t>
      </w:r>
      <w:r w:rsidR="00FB0CB0">
        <w:t xml:space="preserve"> in </w:t>
      </w:r>
      <w:hyperlink r:id="rId31" w:history="1">
        <w:r w:rsidR="00FB0CB0" w:rsidRPr="00944C7D">
          <w:rPr>
            <w:rStyle w:val="Hyperlink"/>
          </w:rPr>
          <w:t>2024</w:t>
        </w:r>
      </w:hyperlink>
      <w:r w:rsidR="00FB0CB0">
        <w:t xml:space="preserve"> and </w:t>
      </w:r>
      <w:hyperlink r:id="rId32" w:history="1">
        <w:r w:rsidR="00FB0CB0" w:rsidRPr="00192E74">
          <w:rPr>
            <w:rStyle w:val="Hyperlink"/>
          </w:rPr>
          <w:t>2025</w:t>
        </w:r>
      </w:hyperlink>
      <w:r w:rsidR="00FB0CB0">
        <w:t xml:space="preserve">, </w:t>
      </w:r>
      <w:r w:rsidR="00B8334C">
        <w:t>we suspect t</w:t>
      </w:r>
      <w:r w:rsidR="009A143E">
        <w:t>he BoE may include a box in next</w:t>
      </w:r>
      <w:r w:rsidR="00754A58">
        <w:t xml:space="preserve"> week's MPR laying out the </w:t>
      </w:r>
      <w:r w:rsidR="000C0FD6">
        <w:t xml:space="preserve">latest research on where estimates suggest the long-run equilibrium interest rate </w:t>
      </w:r>
      <w:r w:rsidR="00161BFF">
        <w:t xml:space="preserve">sits, and what this implies </w:t>
      </w:r>
      <w:r w:rsidR="00A73AB1">
        <w:t xml:space="preserve">for the current restrictiveness of </w:t>
      </w:r>
      <w:r w:rsidR="00385F7A">
        <w:t>monetary policy.</w:t>
      </w:r>
    </w:p>
    <w:p w14:paraId="43D0AC06" w14:textId="52C40FE8" w:rsidR="00155511" w:rsidRDefault="00155511" w:rsidP="003C2E7C">
      <w:r>
        <w:t xml:space="preserve">We expect the MPC's messaging around the neutral rate to remain guarded. </w:t>
      </w:r>
      <w:r w:rsidR="00752939">
        <w:t xml:space="preserve">However, considerable uncertainty </w:t>
      </w:r>
      <w:r w:rsidR="00E15A42">
        <w:t xml:space="preserve">about </w:t>
      </w:r>
      <w:r w:rsidR="003A15B0">
        <w:t xml:space="preserve">estimates of neutral and a sense that cutting too aggressively would be more costly </w:t>
      </w:r>
      <w:r w:rsidR="00652704">
        <w:t xml:space="preserve">than too little suggests </w:t>
      </w:r>
      <w:r w:rsidR="001A6A9F">
        <w:t>the committee will continue to take a cautious approach to loosening policy.</w:t>
      </w:r>
    </w:p>
    <w:p w14:paraId="7BEEA74C" w14:textId="4E27C149" w:rsidR="000F2758" w:rsidRDefault="0045369D" w:rsidP="002A0752">
      <w:pPr>
        <w:pStyle w:val="Heading3"/>
      </w:pPr>
      <w:r>
        <w:t xml:space="preserve">We think </w:t>
      </w:r>
      <w:r w:rsidR="00BF64D4">
        <w:t>April is likely to be the next meeting with genuine jeopardy</w:t>
      </w:r>
    </w:p>
    <w:p w14:paraId="36EC2911" w14:textId="3073777E" w:rsidR="004572E1" w:rsidRDefault="004572E1" w:rsidP="003C2E7C">
      <w:r>
        <w:t xml:space="preserve">As of </w:t>
      </w:r>
      <w:r w:rsidR="00EA1A80">
        <w:t>January 2</w:t>
      </w:r>
      <w:r w:rsidR="000259B2">
        <w:t>9</w:t>
      </w:r>
      <w:r w:rsidR="00EA1A80">
        <w:t>, market pricing implies a 2%</w:t>
      </w:r>
      <w:r w:rsidR="000B1ED4">
        <w:t xml:space="preserve"> chance of a 25bp cut at the February meeting</w:t>
      </w:r>
      <w:r w:rsidR="00E20E41">
        <w:t>,</w:t>
      </w:r>
      <w:r w:rsidR="000B1ED4">
        <w:t xml:space="preserve"> and </w:t>
      </w:r>
      <w:r w:rsidR="009305D2">
        <w:t xml:space="preserve">just </w:t>
      </w:r>
      <w:r w:rsidR="00D85ADA">
        <w:t xml:space="preserve">a </w:t>
      </w:r>
      <w:r w:rsidR="000B1ED4">
        <w:t>1</w:t>
      </w:r>
      <w:r w:rsidR="000259B2">
        <w:t>4</w:t>
      </w:r>
      <w:r w:rsidR="000B1ED4">
        <w:t xml:space="preserve">% </w:t>
      </w:r>
      <w:r w:rsidR="009305D2">
        <w:t xml:space="preserve">chance of a cut by the March meeting. </w:t>
      </w:r>
      <w:r w:rsidR="008E00B7">
        <w:t xml:space="preserve">We agree that cuts at either of these meetings </w:t>
      </w:r>
      <w:r w:rsidR="00DE5B7F">
        <w:t>are</w:t>
      </w:r>
      <w:r w:rsidR="008E00B7">
        <w:t xml:space="preserve"> unlikely.</w:t>
      </w:r>
    </w:p>
    <w:p w14:paraId="17726115" w14:textId="03E22190" w:rsidR="006849FF" w:rsidRDefault="00860CB1" w:rsidP="003C2E7C">
      <w:r>
        <w:t xml:space="preserve">The MPC's </w:t>
      </w:r>
      <w:r w:rsidR="009B11BB">
        <w:t>messaging</w:t>
      </w:r>
      <w:r>
        <w:t xml:space="preserve"> </w:t>
      </w:r>
      <w:r w:rsidR="00162E95">
        <w:t xml:space="preserve">in December signalled that its vote to lower Bank Rate was unlikely to be the start of a rapid series of cuts. </w:t>
      </w:r>
      <w:r w:rsidR="00765CC5">
        <w:t xml:space="preserve">We don't think the recent data </w:t>
      </w:r>
      <w:r w:rsidR="00A10C66">
        <w:t xml:space="preserve">have </w:t>
      </w:r>
      <w:r w:rsidR="00765CC5">
        <w:t xml:space="preserve">been weak enough </w:t>
      </w:r>
      <w:r w:rsidR="002858EA">
        <w:t xml:space="preserve">to convince a </w:t>
      </w:r>
      <w:r w:rsidR="006849FF">
        <w:t>majority on the committee to vote for a February</w:t>
      </w:r>
      <w:r w:rsidR="009F6D6E">
        <w:t xml:space="preserve"> cut next week. </w:t>
      </w:r>
      <w:r w:rsidR="004F79D6">
        <w:t>Indeed, t</w:t>
      </w:r>
      <w:r w:rsidR="009F6D6E">
        <w:t xml:space="preserve">here's a good chance that </w:t>
      </w:r>
      <w:r w:rsidR="00655C28">
        <w:t xml:space="preserve">the vote split will be </w:t>
      </w:r>
      <w:r w:rsidR="006E113F">
        <w:t>wider</w:t>
      </w:r>
      <w:r w:rsidR="00525246">
        <w:t xml:space="preserve"> than December's 5-4 decision, with </w:t>
      </w:r>
      <w:r w:rsidR="004A30FD">
        <w:t xml:space="preserve">just </w:t>
      </w:r>
      <w:r w:rsidR="00525246">
        <w:t>Dhingra and Taylor</w:t>
      </w:r>
      <w:r w:rsidR="004A30FD">
        <w:t xml:space="preserve"> likely to vote for a cut.</w:t>
      </w:r>
    </w:p>
    <w:p w14:paraId="06163505" w14:textId="461CCB11" w:rsidR="00366CE9" w:rsidRPr="00C07D26" w:rsidRDefault="00684C17" w:rsidP="00156C75">
      <w:r>
        <w:t xml:space="preserve">We continue to think that most committee members will be content with waiting until the end-April meeting to cut again. By that time, </w:t>
      </w:r>
      <w:r w:rsidR="001044C3">
        <w:t>the MPC will be able to assess how the new year pay deals are materialising in the official data</w:t>
      </w:r>
      <w:r w:rsidR="007F295C">
        <w:t>, and there should also be further evidence of subdued growth and slack accumulating in the labour market</w:t>
      </w:r>
      <w:r w:rsidR="00E71232">
        <w:t xml:space="preserve">. </w:t>
      </w:r>
      <w:r w:rsidR="001F539F">
        <w:t>After that, w</w:t>
      </w:r>
      <w:r w:rsidR="00D52FC9">
        <w:t xml:space="preserve">e expect the MPC's desire to move cautiously will see </w:t>
      </w:r>
      <w:r w:rsidR="00A10C66">
        <w:t xml:space="preserve">it </w:t>
      </w:r>
      <w:r w:rsidR="00D52FC9">
        <w:t>only cut once</w:t>
      </w:r>
      <w:r w:rsidR="001F539F">
        <w:t xml:space="preserve"> more </w:t>
      </w:r>
      <w:r w:rsidR="004528A5">
        <w:t>this year</w:t>
      </w:r>
      <w:r w:rsidR="00A10C66">
        <w:t>,</w:t>
      </w:r>
      <w:r w:rsidR="00291442">
        <w:t xml:space="preserve"> in November</w:t>
      </w:r>
      <w:r w:rsidR="00344ACB" w:rsidRPr="00C07D26">
        <w:t>.</w:t>
      </w:r>
    </w:p>
    <w:sectPr w:rsidR="00366CE9" w:rsidRPr="00C07D26" w:rsidSect="00B15812">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F87D" w14:textId="77777777" w:rsidR="007E141C" w:rsidRPr="00C07D26" w:rsidRDefault="007E141C" w:rsidP="003C2E7C">
      <w:pPr>
        <w:spacing w:before="0" w:after="0"/>
      </w:pPr>
      <w:r w:rsidRPr="00C07D26">
        <w:separator/>
      </w:r>
    </w:p>
  </w:endnote>
  <w:endnote w:type="continuationSeparator" w:id="0">
    <w:p w14:paraId="2E4B04C5" w14:textId="77777777" w:rsidR="007E141C" w:rsidRPr="00C07D26" w:rsidRDefault="007E141C" w:rsidP="003C2E7C">
      <w:pPr>
        <w:spacing w:before="0" w:after="0"/>
      </w:pPr>
      <w:r w:rsidRPr="00C07D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5D52" w14:textId="77777777" w:rsidR="00B37671" w:rsidRDefault="00B37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903F" w14:textId="1B364C89" w:rsidR="003C2E7C" w:rsidRPr="001478FF" w:rsidRDefault="001478FF" w:rsidP="001478FF">
    <w:pPr>
      <w:pStyle w:val="RepeatingFooter"/>
      <w:tabs>
        <w:tab w:val="clear" w:pos="4320"/>
        <w:tab w:val="center" w:pos="3685"/>
      </w:tabs>
    </w:pPr>
    <w:r>
      <w:t xml:space="preserve">Page </w:t>
    </w:r>
    <w:r>
      <w:fldChar w:fldCharType="begin"/>
    </w:r>
    <w:r>
      <w:instrText xml:space="preserve"> PAGE </w:instrText>
    </w:r>
    <w:r>
      <w:fldChar w:fldCharType="separate"/>
    </w:r>
    <w:r>
      <w:rPr>
        <w:noProof/>
      </w:rPr>
      <w:t>6</w:t>
    </w:r>
    <w:r>
      <w:fldChar w:fldCharType="end"/>
    </w:r>
    <w:r>
      <w:tab/>
      <w:t>Edward Allenby - eallenby@oxfordeconomics.com</w:t>
    </w:r>
    <w:r w:rsidRPr="001478FF">
      <w:rPr>
        <w:noProof/>
      </w:rPr>
      <w:drawing>
        <wp:anchor distT="0" distB="0" distL="114300" distR="114300" simplePos="0" relativeHeight="251659264" behindDoc="0" locked="0" layoutInCell="1" allowOverlap="1" wp14:anchorId="0D22F2C0" wp14:editId="10C7651A">
          <wp:simplePos x="0" y="0"/>
          <wp:positionH relativeFrom="margin">
            <wp:posOffset>5077460</wp:posOffset>
          </wp:positionH>
          <wp:positionV relativeFrom="margin">
            <wp:posOffset>9246870</wp:posOffset>
          </wp:positionV>
          <wp:extent cx="1657498" cy="234000"/>
          <wp:effectExtent l="0" t="0" r="0" b="0"/>
          <wp:wrapSquare wrapText="bothSides"/>
          <wp:docPr id="2239845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500" w14:textId="10DC3C76" w:rsidR="003C2E7C" w:rsidRPr="00C07D26" w:rsidRDefault="003C2E7C" w:rsidP="001478FF">
    <w:pPr>
      <w:pStyle w:val="Author"/>
    </w:pPr>
    <w:r w:rsidRPr="00C07D26">
      <w:t>Edward Allenby</w:t>
    </w:r>
    <w:r w:rsidR="002A0752">
      <w:t xml:space="preserve"> - </w:t>
    </w:r>
    <w:r w:rsidRPr="00C07D26">
      <w:t>Senior UK Economist</w:t>
    </w:r>
    <w:r w:rsidR="002A0752">
      <w:t xml:space="preserve"> - </w:t>
    </w:r>
    <w:r w:rsidRPr="00C07D26">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765B" w14:textId="77777777" w:rsidR="007E141C" w:rsidRPr="00C07D26" w:rsidRDefault="007E141C" w:rsidP="003C2E7C">
      <w:pPr>
        <w:spacing w:before="0" w:after="0"/>
      </w:pPr>
      <w:r w:rsidRPr="00C07D26">
        <w:separator/>
      </w:r>
    </w:p>
  </w:footnote>
  <w:footnote w:type="continuationSeparator" w:id="0">
    <w:p w14:paraId="09DC8A2D" w14:textId="77777777" w:rsidR="007E141C" w:rsidRPr="00C07D26" w:rsidRDefault="007E141C" w:rsidP="003C2E7C">
      <w:pPr>
        <w:spacing w:before="0" w:after="0"/>
      </w:pPr>
      <w:r w:rsidRPr="00C07D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1315" w14:textId="77777777" w:rsidR="003C2E7C" w:rsidRPr="00C07D26" w:rsidRDefault="003C2E7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3C0F" w14:textId="514C9680" w:rsidR="003C2E7C" w:rsidRPr="00C07D26" w:rsidRDefault="001478FF" w:rsidP="006270FD">
    <w:pPr>
      <w:pStyle w:val="Headline"/>
      <w:tabs>
        <w:tab w:val="left" w:pos="890"/>
      </w:tabs>
      <w:spacing w:before="120"/>
      <w:ind w:right="-1000"/>
    </w:pPr>
    <w:r w:rsidRPr="001478FF">
      <w:rPr>
        <w:noProof/>
      </w:rPr>
      <w:drawing>
        <wp:anchor distT="0" distB="0" distL="114300" distR="114300" simplePos="0" relativeHeight="251654139" behindDoc="1" locked="1" layoutInCell="1" allowOverlap="1" wp14:anchorId="03A6114B" wp14:editId="2F6193F6">
          <wp:simplePos x="0" y="0"/>
          <wp:positionH relativeFrom="page">
            <wp:posOffset>0</wp:posOffset>
          </wp:positionH>
          <wp:positionV relativeFrom="page">
            <wp:posOffset>0</wp:posOffset>
          </wp:positionV>
          <wp:extent cx="7564120" cy="10670540"/>
          <wp:effectExtent l="0" t="0" r="0" b="0"/>
          <wp:wrapNone/>
          <wp:docPr id="995554344"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495A53" w:rsidRPr="00495A53">
      <w:t>MPC preview –</w:t>
    </w:r>
    <w:r w:rsidR="00754D4B">
      <w:t xml:space="preserve"> </w:t>
    </w:r>
    <w:r w:rsidR="00FB3DBD">
      <w:t>Rate</w:t>
    </w:r>
    <w:r w:rsidR="00754D4B">
      <w:t>s</w:t>
    </w:r>
    <w:r w:rsidR="00FB3DBD">
      <w:t xml:space="preserve"> </w:t>
    </w:r>
    <w:r w:rsidR="00A13B66">
      <w:t xml:space="preserve">on hold amid </w:t>
    </w:r>
    <w:r w:rsidR="00754D4B">
      <w:t>signs of pay stickiness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1F1E" w14:textId="6DA161BA" w:rsidR="001478FF" w:rsidRPr="001478FF" w:rsidRDefault="001478FF" w:rsidP="001478FF">
    <w:pPr>
      <w:rPr>
        <w:b/>
        <w:bCs/>
        <w:sz w:val="4"/>
      </w:rPr>
    </w:pPr>
    <w:r w:rsidRPr="001478FF">
      <w:rPr>
        <w:noProof/>
        <w:sz w:val="4"/>
      </w:rPr>
      <w:drawing>
        <wp:anchor distT="0" distB="0" distL="114300" distR="114300" simplePos="0" relativeHeight="251655164" behindDoc="1" locked="1" layoutInCell="1" allowOverlap="1" wp14:anchorId="632F0086" wp14:editId="6B044FD6">
          <wp:simplePos x="0" y="0"/>
          <wp:positionH relativeFrom="page">
            <wp:posOffset>107950</wp:posOffset>
          </wp:positionH>
          <wp:positionV relativeFrom="page">
            <wp:posOffset>158750</wp:posOffset>
          </wp:positionV>
          <wp:extent cx="1594485" cy="359410"/>
          <wp:effectExtent l="0" t="0" r="5715" b="2540"/>
          <wp:wrapNone/>
          <wp:docPr id="1737206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1478FF">
      <w:rPr>
        <w:noProof/>
        <w:sz w:val="4"/>
      </w:rPr>
      <w:drawing>
        <wp:anchor distT="0" distB="0" distL="114300" distR="114300" simplePos="0" relativeHeight="251656189" behindDoc="1" locked="1" layoutInCell="1" allowOverlap="1" wp14:anchorId="404FE32F" wp14:editId="4CF1A706">
          <wp:simplePos x="0" y="0"/>
          <wp:positionH relativeFrom="page">
            <wp:posOffset>0</wp:posOffset>
          </wp:positionH>
          <wp:positionV relativeFrom="page">
            <wp:posOffset>673100</wp:posOffset>
          </wp:positionV>
          <wp:extent cx="7569200" cy="1029737"/>
          <wp:effectExtent l="0" t="0" r="0" b="0"/>
          <wp:wrapNone/>
          <wp:docPr id="121307520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785664478"/>
      <w:lock w:val="sdtLocked"/>
      <w:placeholder>
        <w:docPart w:val="DefaultPlaceholder_-1854013437"/>
      </w:placeholder>
      <w:date w:fullDate="2026-01-29T00:00:00Z">
        <w:dateFormat w:val="d MMMM yyyy"/>
        <w:lid w:val="en-GB"/>
        <w:storeMappedDataAs w:val="dateTime"/>
        <w:calendar w:val="gregorian"/>
      </w:date>
    </w:sdtPr>
    <w:sdtEndPr/>
    <w:sdtContent>
      <w:p w14:paraId="0BB06419" w14:textId="42D950CD" w:rsidR="003C2E7C" w:rsidRPr="001478FF" w:rsidRDefault="001478FF" w:rsidP="001478FF">
        <w:pPr>
          <w:pStyle w:val="PublishDate"/>
          <w:framePr w:w="2835" w:h="340" w:hRule="exact" w:hSpace="180" w:wrap="around" w:vAnchor="page" w:hAnchor="page" w:x="7801" w:y="601" w:anchorLock="1"/>
        </w:pPr>
        <w:r>
          <w:t>29 January 2026</w:t>
        </w:r>
      </w:p>
    </w:sdtContent>
  </w:sdt>
  <w:p w14:paraId="2C6E3240" w14:textId="77777777" w:rsidR="001478FF" w:rsidRDefault="001478FF" w:rsidP="001478FF">
    <w:pPr>
      <w:pStyle w:val="ProductDescription"/>
      <w:framePr w:w="11339" w:h="1474" w:hRule="exact" w:hSpace="180" w:wrap="around" w:vAnchor="page" w:hAnchor="page" w:x="401" w:y="1141" w:anchorLock="1"/>
      <w:spacing w:after="200"/>
    </w:pPr>
    <w:r>
      <w:t>Research Briefing | UK</w:t>
    </w:r>
  </w:p>
  <w:p w14:paraId="475B4011" w14:textId="425BE0F5" w:rsidR="001478FF" w:rsidRPr="00C07D26" w:rsidRDefault="00754D4B" w:rsidP="00754D4B">
    <w:pPr>
      <w:pStyle w:val="Headline"/>
      <w:framePr w:w="11339" w:h="1474" w:hRule="exact" w:hSpace="180" w:wrap="around" w:vAnchor="page" w:hAnchor="page" w:x="401" w:y="1141" w:anchorLock="1"/>
      <w:spacing w:line="200" w:lineRule="auto"/>
    </w:pPr>
    <w:r w:rsidRPr="00754D4B">
      <w:t>MPC preview – Rates on hold amid signs of pay stickiness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7C"/>
    <w:rsid w:val="0000363A"/>
    <w:rsid w:val="00003F56"/>
    <w:rsid w:val="00004E5C"/>
    <w:rsid w:val="000060AE"/>
    <w:rsid w:val="00006B8B"/>
    <w:rsid w:val="00010311"/>
    <w:rsid w:val="00011CAE"/>
    <w:rsid w:val="000147E9"/>
    <w:rsid w:val="00014D24"/>
    <w:rsid w:val="000158A3"/>
    <w:rsid w:val="00022483"/>
    <w:rsid w:val="00022FD6"/>
    <w:rsid w:val="0002433F"/>
    <w:rsid w:val="00025219"/>
    <w:rsid w:val="000259B2"/>
    <w:rsid w:val="00025AC2"/>
    <w:rsid w:val="00025E65"/>
    <w:rsid w:val="00026706"/>
    <w:rsid w:val="00026F35"/>
    <w:rsid w:val="0002729E"/>
    <w:rsid w:val="000272D7"/>
    <w:rsid w:val="00027923"/>
    <w:rsid w:val="00027B43"/>
    <w:rsid w:val="00030554"/>
    <w:rsid w:val="000322B6"/>
    <w:rsid w:val="00032613"/>
    <w:rsid w:val="00032697"/>
    <w:rsid w:val="00032EC3"/>
    <w:rsid w:val="00033104"/>
    <w:rsid w:val="00034D8E"/>
    <w:rsid w:val="000356D8"/>
    <w:rsid w:val="00036B10"/>
    <w:rsid w:val="000378E8"/>
    <w:rsid w:val="0003796E"/>
    <w:rsid w:val="00037F9C"/>
    <w:rsid w:val="00041575"/>
    <w:rsid w:val="00041B56"/>
    <w:rsid w:val="0004331F"/>
    <w:rsid w:val="00043A4B"/>
    <w:rsid w:val="000443DC"/>
    <w:rsid w:val="00044D99"/>
    <w:rsid w:val="000455C7"/>
    <w:rsid w:val="000469F9"/>
    <w:rsid w:val="0004732E"/>
    <w:rsid w:val="00047B7E"/>
    <w:rsid w:val="00050D1D"/>
    <w:rsid w:val="00051B28"/>
    <w:rsid w:val="00051D54"/>
    <w:rsid w:val="000534DB"/>
    <w:rsid w:val="00055D26"/>
    <w:rsid w:val="00060C8C"/>
    <w:rsid w:val="00062C39"/>
    <w:rsid w:val="00065EFB"/>
    <w:rsid w:val="0006734F"/>
    <w:rsid w:val="00067596"/>
    <w:rsid w:val="0006785C"/>
    <w:rsid w:val="00067EDC"/>
    <w:rsid w:val="00070ACE"/>
    <w:rsid w:val="000720BE"/>
    <w:rsid w:val="0007453F"/>
    <w:rsid w:val="000761CF"/>
    <w:rsid w:val="000778CC"/>
    <w:rsid w:val="000811E8"/>
    <w:rsid w:val="00081B96"/>
    <w:rsid w:val="00081C12"/>
    <w:rsid w:val="00081E39"/>
    <w:rsid w:val="00083909"/>
    <w:rsid w:val="00084324"/>
    <w:rsid w:val="000851FB"/>
    <w:rsid w:val="000869AF"/>
    <w:rsid w:val="00091DD8"/>
    <w:rsid w:val="00094638"/>
    <w:rsid w:val="00095ED3"/>
    <w:rsid w:val="0009646A"/>
    <w:rsid w:val="00097521"/>
    <w:rsid w:val="00097EF4"/>
    <w:rsid w:val="000A01E8"/>
    <w:rsid w:val="000A04D6"/>
    <w:rsid w:val="000A077C"/>
    <w:rsid w:val="000A1F3D"/>
    <w:rsid w:val="000A2DCA"/>
    <w:rsid w:val="000A4395"/>
    <w:rsid w:val="000A4622"/>
    <w:rsid w:val="000A4DAC"/>
    <w:rsid w:val="000A7469"/>
    <w:rsid w:val="000B02B9"/>
    <w:rsid w:val="000B1EA6"/>
    <w:rsid w:val="000B1ED4"/>
    <w:rsid w:val="000B2D13"/>
    <w:rsid w:val="000B4A10"/>
    <w:rsid w:val="000B71C8"/>
    <w:rsid w:val="000B79A0"/>
    <w:rsid w:val="000C03CB"/>
    <w:rsid w:val="000C0FD6"/>
    <w:rsid w:val="000C2DD1"/>
    <w:rsid w:val="000C2DD4"/>
    <w:rsid w:val="000C2DDA"/>
    <w:rsid w:val="000C48EE"/>
    <w:rsid w:val="000C5AE7"/>
    <w:rsid w:val="000C741D"/>
    <w:rsid w:val="000D0E4B"/>
    <w:rsid w:val="000D187C"/>
    <w:rsid w:val="000D1FD6"/>
    <w:rsid w:val="000D2BDC"/>
    <w:rsid w:val="000D3F08"/>
    <w:rsid w:val="000D622E"/>
    <w:rsid w:val="000D7657"/>
    <w:rsid w:val="000D79E5"/>
    <w:rsid w:val="000E1403"/>
    <w:rsid w:val="000E14C3"/>
    <w:rsid w:val="000E20BC"/>
    <w:rsid w:val="000E2178"/>
    <w:rsid w:val="000E2722"/>
    <w:rsid w:val="000E4561"/>
    <w:rsid w:val="000E5359"/>
    <w:rsid w:val="000E6454"/>
    <w:rsid w:val="000E6D16"/>
    <w:rsid w:val="000E7626"/>
    <w:rsid w:val="000F0126"/>
    <w:rsid w:val="000F053A"/>
    <w:rsid w:val="000F17AF"/>
    <w:rsid w:val="000F1A81"/>
    <w:rsid w:val="000F2758"/>
    <w:rsid w:val="000F2E7E"/>
    <w:rsid w:val="000F3260"/>
    <w:rsid w:val="000F5AA9"/>
    <w:rsid w:val="000F5F88"/>
    <w:rsid w:val="000F5F9E"/>
    <w:rsid w:val="00100AD2"/>
    <w:rsid w:val="0010174C"/>
    <w:rsid w:val="00101A3C"/>
    <w:rsid w:val="001044C3"/>
    <w:rsid w:val="0011169F"/>
    <w:rsid w:val="00111CB4"/>
    <w:rsid w:val="001125FC"/>
    <w:rsid w:val="00112924"/>
    <w:rsid w:val="00112CF5"/>
    <w:rsid w:val="00113994"/>
    <w:rsid w:val="00113CD5"/>
    <w:rsid w:val="0011435B"/>
    <w:rsid w:val="001157B4"/>
    <w:rsid w:val="0012076B"/>
    <w:rsid w:val="001223B5"/>
    <w:rsid w:val="00122E93"/>
    <w:rsid w:val="00124CD0"/>
    <w:rsid w:val="0012502E"/>
    <w:rsid w:val="00126405"/>
    <w:rsid w:val="001273B7"/>
    <w:rsid w:val="0013105D"/>
    <w:rsid w:val="00131551"/>
    <w:rsid w:val="00131664"/>
    <w:rsid w:val="001321D6"/>
    <w:rsid w:val="001340E3"/>
    <w:rsid w:val="00134306"/>
    <w:rsid w:val="00135831"/>
    <w:rsid w:val="00135CD2"/>
    <w:rsid w:val="0013725B"/>
    <w:rsid w:val="001373F9"/>
    <w:rsid w:val="0013748C"/>
    <w:rsid w:val="00140728"/>
    <w:rsid w:val="00142370"/>
    <w:rsid w:val="00143C67"/>
    <w:rsid w:val="001448BD"/>
    <w:rsid w:val="001455D2"/>
    <w:rsid w:val="00145A76"/>
    <w:rsid w:val="0014765C"/>
    <w:rsid w:val="001478FF"/>
    <w:rsid w:val="001506A0"/>
    <w:rsid w:val="00150DC3"/>
    <w:rsid w:val="0015260E"/>
    <w:rsid w:val="00152ADA"/>
    <w:rsid w:val="00153A40"/>
    <w:rsid w:val="00154945"/>
    <w:rsid w:val="00154C13"/>
    <w:rsid w:val="00155511"/>
    <w:rsid w:val="00156C75"/>
    <w:rsid w:val="00157995"/>
    <w:rsid w:val="00161BFF"/>
    <w:rsid w:val="001624E3"/>
    <w:rsid w:val="00162E95"/>
    <w:rsid w:val="0016425A"/>
    <w:rsid w:val="00164788"/>
    <w:rsid w:val="00164EEB"/>
    <w:rsid w:val="001700E8"/>
    <w:rsid w:val="001707FB"/>
    <w:rsid w:val="00170F58"/>
    <w:rsid w:val="00172D9A"/>
    <w:rsid w:val="001733F2"/>
    <w:rsid w:val="00174129"/>
    <w:rsid w:val="00174664"/>
    <w:rsid w:val="00175AFD"/>
    <w:rsid w:val="00177D91"/>
    <w:rsid w:val="00180AE0"/>
    <w:rsid w:val="00181AE1"/>
    <w:rsid w:val="00183135"/>
    <w:rsid w:val="001839CD"/>
    <w:rsid w:val="001843B3"/>
    <w:rsid w:val="00184A40"/>
    <w:rsid w:val="0018520F"/>
    <w:rsid w:val="00185B9A"/>
    <w:rsid w:val="0018636A"/>
    <w:rsid w:val="00186C47"/>
    <w:rsid w:val="00191A1F"/>
    <w:rsid w:val="00192879"/>
    <w:rsid w:val="00192A44"/>
    <w:rsid w:val="00192E74"/>
    <w:rsid w:val="00193015"/>
    <w:rsid w:val="00193636"/>
    <w:rsid w:val="00194F33"/>
    <w:rsid w:val="00197E87"/>
    <w:rsid w:val="001A4535"/>
    <w:rsid w:val="001A48A5"/>
    <w:rsid w:val="001A6A9F"/>
    <w:rsid w:val="001A7DF8"/>
    <w:rsid w:val="001B216C"/>
    <w:rsid w:val="001B229B"/>
    <w:rsid w:val="001B2C9B"/>
    <w:rsid w:val="001B37CF"/>
    <w:rsid w:val="001B3E5C"/>
    <w:rsid w:val="001B599B"/>
    <w:rsid w:val="001B79A7"/>
    <w:rsid w:val="001C0BAB"/>
    <w:rsid w:val="001C107A"/>
    <w:rsid w:val="001C1696"/>
    <w:rsid w:val="001C16C4"/>
    <w:rsid w:val="001C1C0D"/>
    <w:rsid w:val="001C23A2"/>
    <w:rsid w:val="001C3136"/>
    <w:rsid w:val="001C3198"/>
    <w:rsid w:val="001C3540"/>
    <w:rsid w:val="001C3E22"/>
    <w:rsid w:val="001C4368"/>
    <w:rsid w:val="001C7916"/>
    <w:rsid w:val="001D0230"/>
    <w:rsid w:val="001D0660"/>
    <w:rsid w:val="001D24C2"/>
    <w:rsid w:val="001D2621"/>
    <w:rsid w:val="001D26D8"/>
    <w:rsid w:val="001D2D70"/>
    <w:rsid w:val="001D4021"/>
    <w:rsid w:val="001D5243"/>
    <w:rsid w:val="001D5715"/>
    <w:rsid w:val="001D57C7"/>
    <w:rsid w:val="001D5CAE"/>
    <w:rsid w:val="001D69A3"/>
    <w:rsid w:val="001E0716"/>
    <w:rsid w:val="001E072C"/>
    <w:rsid w:val="001E07F8"/>
    <w:rsid w:val="001E0A9A"/>
    <w:rsid w:val="001E0E68"/>
    <w:rsid w:val="001E1920"/>
    <w:rsid w:val="001E2DED"/>
    <w:rsid w:val="001E35F9"/>
    <w:rsid w:val="001E3D6F"/>
    <w:rsid w:val="001E3ECE"/>
    <w:rsid w:val="001E5863"/>
    <w:rsid w:val="001F046C"/>
    <w:rsid w:val="001F0D67"/>
    <w:rsid w:val="001F0F2A"/>
    <w:rsid w:val="001F2C0D"/>
    <w:rsid w:val="001F3060"/>
    <w:rsid w:val="001F38CB"/>
    <w:rsid w:val="001F415B"/>
    <w:rsid w:val="001F539F"/>
    <w:rsid w:val="001F6742"/>
    <w:rsid w:val="001F675D"/>
    <w:rsid w:val="001F6DA9"/>
    <w:rsid w:val="00200550"/>
    <w:rsid w:val="00201F80"/>
    <w:rsid w:val="002025C8"/>
    <w:rsid w:val="00205692"/>
    <w:rsid w:val="00206A0A"/>
    <w:rsid w:val="00207B8B"/>
    <w:rsid w:val="00210D84"/>
    <w:rsid w:val="002113C8"/>
    <w:rsid w:val="00211B91"/>
    <w:rsid w:val="0021390B"/>
    <w:rsid w:val="00213E73"/>
    <w:rsid w:val="00214192"/>
    <w:rsid w:val="0021456E"/>
    <w:rsid w:val="00214CA5"/>
    <w:rsid w:val="002155CC"/>
    <w:rsid w:val="00216AFA"/>
    <w:rsid w:val="00217A9A"/>
    <w:rsid w:val="002203A8"/>
    <w:rsid w:val="00221991"/>
    <w:rsid w:val="00221E5E"/>
    <w:rsid w:val="00221E92"/>
    <w:rsid w:val="00222123"/>
    <w:rsid w:val="00223B16"/>
    <w:rsid w:val="0022522A"/>
    <w:rsid w:val="00226F4C"/>
    <w:rsid w:val="00227396"/>
    <w:rsid w:val="00231C8F"/>
    <w:rsid w:val="0023262C"/>
    <w:rsid w:val="00232E1D"/>
    <w:rsid w:val="002332E0"/>
    <w:rsid w:val="00234848"/>
    <w:rsid w:val="00235040"/>
    <w:rsid w:val="002350A3"/>
    <w:rsid w:val="00235C14"/>
    <w:rsid w:val="00240E53"/>
    <w:rsid w:val="00241841"/>
    <w:rsid w:val="00241933"/>
    <w:rsid w:val="002424C5"/>
    <w:rsid w:val="00242991"/>
    <w:rsid w:val="0024319D"/>
    <w:rsid w:val="0024363B"/>
    <w:rsid w:val="00246A96"/>
    <w:rsid w:val="00250465"/>
    <w:rsid w:val="0025073F"/>
    <w:rsid w:val="002518F2"/>
    <w:rsid w:val="00251CFA"/>
    <w:rsid w:val="00251FCB"/>
    <w:rsid w:val="002548DC"/>
    <w:rsid w:val="00255CE5"/>
    <w:rsid w:val="00256FA9"/>
    <w:rsid w:val="00257F5E"/>
    <w:rsid w:val="00260818"/>
    <w:rsid w:val="00260CA4"/>
    <w:rsid w:val="00261187"/>
    <w:rsid w:val="00261AE8"/>
    <w:rsid w:val="0026338D"/>
    <w:rsid w:val="00263F77"/>
    <w:rsid w:val="00264241"/>
    <w:rsid w:val="00264865"/>
    <w:rsid w:val="00264A48"/>
    <w:rsid w:val="00264E8E"/>
    <w:rsid w:val="00265C37"/>
    <w:rsid w:val="00266268"/>
    <w:rsid w:val="00267D0D"/>
    <w:rsid w:val="00270B81"/>
    <w:rsid w:val="00271166"/>
    <w:rsid w:val="00271AA8"/>
    <w:rsid w:val="0027307E"/>
    <w:rsid w:val="002735EB"/>
    <w:rsid w:val="00275E39"/>
    <w:rsid w:val="00280CED"/>
    <w:rsid w:val="00281642"/>
    <w:rsid w:val="00282AD0"/>
    <w:rsid w:val="0028386F"/>
    <w:rsid w:val="00284C10"/>
    <w:rsid w:val="002858EA"/>
    <w:rsid w:val="00286B04"/>
    <w:rsid w:val="002872DD"/>
    <w:rsid w:val="00290F8C"/>
    <w:rsid w:val="00291442"/>
    <w:rsid w:val="0029267A"/>
    <w:rsid w:val="00294430"/>
    <w:rsid w:val="002953D6"/>
    <w:rsid w:val="0029574D"/>
    <w:rsid w:val="00295EAB"/>
    <w:rsid w:val="002A0395"/>
    <w:rsid w:val="002A0752"/>
    <w:rsid w:val="002A2FCC"/>
    <w:rsid w:val="002A3815"/>
    <w:rsid w:val="002A383F"/>
    <w:rsid w:val="002A5126"/>
    <w:rsid w:val="002A62F3"/>
    <w:rsid w:val="002A63E4"/>
    <w:rsid w:val="002A680A"/>
    <w:rsid w:val="002A6AAF"/>
    <w:rsid w:val="002A70BF"/>
    <w:rsid w:val="002A71F3"/>
    <w:rsid w:val="002B06A3"/>
    <w:rsid w:val="002B3B96"/>
    <w:rsid w:val="002B471D"/>
    <w:rsid w:val="002B5C09"/>
    <w:rsid w:val="002C0FC8"/>
    <w:rsid w:val="002C1189"/>
    <w:rsid w:val="002C1928"/>
    <w:rsid w:val="002C1F44"/>
    <w:rsid w:val="002C2806"/>
    <w:rsid w:val="002C29BD"/>
    <w:rsid w:val="002C4813"/>
    <w:rsid w:val="002C64C0"/>
    <w:rsid w:val="002C7105"/>
    <w:rsid w:val="002C75AC"/>
    <w:rsid w:val="002D09F7"/>
    <w:rsid w:val="002D441D"/>
    <w:rsid w:val="002D5389"/>
    <w:rsid w:val="002D6E8F"/>
    <w:rsid w:val="002D6F9A"/>
    <w:rsid w:val="002E33A0"/>
    <w:rsid w:val="002E3762"/>
    <w:rsid w:val="002E3E49"/>
    <w:rsid w:val="002E4D67"/>
    <w:rsid w:val="002E4D71"/>
    <w:rsid w:val="002E613E"/>
    <w:rsid w:val="002E61AE"/>
    <w:rsid w:val="002E62BF"/>
    <w:rsid w:val="002E6BE5"/>
    <w:rsid w:val="002F0D86"/>
    <w:rsid w:val="002F17E0"/>
    <w:rsid w:val="002F1E58"/>
    <w:rsid w:val="002F3E3B"/>
    <w:rsid w:val="002F505B"/>
    <w:rsid w:val="002F5DA0"/>
    <w:rsid w:val="002F619A"/>
    <w:rsid w:val="002F61F7"/>
    <w:rsid w:val="002F6DFC"/>
    <w:rsid w:val="002F7349"/>
    <w:rsid w:val="00300093"/>
    <w:rsid w:val="00302D82"/>
    <w:rsid w:val="00302DE4"/>
    <w:rsid w:val="00302FAC"/>
    <w:rsid w:val="003039D1"/>
    <w:rsid w:val="00306BF0"/>
    <w:rsid w:val="00306F63"/>
    <w:rsid w:val="00307115"/>
    <w:rsid w:val="003076B7"/>
    <w:rsid w:val="003103C9"/>
    <w:rsid w:val="00310EA0"/>
    <w:rsid w:val="003142C4"/>
    <w:rsid w:val="0031646B"/>
    <w:rsid w:val="00317365"/>
    <w:rsid w:val="00320CF4"/>
    <w:rsid w:val="0032103F"/>
    <w:rsid w:val="003213DC"/>
    <w:rsid w:val="003214E4"/>
    <w:rsid w:val="0032211E"/>
    <w:rsid w:val="00322EAF"/>
    <w:rsid w:val="00323EA4"/>
    <w:rsid w:val="00324BEC"/>
    <w:rsid w:val="00325449"/>
    <w:rsid w:val="00325875"/>
    <w:rsid w:val="00325BA2"/>
    <w:rsid w:val="00327A92"/>
    <w:rsid w:val="00330322"/>
    <w:rsid w:val="00330793"/>
    <w:rsid w:val="00330904"/>
    <w:rsid w:val="00331B68"/>
    <w:rsid w:val="0033265D"/>
    <w:rsid w:val="0033274F"/>
    <w:rsid w:val="00334BFE"/>
    <w:rsid w:val="00334FEB"/>
    <w:rsid w:val="003362A2"/>
    <w:rsid w:val="00337910"/>
    <w:rsid w:val="0033793D"/>
    <w:rsid w:val="0034244F"/>
    <w:rsid w:val="00342775"/>
    <w:rsid w:val="003444CF"/>
    <w:rsid w:val="003445D8"/>
    <w:rsid w:val="00344ACB"/>
    <w:rsid w:val="00344EEC"/>
    <w:rsid w:val="0034500E"/>
    <w:rsid w:val="00345BE0"/>
    <w:rsid w:val="003469CB"/>
    <w:rsid w:val="00350E36"/>
    <w:rsid w:val="00351D1D"/>
    <w:rsid w:val="003526AC"/>
    <w:rsid w:val="00352877"/>
    <w:rsid w:val="00352C5A"/>
    <w:rsid w:val="00353318"/>
    <w:rsid w:val="00353747"/>
    <w:rsid w:val="00354C45"/>
    <w:rsid w:val="00355AEB"/>
    <w:rsid w:val="003567F6"/>
    <w:rsid w:val="00356EA1"/>
    <w:rsid w:val="003572DB"/>
    <w:rsid w:val="00360505"/>
    <w:rsid w:val="003613FA"/>
    <w:rsid w:val="0036158E"/>
    <w:rsid w:val="0036201A"/>
    <w:rsid w:val="003635C2"/>
    <w:rsid w:val="00363DDF"/>
    <w:rsid w:val="00366CE9"/>
    <w:rsid w:val="00366F6E"/>
    <w:rsid w:val="00370658"/>
    <w:rsid w:val="0037175D"/>
    <w:rsid w:val="00372375"/>
    <w:rsid w:val="00372C14"/>
    <w:rsid w:val="00372C9F"/>
    <w:rsid w:val="00372E60"/>
    <w:rsid w:val="00372F03"/>
    <w:rsid w:val="003732F2"/>
    <w:rsid w:val="00375536"/>
    <w:rsid w:val="003769C2"/>
    <w:rsid w:val="00377BF9"/>
    <w:rsid w:val="003808BA"/>
    <w:rsid w:val="00380E96"/>
    <w:rsid w:val="00381A5F"/>
    <w:rsid w:val="00382280"/>
    <w:rsid w:val="003828B1"/>
    <w:rsid w:val="003841A6"/>
    <w:rsid w:val="0038465F"/>
    <w:rsid w:val="0038484C"/>
    <w:rsid w:val="00384E30"/>
    <w:rsid w:val="00385F7A"/>
    <w:rsid w:val="00385FE3"/>
    <w:rsid w:val="00386679"/>
    <w:rsid w:val="003907D4"/>
    <w:rsid w:val="00390C81"/>
    <w:rsid w:val="0039193E"/>
    <w:rsid w:val="00391B9C"/>
    <w:rsid w:val="00393859"/>
    <w:rsid w:val="00394AC7"/>
    <w:rsid w:val="00394FA0"/>
    <w:rsid w:val="00395A2B"/>
    <w:rsid w:val="003A0E1B"/>
    <w:rsid w:val="003A15B0"/>
    <w:rsid w:val="003A2C7F"/>
    <w:rsid w:val="003A2D6A"/>
    <w:rsid w:val="003A3461"/>
    <w:rsid w:val="003A37B4"/>
    <w:rsid w:val="003A3977"/>
    <w:rsid w:val="003A50D1"/>
    <w:rsid w:val="003A64E1"/>
    <w:rsid w:val="003B0E56"/>
    <w:rsid w:val="003B18AF"/>
    <w:rsid w:val="003B26DC"/>
    <w:rsid w:val="003B2C10"/>
    <w:rsid w:val="003B4EA0"/>
    <w:rsid w:val="003B74E7"/>
    <w:rsid w:val="003C2A59"/>
    <w:rsid w:val="003C2E7C"/>
    <w:rsid w:val="003C4493"/>
    <w:rsid w:val="003C6674"/>
    <w:rsid w:val="003C6F73"/>
    <w:rsid w:val="003C6FBF"/>
    <w:rsid w:val="003C7F1A"/>
    <w:rsid w:val="003D1F8E"/>
    <w:rsid w:val="003D204A"/>
    <w:rsid w:val="003D30FE"/>
    <w:rsid w:val="003D392D"/>
    <w:rsid w:val="003D3A40"/>
    <w:rsid w:val="003D3A92"/>
    <w:rsid w:val="003D484B"/>
    <w:rsid w:val="003D4D30"/>
    <w:rsid w:val="003D5307"/>
    <w:rsid w:val="003D67D6"/>
    <w:rsid w:val="003D68F2"/>
    <w:rsid w:val="003D6A06"/>
    <w:rsid w:val="003D7258"/>
    <w:rsid w:val="003D7DA1"/>
    <w:rsid w:val="003E136D"/>
    <w:rsid w:val="003E3AEA"/>
    <w:rsid w:val="003E3E39"/>
    <w:rsid w:val="003E4C1B"/>
    <w:rsid w:val="003E60BB"/>
    <w:rsid w:val="003E6AB3"/>
    <w:rsid w:val="003E6E97"/>
    <w:rsid w:val="003E7A3E"/>
    <w:rsid w:val="003F04FC"/>
    <w:rsid w:val="003F0A4D"/>
    <w:rsid w:val="003F0BB9"/>
    <w:rsid w:val="003F19E8"/>
    <w:rsid w:val="003F1AD1"/>
    <w:rsid w:val="003F3106"/>
    <w:rsid w:val="003F339C"/>
    <w:rsid w:val="003F71BB"/>
    <w:rsid w:val="003F71DA"/>
    <w:rsid w:val="00402AF3"/>
    <w:rsid w:val="0040328B"/>
    <w:rsid w:val="00403448"/>
    <w:rsid w:val="00403468"/>
    <w:rsid w:val="004042C8"/>
    <w:rsid w:val="00405136"/>
    <w:rsid w:val="0040529E"/>
    <w:rsid w:val="00405B1B"/>
    <w:rsid w:val="004072B3"/>
    <w:rsid w:val="004072FB"/>
    <w:rsid w:val="004100B6"/>
    <w:rsid w:val="00410112"/>
    <w:rsid w:val="00411093"/>
    <w:rsid w:val="00411A1F"/>
    <w:rsid w:val="00411BD5"/>
    <w:rsid w:val="00411D7A"/>
    <w:rsid w:val="00412953"/>
    <w:rsid w:val="0041338E"/>
    <w:rsid w:val="004139A5"/>
    <w:rsid w:val="004139D6"/>
    <w:rsid w:val="004147A9"/>
    <w:rsid w:val="0041575F"/>
    <w:rsid w:val="004168B7"/>
    <w:rsid w:val="00417F0E"/>
    <w:rsid w:val="00420221"/>
    <w:rsid w:val="00421166"/>
    <w:rsid w:val="00424D72"/>
    <w:rsid w:val="004305F6"/>
    <w:rsid w:val="00430C38"/>
    <w:rsid w:val="00431928"/>
    <w:rsid w:val="004344A8"/>
    <w:rsid w:val="00434D04"/>
    <w:rsid w:val="00435CE0"/>
    <w:rsid w:val="004367E7"/>
    <w:rsid w:val="00437A52"/>
    <w:rsid w:val="00442200"/>
    <w:rsid w:val="004442E4"/>
    <w:rsid w:val="00444AA5"/>
    <w:rsid w:val="0044754F"/>
    <w:rsid w:val="00450575"/>
    <w:rsid w:val="00450C49"/>
    <w:rsid w:val="00451389"/>
    <w:rsid w:val="004528A5"/>
    <w:rsid w:val="00452C99"/>
    <w:rsid w:val="00452F90"/>
    <w:rsid w:val="0045369D"/>
    <w:rsid w:val="00454127"/>
    <w:rsid w:val="00454417"/>
    <w:rsid w:val="00454D9C"/>
    <w:rsid w:val="00455E6A"/>
    <w:rsid w:val="004563A2"/>
    <w:rsid w:val="004572E1"/>
    <w:rsid w:val="0045742B"/>
    <w:rsid w:val="00457B9C"/>
    <w:rsid w:val="00460140"/>
    <w:rsid w:val="00460395"/>
    <w:rsid w:val="004614B1"/>
    <w:rsid w:val="0046158A"/>
    <w:rsid w:val="004625AA"/>
    <w:rsid w:val="004629A1"/>
    <w:rsid w:val="00464DB9"/>
    <w:rsid w:val="00464FC1"/>
    <w:rsid w:val="00465457"/>
    <w:rsid w:val="00465A75"/>
    <w:rsid w:val="00466C98"/>
    <w:rsid w:val="004670F2"/>
    <w:rsid w:val="004700A2"/>
    <w:rsid w:val="004729D1"/>
    <w:rsid w:val="00472AD8"/>
    <w:rsid w:val="0047356A"/>
    <w:rsid w:val="004741F5"/>
    <w:rsid w:val="00475E38"/>
    <w:rsid w:val="004766FC"/>
    <w:rsid w:val="00476925"/>
    <w:rsid w:val="00477842"/>
    <w:rsid w:val="004816EA"/>
    <w:rsid w:val="004831C6"/>
    <w:rsid w:val="0048349C"/>
    <w:rsid w:val="00484B39"/>
    <w:rsid w:val="004858B4"/>
    <w:rsid w:val="004864B5"/>
    <w:rsid w:val="0048686D"/>
    <w:rsid w:val="0049121D"/>
    <w:rsid w:val="004917E5"/>
    <w:rsid w:val="00491B3B"/>
    <w:rsid w:val="00492148"/>
    <w:rsid w:val="0049300F"/>
    <w:rsid w:val="0049342F"/>
    <w:rsid w:val="00493622"/>
    <w:rsid w:val="00494105"/>
    <w:rsid w:val="00494B5A"/>
    <w:rsid w:val="00495A53"/>
    <w:rsid w:val="00495B6C"/>
    <w:rsid w:val="0049652E"/>
    <w:rsid w:val="00496A0C"/>
    <w:rsid w:val="004A0004"/>
    <w:rsid w:val="004A30FD"/>
    <w:rsid w:val="004A5BA5"/>
    <w:rsid w:val="004A6301"/>
    <w:rsid w:val="004A73EE"/>
    <w:rsid w:val="004B0E1B"/>
    <w:rsid w:val="004B1277"/>
    <w:rsid w:val="004B2A95"/>
    <w:rsid w:val="004B3FDD"/>
    <w:rsid w:val="004B44DB"/>
    <w:rsid w:val="004B65C5"/>
    <w:rsid w:val="004C0671"/>
    <w:rsid w:val="004C29A0"/>
    <w:rsid w:val="004C3D32"/>
    <w:rsid w:val="004C4133"/>
    <w:rsid w:val="004C41C1"/>
    <w:rsid w:val="004C4806"/>
    <w:rsid w:val="004C4D38"/>
    <w:rsid w:val="004C5E7C"/>
    <w:rsid w:val="004C7B4F"/>
    <w:rsid w:val="004D0852"/>
    <w:rsid w:val="004D196C"/>
    <w:rsid w:val="004D55D5"/>
    <w:rsid w:val="004D595F"/>
    <w:rsid w:val="004D69B9"/>
    <w:rsid w:val="004D76D0"/>
    <w:rsid w:val="004E1269"/>
    <w:rsid w:val="004E22C1"/>
    <w:rsid w:val="004E24BD"/>
    <w:rsid w:val="004E5920"/>
    <w:rsid w:val="004E64D2"/>
    <w:rsid w:val="004E6F66"/>
    <w:rsid w:val="004F04AB"/>
    <w:rsid w:val="004F0668"/>
    <w:rsid w:val="004F0ED6"/>
    <w:rsid w:val="004F2339"/>
    <w:rsid w:val="004F2BD6"/>
    <w:rsid w:val="004F5F14"/>
    <w:rsid w:val="004F775F"/>
    <w:rsid w:val="004F79D6"/>
    <w:rsid w:val="00501C48"/>
    <w:rsid w:val="0050734A"/>
    <w:rsid w:val="005114D9"/>
    <w:rsid w:val="005114E4"/>
    <w:rsid w:val="00511596"/>
    <w:rsid w:val="00511CCF"/>
    <w:rsid w:val="005139E0"/>
    <w:rsid w:val="00514090"/>
    <w:rsid w:val="00514C7F"/>
    <w:rsid w:val="00515EE4"/>
    <w:rsid w:val="0051610C"/>
    <w:rsid w:val="005171A6"/>
    <w:rsid w:val="005178EE"/>
    <w:rsid w:val="00517DD5"/>
    <w:rsid w:val="00520749"/>
    <w:rsid w:val="0052083D"/>
    <w:rsid w:val="00520E37"/>
    <w:rsid w:val="00524A01"/>
    <w:rsid w:val="00525064"/>
    <w:rsid w:val="00525246"/>
    <w:rsid w:val="00525AB0"/>
    <w:rsid w:val="00527232"/>
    <w:rsid w:val="00530C7E"/>
    <w:rsid w:val="005327DA"/>
    <w:rsid w:val="0053301E"/>
    <w:rsid w:val="0053385D"/>
    <w:rsid w:val="005340C0"/>
    <w:rsid w:val="005349A8"/>
    <w:rsid w:val="00534C35"/>
    <w:rsid w:val="005360FF"/>
    <w:rsid w:val="00537083"/>
    <w:rsid w:val="00537DA5"/>
    <w:rsid w:val="00540CF5"/>
    <w:rsid w:val="00541119"/>
    <w:rsid w:val="00544670"/>
    <w:rsid w:val="005455A4"/>
    <w:rsid w:val="00545B78"/>
    <w:rsid w:val="00546871"/>
    <w:rsid w:val="00546D2D"/>
    <w:rsid w:val="00550C12"/>
    <w:rsid w:val="00551214"/>
    <w:rsid w:val="00552114"/>
    <w:rsid w:val="005548AD"/>
    <w:rsid w:val="005549C1"/>
    <w:rsid w:val="00554AF6"/>
    <w:rsid w:val="00554D9E"/>
    <w:rsid w:val="00555610"/>
    <w:rsid w:val="00555820"/>
    <w:rsid w:val="00556F0C"/>
    <w:rsid w:val="00556F55"/>
    <w:rsid w:val="0055776F"/>
    <w:rsid w:val="00557BEF"/>
    <w:rsid w:val="00560D13"/>
    <w:rsid w:val="0056106D"/>
    <w:rsid w:val="00564478"/>
    <w:rsid w:val="00564E79"/>
    <w:rsid w:val="00566FF3"/>
    <w:rsid w:val="00567E43"/>
    <w:rsid w:val="00571AD1"/>
    <w:rsid w:val="00571D4A"/>
    <w:rsid w:val="00571E9F"/>
    <w:rsid w:val="00572725"/>
    <w:rsid w:val="00572CD2"/>
    <w:rsid w:val="00573A1B"/>
    <w:rsid w:val="00574291"/>
    <w:rsid w:val="0057469C"/>
    <w:rsid w:val="005746AD"/>
    <w:rsid w:val="00576837"/>
    <w:rsid w:val="00576C3F"/>
    <w:rsid w:val="005772FE"/>
    <w:rsid w:val="00577947"/>
    <w:rsid w:val="00580201"/>
    <w:rsid w:val="0058091B"/>
    <w:rsid w:val="00583EB1"/>
    <w:rsid w:val="0058559D"/>
    <w:rsid w:val="00586017"/>
    <w:rsid w:val="00587955"/>
    <w:rsid w:val="00587F8C"/>
    <w:rsid w:val="0059045E"/>
    <w:rsid w:val="00593756"/>
    <w:rsid w:val="00594118"/>
    <w:rsid w:val="0059440B"/>
    <w:rsid w:val="0059664E"/>
    <w:rsid w:val="0059685A"/>
    <w:rsid w:val="00596920"/>
    <w:rsid w:val="00597949"/>
    <w:rsid w:val="005A34C5"/>
    <w:rsid w:val="005A3954"/>
    <w:rsid w:val="005A456C"/>
    <w:rsid w:val="005A580B"/>
    <w:rsid w:val="005A63C0"/>
    <w:rsid w:val="005A7196"/>
    <w:rsid w:val="005B10D3"/>
    <w:rsid w:val="005B3B0B"/>
    <w:rsid w:val="005B5D76"/>
    <w:rsid w:val="005C051C"/>
    <w:rsid w:val="005C07E5"/>
    <w:rsid w:val="005C1220"/>
    <w:rsid w:val="005C1B26"/>
    <w:rsid w:val="005C1B59"/>
    <w:rsid w:val="005C2F9E"/>
    <w:rsid w:val="005C3993"/>
    <w:rsid w:val="005C3D67"/>
    <w:rsid w:val="005D2509"/>
    <w:rsid w:val="005D4E01"/>
    <w:rsid w:val="005D653A"/>
    <w:rsid w:val="005D676A"/>
    <w:rsid w:val="005D68A5"/>
    <w:rsid w:val="005D6B18"/>
    <w:rsid w:val="005E0686"/>
    <w:rsid w:val="005E6FB5"/>
    <w:rsid w:val="005E70BA"/>
    <w:rsid w:val="005F0C02"/>
    <w:rsid w:val="005F0FC0"/>
    <w:rsid w:val="005F1CAE"/>
    <w:rsid w:val="005F1FAA"/>
    <w:rsid w:val="005F213E"/>
    <w:rsid w:val="005F262F"/>
    <w:rsid w:val="005F26EF"/>
    <w:rsid w:val="005F3470"/>
    <w:rsid w:val="005F437B"/>
    <w:rsid w:val="005F4743"/>
    <w:rsid w:val="005F56E4"/>
    <w:rsid w:val="005F5A38"/>
    <w:rsid w:val="005F5F04"/>
    <w:rsid w:val="005F6F46"/>
    <w:rsid w:val="005F7BE0"/>
    <w:rsid w:val="006003F1"/>
    <w:rsid w:val="006006B0"/>
    <w:rsid w:val="006019CD"/>
    <w:rsid w:val="00602D58"/>
    <w:rsid w:val="00604C32"/>
    <w:rsid w:val="00605987"/>
    <w:rsid w:val="006059E5"/>
    <w:rsid w:val="006063E3"/>
    <w:rsid w:val="006073E3"/>
    <w:rsid w:val="0060795E"/>
    <w:rsid w:val="00607A54"/>
    <w:rsid w:val="006108C9"/>
    <w:rsid w:val="00614AF4"/>
    <w:rsid w:val="006160D8"/>
    <w:rsid w:val="00616AD8"/>
    <w:rsid w:val="00616F02"/>
    <w:rsid w:val="006179ED"/>
    <w:rsid w:val="006200AE"/>
    <w:rsid w:val="006226F2"/>
    <w:rsid w:val="0062393B"/>
    <w:rsid w:val="0062511D"/>
    <w:rsid w:val="00626B19"/>
    <w:rsid w:val="006270AC"/>
    <w:rsid w:val="006270FD"/>
    <w:rsid w:val="006272F8"/>
    <w:rsid w:val="006306DA"/>
    <w:rsid w:val="00632B83"/>
    <w:rsid w:val="00634525"/>
    <w:rsid w:val="0063454C"/>
    <w:rsid w:val="0063555A"/>
    <w:rsid w:val="006366D8"/>
    <w:rsid w:val="006368AF"/>
    <w:rsid w:val="00637439"/>
    <w:rsid w:val="00641352"/>
    <w:rsid w:val="00641DD9"/>
    <w:rsid w:val="00641F40"/>
    <w:rsid w:val="006438BD"/>
    <w:rsid w:val="00645BF1"/>
    <w:rsid w:val="00647D8F"/>
    <w:rsid w:val="0065000D"/>
    <w:rsid w:val="006508B3"/>
    <w:rsid w:val="0065152E"/>
    <w:rsid w:val="00652704"/>
    <w:rsid w:val="0065296A"/>
    <w:rsid w:val="00654E84"/>
    <w:rsid w:val="00655964"/>
    <w:rsid w:val="00655AEB"/>
    <w:rsid w:val="00655C28"/>
    <w:rsid w:val="006562AB"/>
    <w:rsid w:val="00656F9C"/>
    <w:rsid w:val="00657F89"/>
    <w:rsid w:val="0066148D"/>
    <w:rsid w:val="0066165F"/>
    <w:rsid w:val="00662633"/>
    <w:rsid w:val="006640A9"/>
    <w:rsid w:val="00670BFC"/>
    <w:rsid w:val="00670FE6"/>
    <w:rsid w:val="0067202C"/>
    <w:rsid w:val="00672937"/>
    <w:rsid w:val="0067314E"/>
    <w:rsid w:val="00673875"/>
    <w:rsid w:val="00673B00"/>
    <w:rsid w:val="006754D8"/>
    <w:rsid w:val="0067609D"/>
    <w:rsid w:val="00676B9B"/>
    <w:rsid w:val="006773B3"/>
    <w:rsid w:val="0067796A"/>
    <w:rsid w:val="00680CE8"/>
    <w:rsid w:val="00682D14"/>
    <w:rsid w:val="006849FF"/>
    <w:rsid w:val="00684C17"/>
    <w:rsid w:val="00685BFC"/>
    <w:rsid w:val="00685D06"/>
    <w:rsid w:val="0068716C"/>
    <w:rsid w:val="00690497"/>
    <w:rsid w:val="006909A0"/>
    <w:rsid w:val="006929D6"/>
    <w:rsid w:val="00693628"/>
    <w:rsid w:val="00694898"/>
    <w:rsid w:val="00694EC6"/>
    <w:rsid w:val="006A0E06"/>
    <w:rsid w:val="006A1679"/>
    <w:rsid w:val="006A1A36"/>
    <w:rsid w:val="006A3E55"/>
    <w:rsid w:val="006A608B"/>
    <w:rsid w:val="006A6493"/>
    <w:rsid w:val="006B1B18"/>
    <w:rsid w:val="006B47D2"/>
    <w:rsid w:val="006B4D91"/>
    <w:rsid w:val="006B4F14"/>
    <w:rsid w:val="006B5E8C"/>
    <w:rsid w:val="006B5FD7"/>
    <w:rsid w:val="006B7AD8"/>
    <w:rsid w:val="006B7FCA"/>
    <w:rsid w:val="006C0265"/>
    <w:rsid w:val="006C08B7"/>
    <w:rsid w:val="006C0D35"/>
    <w:rsid w:val="006C1228"/>
    <w:rsid w:val="006C1E35"/>
    <w:rsid w:val="006C1E94"/>
    <w:rsid w:val="006C3456"/>
    <w:rsid w:val="006C3951"/>
    <w:rsid w:val="006C3E1A"/>
    <w:rsid w:val="006C7DEC"/>
    <w:rsid w:val="006C7EA1"/>
    <w:rsid w:val="006D0AEC"/>
    <w:rsid w:val="006D3C3F"/>
    <w:rsid w:val="006D4D09"/>
    <w:rsid w:val="006D568D"/>
    <w:rsid w:val="006D7871"/>
    <w:rsid w:val="006E00FC"/>
    <w:rsid w:val="006E113F"/>
    <w:rsid w:val="006E7226"/>
    <w:rsid w:val="006E7261"/>
    <w:rsid w:val="006F03F0"/>
    <w:rsid w:val="006F1BFA"/>
    <w:rsid w:val="006F28F2"/>
    <w:rsid w:val="006F4873"/>
    <w:rsid w:val="006F4E73"/>
    <w:rsid w:val="006F5813"/>
    <w:rsid w:val="006F7F1F"/>
    <w:rsid w:val="00702F2F"/>
    <w:rsid w:val="00703915"/>
    <w:rsid w:val="00704B61"/>
    <w:rsid w:val="007068FB"/>
    <w:rsid w:val="00706F42"/>
    <w:rsid w:val="007107FC"/>
    <w:rsid w:val="007140D5"/>
    <w:rsid w:val="007160D8"/>
    <w:rsid w:val="0071748A"/>
    <w:rsid w:val="0071782D"/>
    <w:rsid w:val="00720C64"/>
    <w:rsid w:val="007216B7"/>
    <w:rsid w:val="007216F6"/>
    <w:rsid w:val="007219DD"/>
    <w:rsid w:val="007232DD"/>
    <w:rsid w:val="00723A28"/>
    <w:rsid w:val="00723D8F"/>
    <w:rsid w:val="0072523C"/>
    <w:rsid w:val="00726231"/>
    <w:rsid w:val="00726D14"/>
    <w:rsid w:val="007272C7"/>
    <w:rsid w:val="00727525"/>
    <w:rsid w:val="00731C6F"/>
    <w:rsid w:val="0073321A"/>
    <w:rsid w:val="00733963"/>
    <w:rsid w:val="00735A4F"/>
    <w:rsid w:val="0073768A"/>
    <w:rsid w:val="00737B18"/>
    <w:rsid w:val="00740E7E"/>
    <w:rsid w:val="007411CA"/>
    <w:rsid w:val="007412F5"/>
    <w:rsid w:val="0074180C"/>
    <w:rsid w:val="0074509F"/>
    <w:rsid w:val="007451BA"/>
    <w:rsid w:val="00745F09"/>
    <w:rsid w:val="0074754B"/>
    <w:rsid w:val="00751D91"/>
    <w:rsid w:val="00752939"/>
    <w:rsid w:val="00752E6C"/>
    <w:rsid w:val="0075396B"/>
    <w:rsid w:val="00753B0E"/>
    <w:rsid w:val="00753C2A"/>
    <w:rsid w:val="00754741"/>
    <w:rsid w:val="0075474B"/>
    <w:rsid w:val="00754A58"/>
    <w:rsid w:val="00754AFA"/>
    <w:rsid w:val="00754D4B"/>
    <w:rsid w:val="00756381"/>
    <w:rsid w:val="00756579"/>
    <w:rsid w:val="00760C4B"/>
    <w:rsid w:val="00760D6B"/>
    <w:rsid w:val="007615CE"/>
    <w:rsid w:val="00762354"/>
    <w:rsid w:val="007635E0"/>
    <w:rsid w:val="007637AD"/>
    <w:rsid w:val="00763D64"/>
    <w:rsid w:val="0076442F"/>
    <w:rsid w:val="0076498A"/>
    <w:rsid w:val="00764C29"/>
    <w:rsid w:val="007656CF"/>
    <w:rsid w:val="00765CC5"/>
    <w:rsid w:val="00767B82"/>
    <w:rsid w:val="00767DD7"/>
    <w:rsid w:val="00770E85"/>
    <w:rsid w:val="00772573"/>
    <w:rsid w:val="00772819"/>
    <w:rsid w:val="00773FBE"/>
    <w:rsid w:val="007742B3"/>
    <w:rsid w:val="007753FF"/>
    <w:rsid w:val="00775D05"/>
    <w:rsid w:val="00776402"/>
    <w:rsid w:val="0077664A"/>
    <w:rsid w:val="0077679C"/>
    <w:rsid w:val="00776877"/>
    <w:rsid w:val="00777077"/>
    <w:rsid w:val="00781746"/>
    <w:rsid w:val="00782B5E"/>
    <w:rsid w:val="00783244"/>
    <w:rsid w:val="00786ABB"/>
    <w:rsid w:val="00786D3F"/>
    <w:rsid w:val="00787637"/>
    <w:rsid w:val="007907DF"/>
    <w:rsid w:val="00790EB9"/>
    <w:rsid w:val="00792070"/>
    <w:rsid w:val="007931E2"/>
    <w:rsid w:val="0079359C"/>
    <w:rsid w:val="00795A14"/>
    <w:rsid w:val="00795E67"/>
    <w:rsid w:val="0079686D"/>
    <w:rsid w:val="00797CA1"/>
    <w:rsid w:val="007A3E3C"/>
    <w:rsid w:val="007A4259"/>
    <w:rsid w:val="007B00F3"/>
    <w:rsid w:val="007B0313"/>
    <w:rsid w:val="007B04C6"/>
    <w:rsid w:val="007B1054"/>
    <w:rsid w:val="007B192D"/>
    <w:rsid w:val="007B4093"/>
    <w:rsid w:val="007B4856"/>
    <w:rsid w:val="007B52BC"/>
    <w:rsid w:val="007B6365"/>
    <w:rsid w:val="007B65EB"/>
    <w:rsid w:val="007B6E4A"/>
    <w:rsid w:val="007C1A13"/>
    <w:rsid w:val="007C2B2D"/>
    <w:rsid w:val="007C3FF7"/>
    <w:rsid w:val="007C417B"/>
    <w:rsid w:val="007C459E"/>
    <w:rsid w:val="007C4D0F"/>
    <w:rsid w:val="007C6FEE"/>
    <w:rsid w:val="007D04E6"/>
    <w:rsid w:val="007D0E5C"/>
    <w:rsid w:val="007D1CE4"/>
    <w:rsid w:val="007D1FBD"/>
    <w:rsid w:val="007D5E6B"/>
    <w:rsid w:val="007D6843"/>
    <w:rsid w:val="007D751D"/>
    <w:rsid w:val="007E0ABA"/>
    <w:rsid w:val="007E141C"/>
    <w:rsid w:val="007E17BE"/>
    <w:rsid w:val="007E5327"/>
    <w:rsid w:val="007E578B"/>
    <w:rsid w:val="007E6E5C"/>
    <w:rsid w:val="007E7358"/>
    <w:rsid w:val="007E7C39"/>
    <w:rsid w:val="007F295C"/>
    <w:rsid w:val="007F3480"/>
    <w:rsid w:val="007F35E4"/>
    <w:rsid w:val="007F43B4"/>
    <w:rsid w:val="007F6644"/>
    <w:rsid w:val="008005AA"/>
    <w:rsid w:val="00801365"/>
    <w:rsid w:val="008029E0"/>
    <w:rsid w:val="00803989"/>
    <w:rsid w:val="00803DB9"/>
    <w:rsid w:val="00805DA5"/>
    <w:rsid w:val="00805DBA"/>
    <w:rsid w:val="00806B3C"/>
    <w:rsid w:val="00806CE3"/>
    <w:rsid w:val="00807042"/>
    <w:rsid w:val="00810374"/>
    <w:rsid w:val="00810C74"/>
    <w:rsid w:val="00810E92"/>
    <w:rsid w:val="0081241C"/>
    <w:rsid w:val="008133A8"/>
    <w:rsid w:val="008134AB"/>
    <w:rsid w:val="00813A9F"/>
    <w:rsid w:val="0081446B"/>
    <w:rsid w:val="00815397"/>
    <w:rsid w:val="00817045"/>
    <w:rsid w:val="00817200"/>
    <w:rsid w:val="00820ADA"/>
    <w:rsid w:val="008224A9"/>
    <w:rsid w:val="00823155"/>
    <w:rsid w:val="008237B9"/>
    <w:rsid w:val="00824348"/>
    <w:rsid w:val="00826AE2"/>
    <w:rsid w:val="008303FA"/>
    <w:rsid w:val="008321AD"/>
    <w:rsid w:val="008329FF"/>
    <w:rsid w:val="00836285"/>
    <w:rsid w:val="008365B2"/>
    <w:rsid w:val="008379F1"/>
    <w:rsid w:val="008403AC"/>
    <w:rsid w:val="0084169C"/>
    <w:rsid w:val="008418E1"/>
    <w:rsid w:val="00842731"/>
    <w:rsid w:val="00842891"/>
    <w:rsid w:val="00845CD0"/>
    <w:rsid w:val="00846B5F"/>
    <w:rsid w:val="00847084"/>
    <w:rsid w:val="00850A07"/>
    <w:rsid w:val="00851356"/>
    <w:rsid w:val="00851A1D"/>
    <w:rsid w:val="00852289"/>
    <w:rsid w:val="008547A4"/>
    <w:rsid w:val="008556AC"/>
    <w:rsid w:val="00856E17"/>
    <w:rsid w:val="008573BC"/>
    <w:rsid w:val="008579BA"/>
    <w:rsid w:val="00860802"/>
    <w:rsid w:val="00860CB1"/>
    <w:rsid w:val="00861A58"/>
    <w:rsid w:val="00862800"/>
    <w:rsid w:val="00862C4C"/>
    <w:rsid w:val="00862D78"/>
    <w:rsid w:val="00863539"/>
    <w:rsid w:val="00865014"/>
    <w:rsid w:val="00865819"/>
    <w:rsid w:val="00865AF4"/>
    <w:rsid w:val="00872CF9"/>
    <w:rsid w:val="00873494"/>
    <w:rsid w:val="00873B7D"/>
    <w:rsid w:val="008740A0"/>
    <w:rsid w:val="00875D11"/>
    <w:rsid w:val="008768D9"/>
    <w:rsid w:val="00877D93"/>
    <w:rsid w:val="00881DDA"/>
    <w:rsid w:val="008827B4"/>
    <w:rsid w:val="0088454A"/>
    <w:rsid w:val="008855B6"/>
    <w:rsid w:val="0088566D"/>
    <w:rsid w:val="00885B90"/>
    <w:rsid w:val="00885BCA"/>
    <w:rsid w:val="008860E3"/>
    <w:rsid w:val="008863F9"/>
    <w:rsid w:val="00887D48"/>
    <w:rsid w:val="00890E94"/>
    <w:rsid w:val="00891AA7"/>
    <w:rsid w:val="00893C58"/>
    <w:rsid w:val="00895E97"/>
    <w:rsid w:val="008A0A19"/>
    <w:rsid w:val="008A0F86"/>
    <w:rsid w:val="008A15BF"/>
    <w:rsid w:val="008A1663"/>
    <w:rsid w:val="008A3589"/>
    <w:rsid w:val="008A363C"/>
    <w:rsid w:val="008A3739"/>
    <w:rsid w:val="008A3E6F"/>
    <w:rsid w:val="008A5420"/>
    <w:rsid w:val="008A60C6"/>
    <w:rsid w:val="008A615D"/>
    <w:rsid w:val="008A6548"/>
    <w:rsid w:val="008B0562"/>
    <w:rsid w:val="008B1F54"/>
    <w:rsid w:val="008B3FA1"/>
    <w:rsid w:val="008B4384"/>
    <w:rsid w:val="008B5848"/>
    <w:rsid w:val="008B68B6"/>
    <w:rsid w:val="008C0F99"/>
    <w:rsid w:val="008C1927"/>
    <w:rsid w:val="008C3004"/>
    <w:rsid w:val="008C34C0"/>
    <w:rsid w:val="008C5111"/>
    <w:rsid w:val="008C59E0"/>
    <w:rsid w:val="008C615F"/>
    <w:rsid w:val="008C7B2A"/>
    <w:rsid w:val="008C7EEC"/>
    <w:rsid w:val="008D1E29"/>
    <w:rsid w:val="008D2C40"/>
    <w:rsid w:val="008D3586"/>
    <w:rsid w:val="008D44F9"/>
    <w:rsid w:val="008D553C"/>
    <w:rsid w:val="008D7553"/>
    <w:rsid w:val="008D7BDA"/>
    <w:rsid w:val="008D7CAA"/>
    <w:rsid w:val="008E0003"/>
    <w:rsid w:val="008E00B7"/>
    <w:rsid w:val="008E0F2D"/>
    <w:rsid w:val="008E379D"/>
    <w:rsid w:val="008E3B4A"/>
    <w:rsid w:val="008E47B9"/>
    <w:rsid w:val="008E5E55"/>
    <w:rsid w:val="008E6F91"/>
    <w:rsid w:val="008E71B8"/>
    <w:rsid w:val="008E745A"/>
    <w:rsid w:val="008E7717"/>
    <w:rsid w:val="008E7F38"/>
    <w:rsid w:val="008F113C"/>
    <w:rsid w:val="008F2787"/>
    <w:rsid w:val="008F4127"/>
    <w:rsid w:val="008F7D8D"/>
    <w:rsid w:val="0090071C"/>
    <w:rsid w:val="0090138E"/>
    <w:rsid w:val="009015A8"/>
    <w:rsid w:val="009023A6"/>
    <w:rsid w:val="009032F2"/>
    <w:rsid w:val="00904FCE"/>
    <w:rsid w:val="00905301"/>
    <w:rsid w:val="0090583C"/>
    <w:rsid w:val="00905A5A"/>
    <w:rsid w:val="00905D32"/>
    <w:rsid w:val="00910BC9"/>
    <w:rsid w:val="009117C4"/>
    <w:rsid w:val="009117D4"/>
    <w:rsid w:val="009124D5"/>
    <w:rsid w:val="00912730"/>
    <w:rsid w:val="00913854"/>
    <w:rsid w:val="00914293"/>
    <w:rsid w:val="00916E77"/>
    <w:rsid w:val="00920ADC"/>
    <w:rsid w:val="00920D78"/>
    <w:rsid w:val="00923246"/>
    <w:rsid w:val="00924EDC"/>
    <w:rsid w:val="0092510C"/>
    <w:rsid w:val="0092601B"/>
    <w:rsid w:val="0092629F"/>
    <w:rsid w:val="009305D2"/>
    <w:rsid w:val="009315C1"/>
    <w:rsid w:val="00932477"/>
    <w:rsid w:val="009328CE"/>
    <w:rsid w:val="009332D3"/>
    <w:rsid w:val="00934470"/>
    <w:rsid w:val="00935B78"/>
    <w:rsid w:val="00936D8C"/>
    <w:rsid w:val="009428C3"/>
    <w:rsid w:val="00943AC2"/>
    <w:rsid w:val="00944C7D"/>
    <w:rsid w:val="009461F4"/>
    <w:rsid w:val="009466B9"/>
    <w:rsid w:val="00947DAB"/>
    <w:rsid w:val="0095022E"/>
    <w:rsid w:val="0095048A"/>
    <w:rsid w:val="0095071B"/>
    <w:rsid w:val="00950AB2"/>
    <w:rsid w:val="00951102"/>
    <w:rsid w:val="009512F4"/>
    <w:rsid w:val="00951300"/>
    <w:rsid w:val="009517DD"/>
    <w:rsid w:val="00951978"/>
    <w:rsid w:val="00951BD1"/>
    <w:rsid w:val="00954442"/>
    <w:rsid w:val="00955403"/>
    <w:rsid w:val="009560BA"/>
    <w:rsid w:val="00957A34"/>
    <w:rsid w:val="00957B18"/>
    <w:rsid w:val="00961864"/>
    <w:rsid w:val="009636F5"/>
    <w:rsid w:val="00963A4E"/>
    <w:rsid w:val="00963F8C"/>
    <w:rsid w:val="009645FE"/>
    <w:rsid w:val="00964B98"/>
    <w:rsid w:val="00967231"/>
    <w:rsid w:val="009673E8"/>
    <w:rsid w:val="009701C0"/>
    <w:rsid w:val="009708EA"/>
    <w:rsid w:val="00972110"/>
    <w:rsid w:val="009751A4"/>
    <w:rsid w:val="00975507"/>
    <w:rsid w:val="00980709"/>
    <w:rsid w:val="009811A3"/>
    <w:rsid w:val="00984A6D"/>
    <w:rsid w:val="009864C0"/>
    <w:rsid w:val="00986A50"/>
    <w:rsid w:val="0098784E"/>
    <w:rsid w:val="00987F38"/>
    <w:rsid w:val="00990230"/>
    <w:rsid w:val="00990773"/>
    <w:rsid w:val="009907B1"/>
    <w:rsid w:val="0099109C"/>
    <w:rsid w:val="009914DE"/>
    <w:rsid w:val="00994704"/>
    <w:rsid w:val="00995E0A"/>
    <w:rsid w:val="00996291"/>
    <w:rsid w:val="00996BAA"/>
    <w:rsid w:val="00997CB9"/>
    <w:rsid w:val="009A0DBE"/>
    <w:rsid w:val="009A0DCF"/>
    <w:rsid w:val="009A143E"/>
    <w:rsid w:val="009A195B"/>
    <w:rsid w:val="009A2098"/>
    <w:rsid w:val="009A3E82"/>
    <w:rsid w:val="009A4AE9"/>
    <w:rsid w:val="009A59B4"/>
    <w:rsid w:val="009A717D"/>
    <w:rsid w:val="009B0DD9"/>
    <w:rsid w:val="009B11BB"/>
    <w:rsid w:val="009B2A1F"/>
    <w:rsid w:val="009B2AFF"/>
    <w:rsid w:val="009B2C3F"/>
    <w:rsid w:val="009B2CFC"/>
    <w:rsid w:val="009B3455"/>
    <w:rsid w:val="009B49AD"/>
    <w:rsid w:val="009B53C6"/>
    <w:rsid w:val="009B56B6"/>
    <w:rsid w:val="009C0ACE"/>
    <w:rsid w:val="009C23A2"/>
    <w:rsid w:val="009C3F9C"/>
    <w:rsid w:val="009C4DB0"/>
    <w:rsid w:val="009C790B"/>
    <w:rsid w:val="009D261B"/>
    <w:rsid w:val="009D2778"/>
    <w:rsid w:val="009D34F7"/>
    <w:rsid w:val="009D3D21"/>
    <w:rsid w:val="009D4B8F"/>
    <w:rsid w:val="009D4F2F"/>
    <w:rsid w:val="009D5534"/>
    <w:rsid w:val="009D62E4"/>
    <w:rsid w:val="009E01D8"/>
    <w:rsid w:val="009E0669"/>
    <w:rsid w:val="009E0F11"/>
    <w:rsid w:val="009E1B6E"/>
    <w:rsid w:val="009E2365"/>
    <w:rsid w:val="009E2467"/>
    <w:rsid w:val="009E24B8"/>
    <w:rsid w:val="009E2EC2"/>
    <w:rsid w:val="009E3DC2"/>
    <w:rsid w:val="009E3F4D"/>
    <w:rsid w:val="009E515C"/>
    <w:rsid w:val="009E6941"/>
    <w:rsid w:val="009F0E84"/>
    <w:rsid w:val="009F13B5"/>
    <w:rsid w:val="009F23F7"/>
    <w:rsid w:val="009F2AD3"/>
    <w:rsid w:val="009F463F"/>
    <w:rsid w:val="009F5128"/>
    <w:rsid w:val="009F641E"/>
    <w:rsid w:val="009F6D6E"/>
    <w:rsid w:val="009F7FE8"/>
    <w:rsid w:val="00A00339"/>
    <w:rsid w:val="00A00DC3"/>
    <w:rsid w:val="00A017D5"/>
    <w:rsid w:val="00A01F2C"/>
    <w:rsid w:val="00A020E0"/>
    <w:rsid w:val="00A0303E"/>
    <w:rsid w:val="00A03BED"/>
    <w:rsid w:val="00A041C0"/>
    <w:rsid w:val="00A04E38"/>
    <w:rsid w:val="00A0647C"/>
    <w:rsid w:val="00A073EB"/>
    <w:rsid w:val="00A10C66"/>
    <w:rsid w:val="00A12115"/>
    <w:rsid w:val="00A12D83"/>
    <w:rsid w:val="00A13162"/>
    <w:rsid w:val="00A1328F"/>
    <w:rsid w:val="00A13B66"/>
    <w:rsid w:val="00A13D52"/>
    <w:rsid w:val="00A144F8"/>
    <w:rsid w:val="00A15BC1"/>
    <w:rsid w:val="00A15E1E"/>
    <w:rsid w:val="00A16D28"/>
    <w:rsid w:val="00A17186"/>
    <w:rsid w:val="00A20014"/>
    <w:rsid w:val="00A202E0"/>
    <w:rsid w:val="00A2040F"/>
    <w:rsid w:val="00A218AF"/>
    <w:rsid w:val="00A235F0"/>
    <w:rsid w:val="00A23791"/>
    <w:rsid w:val="00A23AAC"/>
    <w:rsid w:val="00A24327"/>
    <w:rsid w:val="00A248DF"/>
    <w:rsid w:val="00A25410"/>
    <w:rsid w:val="00A266E4"/>
    <w:rsid w:val="00A3325F"/>
    <w:rsid w:val="00A33D6E"/>
    <w:rsid w:val="00A34613"/>
    <w:rsid w:val="00A35971"/>
    <w:rsid w:val="00A369C7"/>
    <w:rsid w:val="00A369CD"/>
    <w:rsid w:val="00A418BC"/>
    <w:rsid w:val="00A428A5"/>
    <w:rsid w:val="00A42A2A"/>
    <w:rsid w:val="00A42DAE"/>
    <w:rsid w:val="00A43FF3"/>
    <w:rsid w:val="00A4414D"/>
    <w:rsid w:val="00A44326"/>
    <w:rsid w:val="00A44BCA"/>
    <w:rsid w:val="00A45385"/>
    <w:rsid w:val="00A4574E"/>
    <w:rsid w:val="00A522A1"/>
    <w:rsid w:val="00A53AC4"/>
    <w:rsid w:val="00A551E8"/>
    <w:rsid w:val="00A57010"/>
    <w:rsid w:val="00A6195F"/>
    <w:rsid w:val="00A62D10"/>
    <w:rsid w:val="00A6307E"/>
    <w:rsid w:val="00A63A74"/>
    <w:rsid w:val="00A644BC"/>
    <w:rsid w:val="00A6623A"/>
    <w:rsid w:val="00A7006C"/>
    <w:rsid w:val="00A703E7"/>
    <w:rsid w:val="00A70E9F"/>
    <w:rsid w:val="00A73AB1"/>
    <w:rsid w:val="00A73D33"/>
    <w:rsid w:val="00A80C19"/>
    <w:rsid w:val="00A824B9"/>
    <w:rsid w:val="00A8359B"/>
    <w:rsid w:val="00A84446"/>
    <w:rsid w:val="00A844A6"/>
    <w:rsid w:val="00A851A4"/>
    <w:rsid w:val="00A853C5"/>
    <w:rsid w:val="00A86304"/>
    <w:rsid w:val="00A86E73"/>
    <w:rsid w:val="00A91BAF"/>
    <w:rsid w:val="00A91D9E"/>
    <w:rsid w:val="00A91F84"/>
    <w:rsid w:val="00A92021"/>
    <w:rsid w:val="00A92889"/>
    <w:rsid w:val="00A939EA"/>
    <w:rsid w:val="00A942CC"/>
    <w:rsid w:val="00A94A04"/>
    <w:rsid w:val="00A95B43"/>
    <w:rsid w:val="00A95DD6"/>
    <w:rsid w:val="00A96087"/>
    <w:rsid w:val="00AA142D"/>
    <w:rsid w:val="00AA28C5"/>
    <w:rsid w:val="00AA34DD"/>
    <w:rsid w:val="00AA543F"/>
    <w:rsid w:val="00AA6509"/>
    <w:rsid w:val="00AA6B70"/>
    <w:rsid w:val="00AA70F5"/>
    <w:rsid w:val="00AA7945"/>
    <w:rsid w:val="00AA7DC8"/>
    <w:rsid w:val="00AB083F"/>
    <w:rsid w:val="00AB145A"/>
    <w:rsid w:val="00AB1E63"/>
    <w:rsid w:val="00AB2768"/>
    <w:rsid w:val="00AB2939"/>
    <w:rsid w:val="00AB3198"/>
    <w:rsid w:val="00AB7124"/>
    <w:rsid w:val="00AB7668"/>
    <w:rsid w:val="00AC0EAF"/>
    <w:rsid w:val="00AC3C49"/>
    <w:rsid w:val="00AC3EB7"/>
    <w:rsid w:val="00AC3F67"/>
    <w:rsid w:val="00AC4A1A"/>
    <w:rsid w:val="00AC4C52"/>
    <w:rsid w:val="00AC5128"/>
    <w:rsid w:val="00AC517A"/>
    <w:rsid w:val="00AC559A"/>
    <w:rsid w:val="00AC65D0"/>
    <w:rsid w:val="00AC73B7"/>
    <w:rsid w:val="00AD06FA"/>
    <w:rsid w:val="00AD0A3A"/>
    <w:rsid w:val="00AD1302"/>
    <w:rsid w:val="00AD13FD"/>
    <w:rsid w:val="00AD3E9B"/>
    <w:rsid w:val="00AD5000"/>
    <w:rsid w:val="00AD51E9"/>
    <w:rsid w:val="00AD5BFE"/>
    <w:rsid w:val="00AD5D8D"/>
    <w:rsid w:val="00AD62A9"/>
    <w:rsid w:val="00AD6672"/>
    <w:rsid w:val="00AD7AA7"/>
    <w:rsid w:val="00AE0ACA"/>
    <w:rsid w:val="00AE1132"/>
    <w:rsid w:val="00AE3644"/>
    <w:rsid w:val="00AE3BAC"/>
    <w:rsid w:val="00AE3FDA"/>
    <w:rsid w:val="00AE4510"/>
    <w:rsid w:val="00AE5AC2"/>
    <w:rsid w:val="00AE62BA"/>
    <w:rsid w:val="00AE6440"/>
    <w:rsid w:val="00AF0E59"/>
    <w:rsid w:val="00AF3DC6"/>
    <w:rsid w:val="00AF435B"/>
    <w:rsid w:val="00AF79B3"/>
    <w:rsid w:val="00AF7A64"/>
    <w:rsid w:val="00AF7FAC"/>
    <w:rsid w:val="00B0092B"/>
    <w:rsid w:val="00B00B1D"/>
    <w:rsid w:val="00B00F0D"/>
    <w:rsid w:val="00B0268A"/>
    <w:rsid w:val="00B06D6F"/>
    <w:rsid w:val="00B073C5"/>
    <w:rsid w:val="00B0745B"/>
    <w:rsid w:val="00B10138"/>
    <w:rsid w:val="00B101DE"/>
    <w:rsid w:val="00B10E40"/>
    <w:rsid w:val="00B12F1B"/>
    <w:rsid w:val="00B1350F"/>
    <w:rsid w:val="00B13A30"/>
    <w:rsid w:val="00B13D38"/>
    <w:rsid w:val="00B14EC8"/>
    <w:rsid w:val="00B15025"/>
    <w:rsid w:val="00B15812"/>
    <w:rsid w:val="00B161A8"/>
    <w:rsid w:val="00B1678F"/>
    <w:rsid w:val="00B17C50"/>
    <w:rsid w:val="00B23413"/>
    <w:rsid w:val="00B24681"/>
    <w:rsid w:val="00B25355"/>
    <w:rsid w:val="00B25733"/>
    <w:rsid w:val="00B27743"/>
    <w:rsid w:val="00B3006F"/>
    <w:rsid w:val="00B32089"/>
    <w:rsid w:val="00B322A3"/>
    <w:rsid w:val="00B33B44"/>
    <w:rsid w:val="00B35D1A"/>
    <w:rsid w:val="00B35EE1"/>
    <w:rsid w:val="00B368F2"/>
    <w:rsid w:val="00B37671"/>
    <w:rsid w:val="00B377F1"/>
    <w:rsid w:val="00B37901"/>
    <w:rsid w:val="00B37F9B"/>
    <w:rsid w:val="00B4025B"/>
    <w:rsid w:val="00B41C2F"/>
    <w:rsid w:val="00B4346C"/>
    <w:rsid w:val="00B47EEA"/>
    <w:rsid w:val="00B47FA5"/>
    <w:rsid w:val="00B53E18"/>
    <w:rsid w:val="00B54258"/>
    <w:rsid w:val="00B54C70"/>
    <w:rsid w:val="00B55233"/>
    <w:rsid w:val="00B554F2"/>
    <w:rsid w:val="00B60A36"/>
    <w:rsid w:val="00B60F43"/>
    <w:rsid w:val="00B617B7"/>
    <w:rsid w:val="00B6573D"/>
    <w:rsid w:val="00B6721D"/>
    <w:rsid w:val="00B70051"/>
    <w:rsid w:val="00B70680"/>
    <w:rsid w:val="00B71D01"/>
    <w:rsid w:val="00B72D5C"/>
    <w:rsid w:val="00B73184"/>
    <w:rsid w:val="00B73809"/>
    <w:rsid w:val="00B7380A"/>
    <w:rsid w:val="00B74213"/>
    <w:rsid w:val="00B7433A"/>
    <w:rsid w:val="00B75BF0"/>
    <w:rsid w:val="00B766DE"/>
    <w:rsid w:val="00B770BC"/>
    <w:rsid w:val="00B82CA0"/>
    <w:rsid w:val="00B8334C"/>
    <w:rsid w:val="00B83FAB"/>
    <w:rsid w:val="00B851E5"/>
    <w:rsid w:val="00B859F9"/>
    <w:rsid w:val="00B904D3"/>
    <w:rsid w:val="00B93F4C"/>
    <w:rsid w:val="00B93F4F"/>
    <w:rsid w:val="00B94404"/>
    <w:rsid w:val="00B94820"/>
    <w:rsid w:val="00B94E96"/>
    <w:rsid w:val="00B95039"/>
    <w:rsid w:val="00B9610E"/>
    <w:rsid w:val="00BA03FD"/>
    <w:rsid w:val="00BA0D66"/>
    <w:rsid w:val="00BA1049"/>
    <w:rsid w:val="00BA1ABF"/>
    <w:rsid w:val="00BA1F02"/>
    <w:rsid w:val="00BA3611"/>
    <w:rsid w:val="00BA511E"/>
    <w:rsid w:val="00BA5C6F"/>
    <w:rsid w:val="00BA649B"/>
    <w:rsid w:val="00BB0F6E"/>
    <w:rsid w:val="00BB23D9"/>
    <w:rsid w:val="00BB286A"/>
    <w:rsid w:val="00BB3683"/>
    <w:rsid w:val="00BB4254"/>
    <w:rsid w:val="00BB64A6"/>
    <w:rsid w:val="00BC0172"/>
    <w:rsid w:val="00BC07F0"/>
    <w:rsid w:val="00BC36CA"/>
    <w:rsid w:val="00BC4E66"/>
    <w:rsid w:val="00BC5E4A"/>
    <w:rsid w:val="00BC73BC"/>
    <w:rsid w:val="00BC7BA9"/>
    <w:rsid w:val="00BD4162"/>
    <w:rsid w:val="00BD609A"/>
    <w:rsid w:val="00BD667A"/>
    <w:rsid w:val="00BD775A"/>
    <w:rsid w:val="00BE11D5"/>
    <w:rsid w:val="00BE174A"/>
    <w:rsid w:val="00BE38E5"/>
    <w:rsid w:val="00BE4A94"/>
    <w:rsid w:val="00BE528E"/>
    <w:rsid w:val="00BE56CA"/>
    <w:rsid w:val="00BE5878"/>
    <w:rsid w:val="00BE5A73"/>
    <w:rsid w:val="00BE6F73"/>
    <w:rsid w:val="00BF16E4"/>
    <w:rsid w:val="00BF1D7F"/>
    <w:rsid w:val="00BF21DE"/>
    <w:rsid w:val="00BF2215"/>
    <w:rsid w:val="00BF25FF"/>
    <w:rsid w:val="00BF2D2F"/>
    <w:rsid w:val="00BF408F"/>
    <w:rsid w:val="00BF4BD1"/>
    <w:rsid w:val="00BF64D4"/>
    <w:rsid w:val="00BF6790"/>
    <w:rsid w:val="00BF740D"/>
    <w:rsid w:val="00BF7E51"/>
    <w:rsid w:val="00C00B54"/>
    <w:rsid w:val="00C00DC9"/>
    <w:rsid w:val="00C015E0"/>
    <w:rsid w:val="00C0332A"/>
    <w:rsid w:val="00C0347B"/>
    <w:rsid w:val="00C05D27"/>
    <w:rsid w:val="00C066BC"/>
    <w:rsid w:val="00C071A9"/>
    <w:rsid w:val="00C07B27"/>
    <w:rsid w:val="00C07D26"/>
    <w:rsid w:val="00C110C5"/>
    <w:rsid w:val="00C1113B"/>
    <w:rsid w:val="00C1131B"/>
    <w:rsid w:val="00C12E62"/>
    <w:rsid w:val="00C14B9B"/>
    <w:rsid w:val="00C1774C"/>
    <w:rsid w:val="00C17DDA"/>
    <w:rsid w:val="00C20872"/>
    <w:rsid w:val="00C2289D"/>
    <w:rsid w:val="00C22F16"/>
    <w:rsid w:val="00C23CE0"/>
    <w:rsid w:val="00C26208"/>
    <w:rsid w:val="00C262D0"/>
    <w:rsid w:val="00C31D7D"/>
    <w:rsid w:val="00C33349"/>
    <w:rsid w:val="00C352C3"/>
    <w:rsid w:val="00C35DC5"/>
    <w:rsid w:val="00C37BC3"/>
    <w:rsid w:val="00C37F29"/>
    <w:rsid w:val="00C4236C"/>
    <w:rsid w:val="00C423C8"/>
    <w:rsid w:val="00C4276D"/>
    <w:rsid w:val="00C43256"/>
    <w:rsid w:val="00C44585"/>
    <w:rsid w:val="00C4458B"/>
    <w:rsid w:val="00C445E7"/>
    <w:rsid w:val="00C5014A"/>
    <w:rsid w:val="00C506CB"/>
    <w:rsid w:val="00C50B00"/>
    <w:rsid w:val="00C50CAA"/>
    <w:rsid w:val="00C51653"/>
    <w:rsid w:val="00C51F88"/>
    <w:rsid w:val="00C5284E"/>
    <w:rsid w:val="00C53927"/>
    <w:rsid w:val="00C53A42"/>
    <w:rsid w:val="00C552DC"/>
    <w:rsid w:val="00C6068B"/>
    <w:rsid w:val="00C61DCD"/>
    <w:rsid w:val="00C625F8"/>
    <w:rsid w:val="00C63881"/>
    <w:rsid w:val="00C63B70"/>
    <w:rsid w:val="00C63E9E"/>
    <w:rsid w:val="00C64DBB"/>
    <w:rsid w:val="00C65403"/>
    <w:rsid w:val="00C659ED"/>
    <w:rsid w:val="00C6738D"/>
    <w:rsid w:val="00C716ED"/>
    <w:rsid w:val="00C72A24"/>
    <w:rsid w:val="00C72FA2"/>
    <w:rsid w:val="00C732E6"/>
    <w:rsid w:val="00C74123"/>
    <w:rsid w:val="00C74282"/>
    <w:rsid w:val="00C74778"/>
    <w:rsid w:val="00C747F1"/>
    <w:rsid w:val="00C74DE3"/>
    <w:rsid w:val="00C75B61"/>
    <w:rsid w:val="00C75E5E"/>
    <w:rsid w:val="00C7670F"/>
    <w:rsid w:val="00C80008"/>
    <w:rsid w:val="00C80795"/>
    <w:rsid w:val="00C80BF0"/>
    <w:rsid w:val="00C80D79"/>
    <w:rsid w:val="00C80E72"/>
    <w:rsid w:val="00C81843"/>
    <w:rsid w:val="00C82BFF"/>
    <w:rsid w:val="00C82D04"/>
    <w:rsid w:val="00C82F7F"/>
    <w:rsid w:val="00C84A6A"/>
    <w:rsid w:val="00C852E0"/>
    <w:rsid w:val="00C853EA"/>
    <w:rsid w:val="00C8548A"/>
    <w:rsid w:val="00C8638F"/>
    <w:rsid w:val="00C87066"/>
    <w:rsid w:val="00C91836"/>
    <w:rsid w:val="00C921FD"/>
    <w:rsid w:val="00C925C8"/>
    <w:rsid w:val="00C9436D"/>
    <w:rsid w:val="00C950FB"/>
    <w:rsid w:val="00C967EF"/>
    <w:rsid w:val="00CA11BB"/>
    <w:rsid w:val="00CA1639"/>
    <w:rsid w:val="00CA1879"/>
    <w:rsid w:val="00CA357F"/>
    <w:rsid w:val="00CA3696"/>
    <w:rsid w:val="00CA38C0"/>
    <w:rsid w:val="00CA45A8"/>
    <w:rsid w:val="00CA72CA"/>
    <w:rsid w:val="00CA7B4E"/>
    <w:rsid w:val="00CB02DB"/>
    <w:rsid w:val="00CB0B0B"/>
    <w:rsid w:val="00CB0DBC"/>
    <w:rsid w:val="00CB0F00"/>
    <w:rsid w:val="00CB154D"/>
    <w:rsid w:val="00CB17B5"/>
    <w:rsid w:val="00CB2C57"/>
    <w:rsid w:val="00CB3B56"/>
    <w:rsid w:val="00CB5085"/>
    <w:rsid w:val="00CB5C3E"/>
    <w:rsid w:val="00CB7F22"/>
    <w:rsid w:val="00CC0462"/>
    <w:rsid w:val="00CC0936"/>
    <w:rsid w:val="00CC0E74"/>
    <w:rsid w:val="00CC1657"/>
    <w:rsid w:val="00CC18BA"/>
    <w:rsid w:val="00CC2A47"/>
    <w:rsid w:val="00CC33B1"/>
    <w:rsid w:val="00CC6280"/>
    <w:rsid w:val="00CC7715"/>
    <w:rsid w:val="00CC7B4A"/>
    <w:rsid w:val="00CD0750"/>
    <w:rsid w:val="00CD303B"/>
    <w:rsid w:val="00CD598A"/>
    <w:rsid w:val="00CE0971"/>
    <w:rsid w:val="00CE10DD"/>
    <w:rsid w:val="00CE2A83"/>
    <w:rsid w:val="00CE2C0E"/>
    <w:rsid w:val="00CE3F39"/>
    <w:rsid w:val="00CE452E"/>
    <w:rsid w:val="00CE4C17"/>
    <w:rsid w:val="00CE6389"/>
    <w:rsid w:val="00CE6503"/>
    <w:rsid w:val="00CE7A42"/>
    <w:rsid w:val="00CF181F"/>
    <w:rsid w:val="00CF1A80"/>
    <w:rsid w:val="00CF1B56"/>
    <w:rsid w:val="00CF38C5"/>
    <w:rsid w:val="00D004B6"/>
    <w:rsid w:val="00D0062E"/>
    <w:rsid w:val="00D00A34"/>
    <w:rsid w:val="00D011C3"/>
    <w:rsid w:val="00D0257F"/>
    <w:rsid w:val="00D03FCD"/>
    <w:rsid w:val="00D05FDF"/>
    <w:rsid w:val="00D06C80"/>
    <w:rsid w:val="00D105F1"/>
    <w:rsid w:val="00D10C07"/>
    <w:rsid w:val="00D128F0"/>
    <w:rsid w:val="00D143A7"/>
    <w:rsid w:val="00D144A8"/>
    <w:rsid w:val="00D147F6"/>
    <w:rsid w:val="00D16B24"/>
    <w:rsid w:val="00D16E00"/>
    <w:rsid w:val="00D17150"/>
    <w:rsid w:val="00D17313"/>
    <w:rsid w:val="00D17459"/>
    <w:rsid w:val="00D17EBC"/>
    <w:rsid w:val="00D21964"/>
    <w:rsid w:val="00D21E4D"/>
    <w:rsid w:val="00D22054"/>
    <w:rsid w:val="00D23102"/>
    <w:rsid w:val="00D236A0"/>
    <w:rsid w:val="00D26B68"/>
    <w:rsid w:val="00D27AE6"/>
    <w:rsid w:val="00D32DDD"/>
    <w:rsid w:val="00D34F4B"/>
    <w:rsid w:val="00D3559C"/>
    <w:rsid w:val="00D35BFF"/>
    <w:rsid w:val="00D3662F"/>
    <w:rsid w:val="00D367DC"/>
    <w:rsid w:val="00D36D00"/>
    <w:rsid w:val="00D3778B"/>
    <w:rsid w:val="00D40E8B"/>
    <w:rsid w:val="00D41EB4"/>
    <w:rsid w:val="00D420F3"/>
    <w:rsid w:val="00D4279F"/>
    <w:rsid w:val="00D42CE8"/>
    <w:rsid w:val="00D430A6"/>
    <w:rsid w:val="00D46A75"/>
    <w:rsid w:val="00D50B11"/>
    <w:rsid w:val="00D51023"/>
    <w:rsid w:val="00D523B0"/>
    <w:rsid w:val="00D52B0D"/>
    <w:rsid w:val="00D52FC9"/>
    <w:rsid w:val="00D5334A"/>
    <w:rsid w:val="00D53741"/>
    <w:rsid w:val="00D5437A"/>
    <w:rsid w:val="00D54876"/>
    <w:rsid w:val="00D550A0"/>
    <w:rsid w:val="00D55422"/>
    <w:rsid w:val="00D557BA"/>
    <w:rsid w:val="00D60EC9"/>
    <w:rsid w:val="00D60F7B"/>
    <w:rsid w:val="00D61CBD"/>
    <w:rsid w:val="00D62234"/>
    <w:rsid w:val="00D63224"/>
    <w:rsid w:val="00D6331E"/>
    <w:rsid w:val="00D64CC0"/>
    <w:rsid w:val="00D65F97"/>
    <w:rsid w:val="00D67985"/>
    <w:rsid w:val="00D71641"/>
    <w:rsid w:val="00D726DA"/>
    <w:rsid w:val="00D73011"/>
    <w:rsid w:val="00D745D2"/>
    <w:rsid w:val="00D74AF0"/>
    <w:rsid w:val="00D74F21"/>
    <w:rsid w:val="00D77777"/>
    <w:rsid w:val="00D80726"/>
    <w:rsid w:val="00D82EB1"/>
    <w:rsid w:val="00D82F4B"/>
    <w:rsid w:val="00D834C3"/>
    <w:rsid w:val="00D83A51"/>
    <w:rsid w:val="00D85529"/>
    <w:rsid w:val="00D85ADA"/>
    <w:rsid w:val="00D86491"/>
    <w:rsid w:val="00D86796"/>
    <w:rsid w:val="00D8680A"/>
    <w:rsid w:val="00D86F23"/>
    <w:rsid w:val="00D874AE"/>
    <w:rsid w:val="00D922A8"/>
    <w:rsid w:val="00D924CB"/>
    <w:rsid w:val="00D94E78"/>
    <w:rsid w:val="00D95912"/>
    <w:rsid w:val="00D96FFB"/>
    <w:rsid w:val="00DA06AD"/>
    <w:rsid w:val="00DA11EA"/>
    <w:rsid w:val="00DA13D0"/>
    <w:rsid w:val="00DA1725"/>
    <w:rsid w:val="00DA24C7"/>
    <w:rsid w:val="00DA28CB"/>
    <w:rsid w:val="00DA2CED"/>
    <w:rsid w:val="00DA2FD1"/>
    <w:rsid w:val="00DA3443"/>
    <w:rsid w:val="00DA44B3"/>
    <w:rsid w:val="00DA477A"/>
    <w:rsid w:val="00DA64CC"/>
    <w:rsid w:val="00DB0228"/>
    <w:rsid w:val="00DB0636"/>
    <w:rsid w:val="00DB190F"/>
    <w:rsid w:val="00DB1AD5"/>
    <w:rsid w:val="00DB33B0"/>
    <w:rsid w:val="00DB3563"/>
    <w:rsid w:val="00DB43BB"/>
    <w:rsid w:val="00DB444C"/>
    <w:rsid w:val="00DB48B0"/>
    <w:rsid w:val="00DB5DA6"/>
    <w:rsid w:val="00DB77F1"/>
    <w:rsid w:val="00DB78B0"/>
    <w:rsid w:val="00DC02C2"/>
    <w:rsid w:val="00DC074C"/>
    <w:rsid w:val="00DC09CA"/>
    <w:rsid w:val="00DC1886"/>
    <w:rsid w:val="00DC19AB"/>
    <w:rsid w:val="00DC2042"/>
    <w:rsid w:val="00DC374A"/>
    <w:rsid w:val="00DC6B55"/>
    <w:rsid w:val="00DC6D5E"/>
    <w:rsid w:val="00DC7A87"/>
    <w:rsid w:val="00DD077F"/>
    <w:rsid w:val="00DD0896"/>
    <w:rsid w:val="00DD3030"/>
    <w:rsid w:val="00DD3699"/>
    <w:rsid w:val="00DD437B"/>
    <w:rsid w:val="00DD47D2"/>
    <w:rsid w:val="00DD5930"/>
    <w:rsid w:val="00DD5B86"/>
    <w:rsid w:val="00DD6B03"/>
    <w:rsid w:val="00DD7B29"/>
    <w:rsid w:val="00DE0E5A"/>
    <w:rsid w:val="00DE32F9"/>
    <w:rsid w:val="00DE5B7F"/>
    <w:rsid w:val="00DE67A6"/>
    <w:rsid w:val="00DF0810"/>
    <w:rsid w:val="00DF16B5"/>
    <w:rsid w:val="00DF177E"/>
    <w:rsid w:val="00DF1C1B"/>
    <w:rsid w:val="00DF206D"/>
    <w:rsid w:val="00DF222A"/>
    <w:rsid w:val="00DF28AF"/>
    <w:rsid w:val="00DF3578"/>
    <w:rsid w:val="00DF6048"/>
    <w:rsid w:val="00DF6CAB"/>
    <w:rsid w:val="00DF6EE0"/>
    <w:rsid w:val="00DF7383"/>
    <w:rsid w:val="00E005E8"/>
    <w:rsid w:val="00E0100B"/>
    <w:rsid w:val="00E011C2"/>
    <w:rsid w:val="00E018BD"/>
    <w:rsid w:val="00E0299F"/>
    <w:rsid w:val="00E029B8"/>
    <w:rsid w:val="00E05D8B"/>
    <w:rsid w:val="00E05EEA"/>
    <w:rsid w:val="00E06364"/>
    <w:rsid w:val="00E06EC3"/>
    <w:rsid w:val="00E1146E"/>
    <w:rsid w:val="00E121D4"/>
    <w:rsid w:val="00E13314"/>
    <w:rsid w:val="00E13362"/>
    <w:rsid w:val="00E13400"/>
    <w:rsid w:val="00E15A42"/>
    <w:rsid w:val="00E16713"/>
    <w:rsid w:val="00E172F8"/>
    <w:rsid w:val="00E17AE6"/>
    <w:rsid w:val="00E20E41"/>
    <w:rsid w:val="00E20F62"/>
    <w:rsid w:val="00E2147A"/>
    <w:rsid w:val="00E21E67"/>
    <w:rsid w:val="00E22F3F"/>
    <w:rsid w:val="00E23A3E"/>
    <w:rsid w:val="00E24926"/>
    <w:rsid w:val="00E27803"/>
    <w:rsid w:val="00E27C12"/>
    <w:rsid w:val="00E3064A"/>
    <w:rsid w:val="00E30BA5"/>
    <w:rsid w:val="00E31C58"/>
    <w:rsid w:val="00E35137"/>
    <w:rsid w:val="00E35D4F"/>
    <w:rsid w:val="00E414BB"/>
    <w:rsid w:val="00E42414"/>
    <w:rsid w:val="00E4453D"/>
    <w:rsid w:val="00E44AD9"/>
    <w:rsid w:val="00E45456"/>
    <w:rsid w:val="00E45B41"/>
    <w:rsid w:val="00E465E4"/>
    <w:rsid w:val="00E5049E"/>
    <w:rsid w:val="00E52A41"/>
    <w:rsid w:val="00E53A0B"/>
    <w:rsid w:val="00E54BDD"/>
    <w:rsid w:val="00E54CF5"/>
    <w:rsid w:val="00E555BD"/>
    <w:rsid w:val="00E55EC2"/>
    <w:rsid w:val="00E57045"/>
    <w:rsid w:val="00E571D8"/>
    <w:rsid w:val="00E57784"/>
    <w:rsid w:val="00E6047A"/>
    <w:rsid w:val="00E614BB"/>
    <w:rsid w:val="00E618A7"/>
    <w:rsid w:val="00E61DDE"/>
    <w:rsid w:val="00E6234F"/>
    <w:rsid w:val="00E65219"/>
    <w:rsid w:val="00E65382"/>
    <w:rsid w:val="00E655AA"/>
    <w:rsid w:val="00E65E3F"/>
    <w:rsid w:val="00E661FE"/>
    <w:rsid w:val="00E66A46"/>
    <w:rsid w:val="00E670C6"/>
    <w:rsid w:val="00E67718"/>
    <w:rsid w:val="00E703AA"/>
    <w:rsid w:val="00E70C22"/>
    <w:rsid w:val="00E71232"/>
    <w:rsid w:val="00E718F9"/>
    <w:rsid w:val="00E71C0E"/>
    <w:rsid w:val="00E71FE2"/>
    <w:rsid w:val="00E72486"/>
    <w:rsid w:val="00E72BAA"/>
    <w:rsid w:val="00E73759"/>
    <w:rsid w:val="00E73B16"/>
    <w:rsid w:val="00E73F24"/>
    <w:rsid w:val="00E74999"/>
    <w:rsid w:val="00E7528F"/>
    <w:rsid w:val="00E7765E"/>
    <w:rsid w:val="00E818F2"/>
    <w:rsid w:val="00E81D7D"/>
    <w:rsid w:val="00E82286"/>
    <w:rsid w:val="00E82F64"/>
    <w:rsid w:val="00E831CF"/>
    <w:rsid w:val="00E844F0"/>
    <w:rsid w:val="00E87429"/>
    <w:rsid w:val="00E937BB"/>
    <w:rsid w:val="00E93F30"/>
    <w:rsid w:val="00E959E1"/>
    <w:rsid w:val="00E95C18"/>
    <w:rsid w:val="00E9714E"/>
    <w:rsid w:val="00E97C51"/>
    <w:rsid w:val="00EA0EF8"/>
    <w:rsid w:val="00EA1A80"/>
    <w:rsid w:val="00EA2AD4"/>
    <w:rsid w:val="00EA2E54"/>
    <w:rsid w:val="00EA50BB"/>
    <w:rsid w:val="00EA640F"/>
    <w:rsid w:val="00EA712F"/>
    <w:rsid w:val="00EB258C"/>
    <w:rsid w:val="00EB4D2E"/>
    <w:rsid w:val="00EB62BB"/>
    <w:rsid w:val="00EB72DE"/>
    <w:rsid w:val="00EC018C"/>
    <w:rsid w:val="00EC1C8E"/>
    <w:rsid w:val="00EC3EE0"/>
    <w:rsid w:val="00EC59C8"/>
    <w:rsid w:val="00EC5BD3"/>
    <w:rsid w:val="00EC6114"/>
    <w:rsid w:val="00EC6AC4"/>
    <w:rsid w:val="00ED0B59"/>
    <w:rsid w:val="00ED27FB"/>
    <w:rsid w:val="00ED2A18"/>
    <w:rsid w:val="00ED2B97"/>
    <w:rsid w:val="00ED3FA5"/>
    <w:rsid w:val="00ED45E1"/>
    <w:rsid w:val="00ED4DC7"/>
    <w:rsid w:val="00ED64C8"/>
    <w:rsid w:val="00ED71EB"/>
    <w:rsid w:val="00ED74AE"/>
    <w:rsid w:val="00ED7CA4"/>
    <w:rsid w:val="00EE1968"/>
    <w:rsid w:val="00EE1BEC"/>
    <w:rsid w:val="00EE1F72"/>
    <w:rsid w:val="00EE403B"/>
    <w:rsid w:val="00EE45B2"/>
    <w:rsid w:val="00EE4CE2"/>
    <w:rsid w:val="00EE6750"/>
    <w:rsid w:val="00EE6D0D"/>
    <w:rsid w:val="00EE6F87"/>
    <w:rsid w:val="00EF16D3"/>
    <w:rsid w:val="00EF322A"/>
    <w:rsid w:val="00EF348E"/>
    <w:rsid w:val="00EF4128"/>
    <w:rsid w:val="00EF4662"/>
    <w:rsid w:val="00EF4677"/>
    <w:rsid w:val="00EF68A9"/>
    <w:rsid w:val="00EF6C6F"/>
    <w:rsid w:val="00F0020A"/>
    <w:rsid w:val="00F017C1"/>
    <w:rsid w:val="00F02A36"/>
    <w:rsid w:val="00F02B2B"/>
    <w:rsid w:val="00F0491D"/>
    <w:rsid w:val="00F06E9B"/>
    <w:rsid w:val="00F102F6"/>
    <w:rsid w:val="00F10730"/>
    <w:rsid w:val="00F119A9"/>
    <w:rsid w:val="00F11E85"/>
    <w:rsid w:val="00F12353"/>
    <w:rsid w:val="00F12F25"/>
    <w:rsid w:val="00F1365C"/>
    <w:rsid w:val="00F146FE"/>
    <w:rsid w:val="00F1775B"/>
    <w:rsid w:val="00F178D0"/>
    <w:rsid w:val="00F20649"/>
    <w:rsid w:val="00F217EA"/>
    <w:rsid w:val="00F21C0E"/>
    <w:rsid w:val="00F22C30"/>
    <w:rsid w:val="00F22E16"/>
    <w:rsid w:val="00F24972"/>
    <w:rsid w:val="00F254B2"/>
    <w:rsid w:val="00F259A0"/>
    <w:rsid w:val="00F265E1"/>
    <w:rsid w:val="00F26D1F"/>
    <w:rsid w:val="00F26F95"/>
    <w:rsid w:val="00F300FF"/>
    <w:rsid w:val="00F33A8C"/>
    <w:rsid w:val="00F343E6"/>
    <w:rsid w:val="00F350ED"/>
    <w:rsid w:val="00F35FE7"/>
    <w:rsid w:val="00F36D11"/>
    <w:rsid w:val="00F40523"/>
    <w:rsid w:val="00F4090A"/>
    <w:rsid w:val="00F40A2C"/>
    <w:rsid w:val="00F42279"/>
    <w:rsid w:val="00F422ED"/>
    <w:rsid w:val="00F4286A"/>
    <w:rsid w:val="00F432D8"/>
    <w:rsid w:val="00F433A6"/>
    <w:rsid w:val="00F44104"/>
    <w:rsid w:val="00F448EE"/>
    <w:rsid w:val="00F450A1"/>
    <w:rsid w:val="00F459E9"/>
    <w:rsid w:val="00F45A53"/>
    <w:rsid w:val="00F46C2D"/>
    <w:rsid w:val="00F478C7"/>
    <w:rsid w:val="00F5106F"/>
    <w:rsid w:val="00F51F18"/>
    <w:rsid w:val="00F532A2"/>
    <w:rsid w:val="00F54A1C"/>
    <w:rsid w:val="00F54BD1"/>
    <w:rsid w:val="00F54E62"/>
    <w:rsid w:val="00F552B7"/>
    <w:rsid w:val="00F55C91"/>
    <w:rsid w:val="00F573C1"/>
    <w:rsid w:val="00F60102"/>
    <w:rsid w:val="00F60858"/>
    <w:rsid w:val="00F629A5"/>
    <w:rsid w:val="00F63618"/>
    <w:rsid w:val="00F63AE9"/>
    <w:rsid w:val="00F63D64"/>
    <w:rsid w:val="00F64118"/>
    <w:rsid w:val="00F64AE7"/>
    <w:rsid w:val="00F64DAB"/>
    <w:rsid w:val="00F650D3"/>
    <w:rsid w:val="00F6525D"/>
    <w:rsid w:val="00F65D46"/>
    <w:rsid w:val="00F66FB4"/>
    <w:rsid w:val="00F672DE"/>
    <w:rsid w:val="00F67A9F"/>
    <w:rsid w:val="00F70B38"/>
    <w:rsid w:val="00F71C77"/>
    <w:rsid w:val="00F73D65"/>
    <w:rsid w:val="00F73E34"/>
    <w:rsid w:val="00F75BD4"/>
    <w:rsid w:val="00F77130"/>
    <w:rsid w:val="00F8066D"/>
    <w:rsid w:val="00F812D7"/>
    <w:rsid w:val="00F82EEC"/>
    <w:rsid w:val="00F83E0C"/>
    <w:rsid w:val="00F8456D"/>
    <w:rsid w:val="00F872D5"/>
    <w:rsid w:val="00F875A7"/>
    <w:rsid w:val="00F87669"/>
    <w:rsid w:val="00F90200"/>
    <w:rsid w:val="00F9122F"/>
    <w:rsid w:val="00F91234"/>
    <w:rsid w:val="00F91422"/>
    <w:rsid w:val="00F91ACE"/>
    <w:rsid w:val="00F91AD9"/>
    <w:rsid w:val="00F93F3C"/>
    <w:rsid w:val="00F941F2"/>
    <w:rsid w:val="00F97671"/>
    <w:rsid w:val="00F9780C"/>
    <w:rsid w:val="00FA0F95"/>
    <w:rsid w:val="00FA18B7"/>
    <w:rsid w:val="00FA1D7C"/>
    <w:rsid w:val="00FA7A6B"/>
    <w:rsid w:val="00FB0CB0"/>
    <w:rsid w:val="00FB14AC"/>
    <w:rsid w:val="00FB16DA"/>
    <w:rsid w:val="00FB293E"/>
    <w:rsid w:val="00FB3332"/>
    <w:rsid w:val="00FB3DBD"/>
    <w:rsid w:val="00FB3FDE"/>
    <w:rsid w:val="00FB577F"/>
    <w:rsid w:val="00FB7B0E"/>
    <w:rsid w:val="00FC1220"/>
    <w:rsid w:val="00FC446A"/>
    <w:rsid w:val="00FC55A1"/>
    <w:rsid w:val="00FC57B2"/>
    <w:rsid w:val="00FC760A"/>
    <w:rsid w:val="00FC7EA7"/>
    <w:rsid w:val="00FD12DB"/>
    <w:rsid w:val="00FD1AEA"/>
    <w:rsid w:val="00FD1CED"/>
    <w:rsid w:val="00FD3314"/>
    <w:rsid w:val="00FD37D8"/>
    <w:rsid w:val="00FD3FEC"/>
    <w:rsid w:val="00FD476C"/>
    <w:rsid w:val="00FD5D6F"/>
    <w:rsid w:val="00FD62D8"/>
    <w:rsid w:val="00FD6488"/>
    <w:rsid w:val="00FE07F1"/>
    <w:rsid w:val="00FE0C1B"/>
    <w:rsid w:val="00FE0C55"/>
    <w:rsid w:val="00FE1BD0"/>
    <w:rsid w:val="00FE284C"/>
    <w:rsid w:val="00FE30DB"/>
    <w:rsid w:val="00FE3471"/>
    <w:rsid w:val="00FE355C"/>
    <w:rsid w:val="00FE3A80"/>
    <w:rsid w:val="00FE59A6"/>
    <w:rsid w:val="00FE6998"/>
    <w:rsid w:val="00FE7BA7"/>
    <w:rsid w:val="00FE7CC5"/>
    <w:rsid w:val="00FF0743"/>
    <w:rsid w:val="00FF1119"/>
    <w:rsid w:val="00FF1BA8"/>
    <w:rsid w:val="00FF22F8"/>
    <w:rsid w:val="00FF3E85"/>
    <w:rsid w:val="00FF5E9B"/>
    <w:rsid w:val="00FF71EA"/>
    <w:rsid w:val="00FF7F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7A29E"/>
  <w15:chartTrackingRefBased/>
  <w15:docId w15:val="{35C3CD11-414D-4F22-AF14-CEEFD4D2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7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3C2E7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3C2E7C"/>
    <w:pPr>
      <w:outlineLvl w:val="1"/>
    </w:pPr>
    <w:rPr>
      <w:sz w:val="28"/>
    </w:rPr>
  </w:style>
  <w:style w:type="paragraph" w:styleId="Heading3">
    <w:name w:val="heading 3"/>
    <w:basedOn w:val="Normal"/>
    <w:next w:val="Normal"/>
    <w:link w:val="Heading3Char"/>
    <w:uiPriority w:val="9"/>
    <w:unhideWhenUsed/>
    <w:qFormat/>
    <w:rsid w:val="003C2E7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3C2E7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3C2E7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3C2E7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3C2E7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3C2E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3C2E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7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3C2E7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3C2E7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3C2E7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3C2E7C"/>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3C2E7C"/>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3C2E7C"/>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3C2E7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2E7C"/>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3C2E7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3C2E7C"/>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3C2E7C"/>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3C2E7C"/>
    <w:pPr>
      <w:tabs>
        <w:tab w:val="center" w:pos="4320"/>
        <w:tab w:val="right" w:pos="8640"/>
      </w:tabs>
    </w:pPr>
  </w:style>
  <w:style w:type="character" w:customStyle="1" w:styleId="HeaderChar">
    <w:name w:val="Header Char"/>
    <w:basedOn w:val="DefaultParagraphFont"/>
    <w:link w:val="Header"/>
    <w:uiPriority w:val="99"/>
    <w:rsid w:val="003C2E7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3C2E7C"/>
    <w:pPr>
      <w:tabs>
        <w:tab w:val="center" w:pos="4320"/>
        <w:tab w:val="right" w:pos="8640"/>
      </w:tabs>
    </w:pPr>
  </w:style>
  <w:style w:type="character" w:customStyle="1" w:styleId="FooterChar">
    <w:name w:val="Footer Char"/>
    <w:basedOn w:val="DefaultParagraphFont"/>
    <w:link w:val="Footer"/>
    <w:uiPriority w:val="99"/>
    <w:rsid w:val="003C2E7C"/>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3C2E7C"/>
    <w:rPr>
      <w:noProof w:val="0"/>
    </w:rPr>
  </w:style>
  <w:style w:type="character" w:styleId="Hyperlink">
    <w:name w:val="Hyperlink"/>
    <w:basedOn w:val="DefaultParagraphFont"/>
    <w:uiPriority w:val="99"/>
    <w:unhideWhenUsed/>
    <w:rsid w:val="003C2E7C"/>
    <w:rPr>
      <w:noProof w:val="0"/>
      <w:color w:val="467886" w:themeColor="hyperlink"/>
      <w:u w:val="single"/>
    </w:rPr>
  </w:style>
  <w:style w:type="paragraph" w:styleId="Revision">
    <w:name w:val="Revision"/>
    <w:hidden/>
    <w:uiPriority w:val="99"/>
    <w:semiHidden/>
    <w:rsid w:val="003C2E7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3C2E7C"/>
    <w:pPr>
      <w:spacing w:after="120"/>
    </w:pPr>
    <w:rPr>
      <w:b/>
      <w:bCs/>
      <w:color w:val="FFFFFF"/>
      <w:sz w:val="32"/>
      <w:szCs w:val="32"/>
    </w:rPr>
  </w:style>
  <w:style w:type="paragraph" w:customStyle="1" w:styleId="Headline">
    <w:name w:val="Headline"/>
    <w:basedOn w:val="Normal"/>
    <w:next w:val="Normal"/>
    <w:link w:val="HeadlineChar"/>
    <w:qFormat/>
    <w:rsid w:val="003C2E7C"/>
    <w:rPr>
      <w:rFonts w:ascii="Segoe UI Semilight" w:hAnsi="Segoe UI Semilight" w:cs="Segoe UI Semilight"/>
      <w:b/>
      <w:bCs/>
      <w:color w:val="FFFFFF"/>
      <w:sz w:val="40"/>
      <w:szCs w:val="40"/>
    </w:rPr>
  </w:style>
  <w:style w:type="paragraph" w:customStyle="1" w:styleId="ExhibitTitle">
    <w:name w:val="Exhibit Title"/>
    <w:basedOn w:val="Normal"/>
    <w:qFormat/>
    <w:rsid w:val="003C2E7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3C2E7C"/>
    <w:pPr>
      <w:shd w:val="clear" w:color="auto" w:fill="D6E2FA"/>
      <w:spacing w:after="0"/>
    </w:pPr>
    <w:rPr>
      <w:color w:val="595959" w:themeColor="text1" w:themeTint="A6"/>
      <w:sz w:val="18"/>
    </w:rPr>
  </w:style>
  <w:style w:type="paragraph" w:customStyle="1" w:styleId="ExhibitSource">
    <w:name w:val="Exhibit Source"/>
    <w:next w:val="Normal"/>
    <w:qFormat/>
    <w:rsid w:val="003C2E7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3C2E7C"/>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3C2E7C"/>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3C2E7C"/>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3C2E7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3C2E7C"/>
    <w:rPr>
      <w:rFonts w:ascii="Segoe UI" w:hAnsi="Segoe UI" w:cs="Segoe UI"/>
      <w:noProof w:val="0"/>
      <w:color w:val="000000" w:themeColor="text1"/>
    </w:rPr>
  </w:style>
  <w:style w:type="paragraph" w:customStyle="1" w:styleId="Summary">
    <w:name w:val="Summary"/>
    <w:basedOn w:val="Normal"/>
    <w:link w:val="SummaryChar"/>
    <w:qFormat/>
    <w:rsid w:val="003C2E7C"/>
    <w:pPr>
      <w:numPr>
        <w:numId w:val="1"/>
      </w:numPr>
      <w:ind w:left="1797" w:hanging="357"/>
    </w:pPr>
    <w:rPr>
      <w:kern w:val="2"/>
      <w:sz w:val="22"/>
      <w14:ligatures w14:val="standardContextual"/>
    </w:rPr>
  </w:style>
  <w:style w:type="paragraph" w:customStyle="1" w:styleId="TableData">
    <w:name w:val="Table Data"/>
    <w:link w:val="TableDataChar"/>
    <w:qFormat/>
    <w:rsid w:val="003C2E7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3C2E7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3C2E7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3C2E7C"/>
    <w:pPr>
      <w:spacing w:before="0" w:after="0"/>
      <w:jc w:val="right"/>
    </w:pPr>
    <w:rPr>
      <w:color w:val="003469"/>
      <w:sz w:val="24"/>
      <w:szCs w:val="24"/>
    </w:rPr>
  </w:style>
  <w:style w:type="paragraph" w:customStyle="1" w:styleId="Author">
    <w:name w:val="Author"/>
    <w:basedOn w:val="Bullet"/>
    <w:link w:val="AuthorChar"/>
    <w:qFormat/>
    <w:rsid w:val="003C2E7C"/>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3C2E7C"/>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3C2E7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3C2E7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3C2E7C"/>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3C2E7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3C2E7C"/>
    <w:rPr>
      <w:color w:val="003469"/>
    </w:rPr>
  </w:style>
  <w:style w:type="character" w:customStyle="1" w:styleId="RepeatingFooterChar">
    <w:name w:val="Repeating Footer Char"/>
    <w:basedOn w:val="FooterChar"/>
    <w:link w:val="RepeatingFooter"/>
    <w:rsid w:val="003C2E7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3C2E7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3C2E7C"/>
    <w:rPr>
      <w:b/>
      <w:bCs/>
      <w:noProof w:val="0"/>
    </w:rPr>
  </w:style>
  <w:style w:type="character" w:customStyle="1" w:styleId="Italics">
    <w:name w:val="Italics"/>
    <w:uiPriority w:val="1"/>
    <w:qFormat/>
    <w:rsid w:val="003C2E7C"/>
    <w:rPr>
      <w:i/>
      <w:iCs/>
      <w:noProof w:val="0"/>
    </w:rPr>
  </w:style>
  <w:style w:type="table" w:customStyle="1" w:styleId="TableGridHeader">
    <w:name w:val="Table Grid Header"/>
    <w:basedOn w:val="TableNormal"/>
    <w:uiPriority w:val="99"/>
    <w:rsid w:val="003C2E7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08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my.oxfordeconomics.com/reports/736305Eb32954253934406" TargetMode="External"/><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action/f7d300Ca1cC64c36a59Ca4/Toc"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bankofengland.co.uk/decision-maker-panel/2025/december-2025" TargetMode="External"/><Relationship Id="rId29"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action/69402cBfef494dC1879Cf8/Toc" TargetMode="External"/><Relationship Id="rId24" Type="http://schemas.openxmlformats.org/officeDocument/2006/relationships/hyperlink" Target="https://my.oxfordeconomics.com/reportaction/d21C9c3c41304402905349/Toc" TargetMode="External"/><Relationship Id="rId32" Type="http://schemas.openxmlformats.org/officeDocument/2006/relationships/hyperlink" Target="https://www.bankofengland.co.uk/monetary-policy-report/2025/february-2025" TargetMode="Externa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0.svg"/><Relationship Id="rId28" Type="http://schemas.openxmlformats.org/officeDocument/2006/relationships/image" Target="media/image13.png"/><Relationship Id="rId10" Type="http://schemas.openxmlformats.org/officeDocument/2006/relationships/hyperlink" Target="https://my.oxfordeconomics.com/reportaction/87c223Db634C4bAb9601bd/Toc" TargetMode="External"/><Relationship Id="rId19" Type="http://schemas.openxmlformats.org/officeDocument/2006/relationships/footer" Target="footer3.xml"/><Relationship Id="rId31" Type="http://schemas.openxmlformats.org/officeDocument/2006/relationships/hyperlink" Target="https://www.bankofengland.co.uk/monetary-policy-report/2024/february-202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2.svg"/><Relationship Id="rId30" Type="http://schemas.openxmlformats.org/officeDocument/2006/relationships/hyperlink" Target="https://my.oxfordeconomics.com/reportaction/653A413545B944A18241bd/Toc" TargetMode="External"/><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F4D8F69-52F7-46F2-B449-68A76BD1E58B}"/>
      </w:docPartPr>
      <w:docPartBody>
        <w:p w:rsidR="00370ECB" w:rsidRDefault="009062DF">
          <w:r w:rsidRPr="008E696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DF"/>
    <w:rsid w:val="00027B43"/>
    <w:rsid w:val="00033625"/>
    <w:rsid w:val="0004732E"/>
    <w:rsid w:val="0016011A"/>
    <w:rsid w:val="00172D9A"/>
    <w:rsid w:val="001C3E22"/>
    <w:rsid w:val="001F6742"/>
    <w:rsid w:val="00240B0C"/>
    <w:rsid w:val="00244D1C"/>
    <w:rsid w:val="002E61AE"/>
    <w:rsid w:val="00370ECB"/>
    <w:rsid w:val="003775D9"/>
    <w:rsid w:val="00417F0E"/>
    <w:rsid w:val="00451E09"/>
    <w:rsid w:val="004C4806"/>
    <w:rsid w:val="004F775F"/>
    <w:rsid w:val="00514C7F"/>
    <w:rsid w:val="00525655"/>
    <w:rsid w:val="005A63C0"/>
    <w:rsid w:val="0062511D"/>
    <w:rsid w:val="00680CE8"/>
    <w:rsid w:val="006A3097"/>
    <w:rsid w:val="006C46A8"/>
    <w:rsid w:val="007107FC"/>
    <w:rsid w:val="00727525"/>
    <w:rsid w:val="00770E85"/>
    <w:rsid w:val="007D1FBD"/>
    <w:rsid w:val="00863B0C"/>
    <w:rsid w:val="008E47B9"/>
    <w:rsid w:val="009015A8"/>
    <w:rsid w:val="009062DF"/>
    <w:rsid w:val="00986A50"/>
    <w:rsid w:val="00B06D6F"/>
    <w:rsid w:val="00B511AB"/>
    <w:rsid w:val="00B754AD"/>
    <w:rsid w:val="00B95039"/>
    <w:rsid w:val="00BE6F73"/>
    <w:rsid w:val="00C07B27"/>
    <w:rsid w:val="00C80795"/>
    <w:rsid w:val="00D61CBD"/>
    <w:rsid w:val="00DA1725"/>
    <w:rsid w:val="00DF16B5"/>
    <w:rsid w:val="00E06364"/>
    <w:rsid w:val="00E6234F"/>
    <w:rsid w:val="00EC6114"/>
    <w:rsid w:val="00EF68A9"/>
    <w:rsid w:val="00FB14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4D8BA8-682C-4896-A982-D948EDC10CDC}">
  <ds:schemaRefs>
    <ds:schemaRef ds:uri="http://schemas.microsoft.com/sharepoint/v3/contenttype/forms"/>
  </ds:schemaRefs>
</ds:datastoreItem>
</file>

<file path=customXml/itemProps2.xml><?xml version="1.0" encoding="utf-8"?>
<ds:datastoreItem xmlns:ds="http://schemas.openxmlformats.org/officeDocument/2006/customXml" ds:itemID="{22E79EC2-2DB0-4349-83F1-6BDAD5D76A31}">
  <ds:schemaRefs>
    <ds:schemaRef ds:uri="http://schemas.microsoft.com/office/2006/metadata/properties"/>
    <ds:schemaRef ds:uri="http://schemas.microsoft.com/office/infopath/2007/PartnerControls"/>
    <ds:schemaRef ds:uri="6ec33f61-c765-4e3b-9958-53c32fd1fd0b"/>
  </ds:schemaRefs>
</ds:datastoreItem>
</file>

<file path=customXml/itemProps3.xml><?xml version="1.0" encoding="utf-8"?>
<ds:datastoreItem xmlns:ds="http://schemas.openxmlformats.org/officeDocument/2006/customXml" ds:itemID="{05949354-52A7-48CC-8414-37A8B3127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12</cp:revision>
  <dcterms:created xsi:type="dcterms:W3CDTF">2026-01-29T11:55:00Z</dcterms:created>
  <dcterms:modified xsi:type="dcterms:W3CDTF">2026-02-03T19:29:00Z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2026-02-03T19:28:53.000Z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Themes:monetary policy,interest rates</vt:lpwstr>
  </property>
  <property fmtid="{D5CDD505-2E9C-101B-9397-08002B2CF9AE}" pid="16" name="OEP_KEY_THEMES">
    <vt:lpwstr>fiscal policy,financial markets,sovereign debt</vt:lpwstr>
  </property>
  <property fmtid="{D5CDD505-2E9C-101B-9397-08002B2CF9AE}" pid="17" name="ContentTypeId">
    <vt:lpwstr>0x01010009401BB7205AF745BAD4FA98BDE0B98F</vt:lpwstr>
  </property>
  <property fmtid="{D5CDD505-2E9C-101B-9397-08002B2CF9AE}" pid="18" name="OEP_PRODUCT_CODE">
    <vt:lpwstr>392FFb02335F49B699cD4c</vt:lpwstr>
  </property>
  <property fmtid="{D5CDD505-2E9C-101B-9397-08002B2CF9AE}" pid="19" name="OEP_PUBLISH_DATE">
    <vt:lpwstr>2026-01-29T12:03:21.000Z</vt:lpwstr>
  </property>
  <property fmtid="{D5CDD505-2E9C-101B-9397-08002B2CF9AE}" pid="20" name="OEP_DATA_FILEPATH">
    <vt:lpwstr/>
  </property>
  <property fmtid="{D5CDD505-2E9C-101B-9397-08002B2CF9AE}" pid="21" name="GrammarlyDocumentId">
    <vt:lpwstr>1aa018b8-4780-47e4-93eb-a86afce62553</vt:lpwstr>
  </property>
</Properties>
</file>