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2E2" w14:textId="069C0CDB" w:rsidR="000C3FB7" w:rsidRDefault="00416077" w:rsidP="000C3FB7">
      <w:pPr>
        <w:pStyle w:val="Bullet"/>
      </w:pPr>
      <w:r w:rsidRPr="00416077">
        <w:t>In this Research Briefing, we answer questions that we received during our Global Economic Outlook Conference in London last week</w:t>
      </w:r>
      <w:r w:rsidR="000C3FB7" w:rsidRPr="000C3FB7">
        <w:t xml:space="preserve">. </w:t>
      </w:r>
      <w:r>
        <w:t xml:space="preserve">Among the UK-centric topics were questions on policy, data problems, and </w:t>
      </w:r>
      <w:r w:rsidR="00A03E7D">
        <w:t>sources of upside</w:t>
      </w:r>
      <w:r>
        <w:t xml:space="preserve"> risk</w:t>
      </w:r>
      <w:r w:rsidR="00A03E7D">
        <w:t xml:space="preserve"> to </w:t>
      </w:r>
      <w:r>
        <w:t>our forecasts.</w:t>
      </w:r>
    </w:p>
    <w:p w14:paraId="0D4D0D60" w14:textId="25F251DB" w:rsidR="000C3FB7" w:rsidRPr="000C3FB7" w:rsidRDefault="00416077" w:rsidP="00416077">
      <w:pPr>
        <w:pStyle w:val="Heading3"/>
      </w:pPr>
      <w:r>
        <w:t xml:space="preserve">Q1: </w:t>
      </w:r>
      <w:r w:rsidR="00F73ED7">
        <w:t>What policies in the</w:t>
      </w:r>
      <w:r w:rsidR="00F73ED7" w:rsidRPr="000C3FB7">
        <w:t xml:space="preserve"> </w:t>
      </w:r>
      <w:r w:rsidR="000C3FB7" w:rsidRPr="000C3FB7">
        <w:t>UK are restrictive?</w:t>
      </w:r>
    </w:p>
    <w:p w14:paraId="31A8C7D9" w14:textId="2C734A5F" w:rsidR="000C3FB7" w:rsidRDefault="00D87A9F" w:rsidP="000C3FB7">
      <w:r>
        <w:t xml:space="preserve">Though rate cuts </w:t>
      </w:r>
      <w:r w:rsidR="00F73ED7">
        <w:t xml:space="preserve">by the Bank of England </w:t>
      </w:r>
      <w:r>
        <w:t>have been transmitted fairly quickly to the corporate sector, w</w:t>
      </w:r>
      <w:r w:rsidR="00D47127">
        <w:t xml:space="preserve">e still see monetary policy as being restrictive </w:t>
      </w:r>
      <w:r w:rsidR="00F73ED7">
        <w:t xml:space="preserve">because of </w:t>
      </w:r>
      <w:r w:rsidR="00EB1611">
        <w:t>the</w:t>
      </w:r>
      <w:r w:rsidR="00D47127">
        <w:t xml:space="preserve"> </w:t>
      </w:r>
      <w:r w:rsidR="00F73ED7">
        <w:t>lag</w:t>
      </w:r>
      <w:r w:rsidR="00A00087">
        <w:t>ged</w:t>
      </w:r>
      <w:r w:rsidR="00F73ED7">
        <w:t xml:space="preserve"> impact of</w:t>
      </w:r>
      <w:r w:rsidR="00D47127">
        <w:t xml:space="preserve"> </w:t>
      </w:r>
      <w:r w:rsidR="00F73ED7">
        <w:t>prior tightening</w:t>
      </w:r>
      <w:r w:rsidR="00D47127">
        <w:t xml:space="preserve"> on the </w:t>
      </w:r>
      <w:r w:rsidR="00233E9B">
        <w:t xml:space="preserve">cost of servicing the </w:t>
      </w:r>
      <w:r w:rsidR="00D47127">
        <w:t xml:space="preserve">stock of </w:t>
      </w:r>
      <w:r>
        <w:t xml:space="preserve">household </w:t>
      </w:r>
      <w:r w:rsidR="00D47127">
        <w:t>mortgages. The average interest rate on outstanding mortgages continues to creep upwards because the impact of cheaper variable</w:t>
      </w:r>
      <w:r w:rsidR="00671386">
        <w:t>-</w:t>
      </w:r>
      <w:r w:rsidR="00D47127">
        <w:t>rate mortgages is more than offset by the effect of borrowers refinancing expiring fixed</w:t>
      </w:r>
      <w:r w:rsidR="00671386">
        <w:t>-</w:t>
      </w:r>
      <w:r w:rsidR="00D47127">
        <w:t xml:space="preserve">rate deals – mortgagors refinancing </w:t>
      </w:r>
      <w:r w:rsidR="006F6C32">
        <w:t>loans taken out before mid-2022 are typically seeing their interest rates increasing by 200bps-250bps.</w:t>
      </w:r>
      <w:r w:rsidR="00360519">
        <w:t xml:space="preserve"> We forecast </w:t>
      </w:r>
      <w:r w:rsidR="00360519" w:rsidRPr="00360519">
        <w:t xml:space="preserve">the average interest rate </w:t>
      </w:r>
      <w:r w:rsidR="00671386">
        <w:t>to not</w:t>
      </w:r>
      <w:r w:rsidR="00360519" w:rsidRPr="00360519">
        <w:t xml:space="preserve"> fall</w:t>
      </w:r>
      <w:r w:rsidR="00671386">
        <w:t xml:space="preserve"> until</w:t>
      </w:r>
      <w:r w:rsidR="00360519" w:rsidRPr="00360519">
        <w:t xml:space="preserve"> H2 2027</w:t>
      </w:r>
      <w:r w:rsidR="00360519">
        <w:t>.</w:t>
      </w:r>
    </w:p>
    <w:p w14:paraId="2A337C44" w14:textId="1C41D2AF" w:rsidR="006F6C32" w:rsidRDefault="00F73ED7" w:rsidP="000C3FB7">
      <w:r>
        <w:t>T</w:t>
      </w:r>
      <w:r w:rsidR="006F6C32">
        <w:t xml:space="preserve">ighter fiscal policy </w:t>
      </w:r>
      <w:r>
        <w:t xml:space="preserve">is </w:t>
      </w:r>
      <w:r w:rsidR="006F6C32">
        <w:t>more important.</w:t>
      </w:r>
      <w:r w:rsidR="00A3156F">
        <w:t xml:space="preserve"> In the current fiscal year, 2025-2026,</w:t>
      </w:r>
      <w:r w:rsidR="006F6C32">
        <w:t xml:space="preserve"> </w:t>
      </w:r>
      <w:r w:rsidR="00A3156F">
        <w:t>we estimate that fiscal policy will exert a drag</w:t>
      </w:r>
      <w:r w:rsidR="00360519">
        <w:t xml:space="preserve"> of 0.6% of potential GDP (</w:t>
      </w:r>
      <w:r w:rsidR="00DA4E7C" w:rsidRPr="00B243C3">
        <w:rPr>
          <w:b/>
          <w:color w:val="003469"/>
        </w:rPr>
        <w:fldChar w:fldCharType="begin"/>
      </w:r>
      <w:r w:rsidR="00B243C3" w:rsidRPr="00B243C3">
        <w:rPr>
          <w:b/>
          <w:color w:val="003469"/>
        </w:rPr>
        <w:instrText xml:space="preserve">REF _Ref220938727 \h \* Charformat </w:instrText>
      </w:r>
      <w:r w:rsidR="00B243C3" w:rsidRPr="00B243C3">
        <w:rPr>
          <w:b/>
          <w:color w:val="003469"/>
        </w:rPr>
      </w:r>
      <w:r w:rsidR="00DA4E7C" w:rsidRPr="00B243C3">
        <w:rPr>
          <w:b/>
          <w:color w:val="003469"/>
        </w:rPr>
        <w:fldChar w:fldCharType="separate"/>
      </w:r>
      <w:r w:rsidR="00B243C3" w:rsidRPr="00B243C3">
        <w:rPr>
          <w:b/>
          <w:color w:val="003469"/>
        </w:rPr>
        <w:t>Chart 1</w:t>
      </w:r>
      <w:r w:rsidR="00DA4E7C" w:rsidRPr="00B243C3">
        <w:rPr>
          <w:b/>
          <w:color w:val="003469"/>
        </w:rPr>
        <w:fldChar w:fldCharType="end"/>
      </w:r>
      <w:r w:rsidR="00360519">
        <w:t>). There will be similar drags over the two following fiscal years</w:t>
      </w:r>
      <w:r w:rsidR="009F5F77">
        <w:t xml:space="preserve">, with all the tightening coming via higher taxation. </w:t>
      </w:r>
      <w:r w:rsidR="009A59D7">
        <w:t>In this environment, it looks likely that UK GDP growth will remain sluggish.</w:t>
      </w:r>
    </w:p>
    <w:p w14:paraId="1DB663B5" w14:textId="1C9244EC" w:rsidR="000C3FB7" w:rsidRDefault="000C3FB7" w:rsidP="006F6C32">
      <w:pPr>
        <w:pStyle w:val="ExhibitTitle"/>
        <w:jc w:val="center"/>
      </w:pPr>
      <w:bookmarkStart w:id="0" w:name="_Ref220938727"/>
      <w:r>
        <w:t xml:space="preserve">Chart </w:t>
      </w:r>
      <w:r>
        <w:fldChar w:fldCharType="begin"/>
      </w:r>
      <w:r w:rsidR="00DA4E7C">
        <w:instrText>SEQ CHART</w:instrText>
      </w:r>
      <w:r>
        <w:fldChar w:fldCharType="separate"/>
      </w:r>
      <w:r w:rsidR="00DA4E7C">
        <w:rPr>
          <w:noProof/>
        </w:rPr>
        <w:t>1</w:t>
      </w:r>
      <w:r>
        <w:fldChar w:fldCharType="end"/>
      </w:r>
      <w:bookmarkEnd w:id="0"/>
      <w:r>
        <w:t xml:space="preserve">: </w:t>
      </w:r>
      <w:r w:rsidR="009404FB" w:rsidRPr="009404FB">
        <w:t xml:space="preserve">Fiscal policy will be tightened significantly </w:t>
      </w:r>
      <w:r w:rsidR="00671386">
        <w:t>over</w:t>
      </w:r>
      <w:r w:rsidR="009404FB" w:rsidRPr="009404FB">
        <w:t xml:space="preserve"> the next four fiscal years</w:t>
      </w:r>
    </w:p>
    <w:p w14:paraId="50F6CDF7" w14:textId="1B5C45AA" w:rsidR="006F6C32" w:rsidRDefault="006F6C32" w:rsidP="006F6C32">
      <w:pPr>
        <w:spacing w:after="0"/>
        <w:jc w:val="center"/>
        <w:rPr>
          <w:noProof/>
        </w:rPr>
      </w:pPr>
      <w:r>
        <w:rPr>
          <w:noProof/>
        </w:rPr>
        <w:drawing>
          <wp:inline distT="0" distB="0" distL="0" distR="0" wp14:anchorId="3DE94D38" wp14:editId="1F7E0EF5">
            <wp:extent cx="4006964" cy="3140642"/>
            <wp:effectExtent l="0" t="0" r="0" b="3175"/>
            <wp:docPr id="26384453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4539" name=""/>
                    <pic:cNvPicPr/>
                  </pic:nvPicPr>
                  <pic:blipFill>
                    <a:blip r:embed="rId7">
                      <a:extLst>
                        <a:ext uri="{96DAC541-7B7A-43D3-8B79-37D633B846F1}">
                          <asvg:svgBlip xmlns:asvg="http://schemas.microsoft.com/office/drawing/2016/SVG/main" r:embed="rId8"/>
                        </a:ext>
                      </a:extLst>
                    </a:blip>
                    <a:srcRect b="1886"/>
                    <a:stretch>
                      <a:fillRect/>
                    </a:stretch>
                  </pic:blipFill>
                  <pic:spPr>
                    <a:xfrm>
                      <a:off x="0" y="0"/>
                      <a:ext cx="4006964" cy="3140642"/>
                    </a:xfrm>
                    <a:prstGeom prst="rect">
                      <a:avLst/>
                    </a:prstGeom>
                  </pic:spPr>
                </pic:pic>
              </a:graphicData>
            </a:graphic>
          </wp:inline>
        </w:drawing>
      </w:r>
    </w:p>
    <w:p w14:paraId="199D154E" w14:textId="185F6BAE" w:rsidR="006057F0" w:rsidRDefault="006F6C32" w:rsidP="006F6C32">
      <w:pPr>
        <w:pStyle w:val="ExhibitSource"/>
        <w:jc w:val="center"/>
      </w:pPr>
      <w:r>
        <w:t>Sources: Oxford Economics, Haver Analytics</w:t>
      </w:r>
    </w:p>
    <w:p w14:paraId="31C7CFB2" w14:textId="796F7B88" w:rsidR="009F5F77" w:rsidRPr="009F5F77" w:rsidRDefault="00416077" w:rsidP="00416077">
      <w:pPr>
        <w:pStyle w:val="Heading3"/>
      </w:pPr>
      <w:r>
        <w:t xml:space="preserve">Q2: </w:t>
      </w:r>
      <w:r w:rsidR="009F5F77" w:rsidRPr="009F5F77">
        <w:t>Over what period do you assess whether a fiscal adjustment is a success?</w:t>
      </w:r>
    </w:p>
    <w:p w14:paraId="6725C1F9" w14:textId="52AB08FC" w:rsidR="009F5F77" w:rsidRPr="009F5F77" w:rsidRDefault="009E5A02" w:rsidP="009F5F77">
      <w:r>
        <w:t>Normally, w</w:t>
      </w:r>
      <w:r w:rsidR="009F5F77">
        <w:t xml:space="preserve">e like the definition used in a 2012 paper by </w:t>
      </w:r>
      <w:hyperlink r:id="rId9" w:history="1">
        <w:r w:rsidR="009F5F77" w:rsidRPr="00F21EE8">
          <w:rPr>
            <w:rStyle w:val="Hyperlink"/>
          </w:rPr>
          <w:t>Alesina and Ardagna</w:t>
        </w:r>
      </w:hyperlink>
      <w:r w:rsidR="00671386">
        <w:t>, which</w:t>
      </w:r>
      <w:r w:rsidR="009F5F77">
        <w:t xml:space="preserve"> defines a successful fiscal adjustment as the debt-to-GDP ratio being </w:t>
      </w:r>
      <w:r w:rsidR="009F5F77" w:rsidRPr="00F21EE8">
        <w:t>lower two years after the adjustment ended, compared to its level in the final year of the adjustment</w:t>
      </w:r>
      <w:r w:rsidR="009F5F77">
        <w:t>.</w:t>
      </w:r>
      <w:r>
        <w:t xml:space="preserve"> </w:t>
      </w:r>
      <w:r w:rsidR="00F73ED7">
        <w:t>T</w:t>
      </w:r>
      <w:r>
        <w:t>he consolidations analysed in th</w:t>
      </w:r>
      <w:r w:rsidR="00F73ED7">
        <w:t>at</w:t>
      </w:r>
      <w:r>
        <w:t xml:space="preserve"> study are typically much shorter than the current UK one. Successive governments have chosen to extend the UK consolidation plan to the extent that even based on the Office for Budget Responsibility's optimistic forecasts, there will be no meaningful fall in government debt as a share of GDP in a decade after the pandemic.</w:t>
      </w:r>
      <w:r w:rsidR="005363AB">
        <w:t xml:space="preserve"> So</w:t>
      </w:r>
      <w:r w:rsidR="00BE1794">
        <w:t>,</w:t>
      </w:r>
      <w:r w:rsidR="005363AB">
        <w:t xml:space="preserve"> based on the </w:t>
      </w:r>
      <w:r w:rsidR="005363AB" w:rsidRPr="005363AB">
        <w:t>Alesina and Ardagna</w:t>
      </w:r>
      <w:r w:rsidR="005363AB">
        <w:t xml:space="preserve"> definition, we can't judge success or failure until well into the 2030s.</w:t>
      </w:r>
    </w:p>
    <w:p w14:paraId="45FEABED" w14:textId="5B990D38" w:rsidR="000C3FB7" w:rsidRDefault="000C3FB7" w:rsidP="000C3FB7">
      <w:pPr>
        <w:pStyle w:val="ExhibitSource"/>
        <w:sectPr w:rsidR="000C3FB7" w:rsidSect="006F6C32">
          <w:headerReference w:type="even" r:id="rId10"/>
          <w:headerReference w:type="default" r:id="rId11"/>
          <w:footerReference w:type="default" r:id="rId12"/>
          <w:headerReference w:type="first" r:id="rId13"/>
          <w:footerReference w:type="first" r:id="rId14"/>
          <w:pgSz w:w="11906" w:h="16838"/>
          <w:pgMar w:top="2665" w:right="1276" w:bottom="958" w:left="1134" w:header="198" w:footer="442" w:gutter="0"/>
          <w:cols w:space="708"/>
          <w:titlePg/>
          <w:docGrid w:linePitch="360"/>
        </w:sectPr>
      </w:pPr>
    </w:p>
    <w:p w14:paraId="7E70A8D7" w14:textId="1EB3157C" w:rsidR="005E1F7D" w:rsidRDefault="00A54D82" w:rsidP="00BE78ED">
      <w:r>
        <w:lastRenderedPageBreak/>
        <w:t>Because</w:t>
      </w:r>
      <w:r w:rsidR="005363AB">
        <w:t xml:space="preserve"> it</w:t>
      </w:r>
      <w:r>
        <w:t>'</w:t>
      </w:r>
      <w:r w:rsidR="005363AB">
        <w:t>ll take so long to achieve any sort of reduction in debt</w:t>
      </w:r>
      <w:r>
        <w:t>,</w:t>
      </w:r>
      <w:r w:rsidR="005363AB">
        <w:t xml:space="preserve"> </w:t>
      </w:r>
      <w:r w:rsidR="005E1F7D">
        <w:t xml:space="preserve">it's hard to </w:t>
      </w:r>
      <w:r w:rsidR="005A5809">
        <w:t xml:space="preserve">subjectively </w:t>
      </w:r>
      <w:r w:rsidR="005E1F7D">
        <w:t>judge</w:t>
      </w:r>
      <w:r>
        <w:t xml:space="preserve"> </w:t>
      </w:r>
      <w:r w:rsidR="005E1F7D">
        <w:t xml:space="preserve">the plans of successive </w:t>
      </w:r>
      <w:r w:rsidR="005363AB">
        <w:t xml:space="preserve">UK </w:t>
      </w:r>
      <w:r w:rsidR="005E1F7D">
        <w:t>governments as anything other than a failure.</w:t>
      </w:r>
    </w:p>
    <w:p w14:paraId="0A20F403" w14:textId="22E69008" w:rsidR="006F6C32" w:rsidRDefault="005A5809" w:rsidP="006F6C32">
      <w:r>
        <w:t>A</w:t>
      </w:r>
      <w:r w:rsidR="00BE78ED">
        <w:t xml:space="preserve">s we reported in </w:t>
      </w:r>
      <w:hyperlink r:id="rId15" w:history="1">
        <w:r w:rsidR="00BE78ED" w:rsidRPr="00BA6924">
          <w:rPr>
            <w:rStyle w:val="Hyperlink"/>
          </w:rPr>
          <w:t>a note published last year</w:t>
        </w:r>
      </w:hyperlink>
      <w:r w:rsidR="00BE78ED">
        <w:t>, Alesina and Ardagna's work suggests the shape of consolidation chosen by the current government</w:t>
      </w:r>
      <w:r w:rsidR="00C55B86">
        <w:t xml:space="preserve"> </w:t>
      </w:r>
      <w:r w:rsidR="00C03888">
        <w:t>increases</w:t>
      </w:r>
      <w:r w:rsidR="009A7F53">
        <w:t xml:space="preserve"> the chances</w:t>
      </w:r>
      <w:r w:rsidR="00C55B86">
        <w:t xml:space="preserve"> of failure. </w:t>
      </w:r>
      <w:r w:rsidR="006A24E7">
        <w:t xml:space="preserve">Their study found that </w:t>
      </w:r>
      <w:r w:rsidR="006A24E7" w:rsidRPr="006A24E7">
        <w:t xml:space="preserve">successful adjustments had around a 70% share of spending cuts in the total adjustment, while unsuccessful adjustments </w:t>
      </w:r>
      <w:r>
        <w:t>had a</w:t>
      </w:r>
      <w:r w:rsidR="006A24E7" w:rsidRPr="006A24E7">
        <w:t xml:space="preserve"> share </w:t>
      </w:r>
      <w:r>
        <w:t>of</w:t>
      </w:r>
      <w:r w:rsidR="006A24E7" w:rsidRPr="006A24E7">
        <w:t xml:space="preserve"> just 45%</w:t>
      </w:r>
      <w:r w:rsidR="006A24E7">
        <w:t xml:space="preserve"> (</w:t>
      </w:r>
      <w:r w:rsidR="00DA4E7C" w:rsidRPr="00B243C3">
        <w:rPr>
          <w:b/>
          <w:color w:val="003469"/>
        </w:rPr>
        <w:fldChar w:fldCharType="begin"/>
      </w:r>
      <w:r w:rsidR="00B243C3" w:rsidRPr="00B243C3">
        <w:rPr>
          <w:b/>
          <w:color w:val="003469"/>
        </w:rPr>
        <w:instrText xml:space="preserve">REF _Ref220938728 \h \* Charformat </w:instrText>
      </w:r>
      <w:r w:rsidR="00B243C3" w:rsidRPr="00B243C3">
        <w:rPr>
          <w:b/>
          <w:color w:val="003469"/>
        </w:rPr>
      </w:r>
      <w:r w:rsidR="00DA4E7C" w:rsidRPr="00B243C3">
        <w:rPr>
          <w:b/>
          <w:color w:val="003469"/>
        </w:rPr>
        <w:fldChar w:fldCharType="separate"/>
      </w:r>
      <w:r w:rsidR="00B243C3" w:rsidRPr="00B243C3">
        <w:rPr>
          <w:b/>
          <w:color w:val="003469"/>
        </w:rPr>
        <w:t>Chart 2</w:t>
      </w:r>
      <w:r w:rsidR="00DA4E7C" w:rsidRPr="00B243C3">
        <w:rPr>
          <w:b/>
          <w:color w:val="003469"/>
        </w:rPr>
        <w:fldChar w:fldCharType="end"/>
      </w:r>
      <w:r w:rsidR="006A24E7">
        <w:t xml:space="preserve">). Similarly, </w:t>
      </w:r>
      <w:r w:rsidR="006A24E7" w:rsidRPr="006A24E7">
        <w:t xml:space="preserve">the study of </w:t>
      </w:r>
      <w:r>
        <w:t>more than</w:t>
      </w:r>
      <w:r w:rsidRPr="006A24E7">
        <w:t xml:space="preserve"> </w:t>
      </w:r>
      <w:r w:rsidR="006A24E7" w:rsidRPr="006A24E7">
        <w:t xml:space="preserve">300 episodes by </w:t>
      </w:r>
      <w:hyperlink r:id="rId16" w:history="1">
        <w:r w:rsidR="006A24E7" w:rsidRPr="006A24E7">
          <w:rPr>
            <w:rStyle w:val="Hyperlink"/>
          </w:rPr>
          <w:t>Tsibouris et al.</w:t>
        </w:r>
      </w:hyperlink>
      <w:r w:rsidR="006A24E7" w:rsidRPr="006A24E7">
        <w:t xml:space="preserve"> found that sustained adjustments had a 75-25 ratio between spending cuts and revenue rises, while reversed adjustments had a 50-50 share.</w:t>
      </w:r>
      <w:r w:rsidR="002A308C">
        <w:t xml:space="preserve"> With the UK's adjustment entirely based on tax rises, the chances of success are low.</w:t>
      </w:r>
    </w:p>
    <w:p w14:paraId="0E9FF6BC" w14:textId="4EADAD12" w:rsidR="006F6C32" w:rsidRDefault="006F6C32" w:rsidP="006C7744">
      <w:pPr>
        <w:pStyle w:val="ExhibitTitle"/>
      </w:pPr>
      <w:bookmarkStart w:id="1" w:name="_Ref220938728"/>
      <w:r>
        <w:t xml:space="preserve">Chart </w:t>
      </w:r>
      <w:r>
        <w:fldChar w:fldCharType="begin"/>
      </w:r>
      <w:r w:rsidR="00DA4E7C">
        <w:instrText>SEQ CHART</w:instrText>
      </w:r>
      <w:r>
        <w:fldChar w:fldCharType="separate"/>
      </w:r>
      <w:r w:rsidR="00DA4E7C">
        <w:rPr>
          <w:noProof/>
        </w:rPr>
        <w:t>2</w:t>
      </w:r>
      <w:r>
        <w:fldChar w:fldCharType="end"/>
      </w:r>
      <w:bookmarkEnd w:id="1"/>
      <w:r>
        <w:t xml:space="preserve">: </w:t>
      </w:r>
      <w:r w:rsidR="006A24E7">
        <w:t>Revenue-based adjustments tend to be less successful</w:t>
      </w:r>
    </w:p>
    <w:p w14:paraId="24952EC6" w14:textId="72A65D75" w:rsidR="00C55B86" w:rsidRDefault="00C55B86" w:rsidP="006C7744">
      <w:pPr>
        <w:spacing w:after="0"/>
      </w:pPr>
      <w:r>
        <w:rPr>
          <w:noProof/>
        </w:rPr>
        <w:drawing>
          <wp:inline distT="0" distB="0" distL="0" distR="0" wp14:anchorId="735C4C3C" wp14:editId="0F48B2E9">
            <wp:extent cx="3250933" cy="2503933"/>
            <wp:effectExtent l="0" t="0" r="6985" b="0"/>
            <wp:docPr id="55662346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23462" name=""/>
                    <pic:cNvPicPr/>
                  </pic:nvPicPr>
                  <pic:blipFill>
                    <a:blip r:embed="rId17">
                      <a:extLst>
                        <a:ext uri="{96DAC541-7B7A-43D3-8B79-37D633B846F1}">
                          <asvg:svgBlip xmlns:asvg="http://schemas.microsoft.com/office/drawing/2016/SVG/main" r:embed="rId18"/>
                        </a:ext>
                      </a:extLst>
                    </a:blip>
                    <a:srcRect b="3777"/>
                    <a:stretch>
                      <a:fillRect/>
                    </a:stretch>
                  </pic:blipFill>
                  <pic:spPr>
                    <a:xfrm>
                      <a:off x="0" y="0"/>
                      <a:ext cx="3250933" cy="2503933"/>
                    </a:xfrm>
                    <a:prstGeom prst="rect">
                      <a:avLst/>
                    </a:prstGeom>
                  </pic:spPr>
                </pic:pic>
              </a:graphicData>
            </a:graphic>
          </wp:inline>
        </w:drawing>
      </w:r>
    </w:p>
    <w:p w14:paraId="348B0FB0" w14:textId="5FE9907B" w:rsidR="006F6C32" w:rsidRDefault="00C55B86" w:rsidP="006C7744">
      <w:pPr>
        <w:pStyle w:val="ExhibitSource"/>
      </w:pPr>
      <w:r>
        <w:t>Sources: Oxford Economics, Alesina &amp; Ardagna (2012)</w:t>
      </w:r>
    </w:p>
    <w:p w14:paraId="14EDB908" w14:textId="71F85268" w:rsidR="006057F0" w:rsidRDefault="00416077" w:rsidP="006C7744">
      <w:pPr>
        <w:pStyle w:val="Heading3"/>
      </w:pPr>
      <w:r>
        <w:t xml:space="preserve">Q3: </w:t>
      </w:r>
      <w:r w:rsidR="0066172C" w:rsidRPr="0066172C">
        <w:t>How do you see the UK-EU relationship developing?</w:t>
      </w:r>
    </w:p>
    <w:p w14:paraId="4AC31E4F" w14:textId="1F143C2D" w:rsidR="006A24E7" w:rsidRDefault="00494487" w:rsidP="006A24E7">
      <w:r>
        <w:t xml:space="preserve">US </w:t>
      </w:r>
      <w:r w:rsidR="001314E3">
        <w:t xml:space="preserve">foreign policy </w:t>
      </w:r>
      <w:r>
        <w:t>has become unpredictable</w:t>
      </w:r>
      <w:r w:rsidR="004B5907">
        <w:t>,</w:t>
      </w:r>
      <w:r w:rsidR="001314E3">
        <w:t xml:space="preserve"> leaving the</w:t>
      </w:r>
      <w:r>
        <w:t xml:space="preserve"> </w:t>
      </w:r>
      <w:r w:rsidR="00E34F56">
        <w:t xml:space="preserve">UK </w:t>
      </w:r>
      <w:r>
        <w:t xml:space="preserve">government to </w:t>
      </w:r>
      <w:r w:rsidR="00A00087">
        <w:t xml:space="preserve">try to </w:t>
      </w:r>
      <w:r>
        <w:t xml:space="preserve">build bridges with the European Union and </w:t>
      </w:r>
      <w:r w:rsidR="00340798">
        <w:t>pursue common goals in areas such as defence.</w:t>
      </w:r>
    </w:p>
    <w:p w14:paraId="157D7D22" w14:textId="7C197725" w:rsidR="00340798" w:rsidRDefault="002B51F1" w:rsidP="006A24E7">
      <w:r>
        <w:t>T</w:t>
      </w:r>
      <w:r w:rsidR="00D2295F">
        <w:t>he UK has also intimated that it would like to discuss a closer trading relationship with the EU</w:t>
      </w:r>
      <w:r w:rsidR="001F63FC">
        <w:t xml:space="preserve">. But </w:t>
      </w:r>
      <w:r w:rsidR="00ED3EFB">
        <w:t xml:space="preserve">for </w:t>
      </w:r>
      <w:r w:rsidR="001F63FC">
        <w:t>the foreseeable future, any deals are likely to be relatively small, such as a youth mobility scheme and a veterinary deal to try and reduce regulatory checks on agricultural and food products. A</w:t>
      </w:r>
      <w:r w:rsidR="00D2295F">
        <w:t xml:space="preserve"> </w:t>
      </w:r>
      <w:r w:rsidR="001F63FC">
        <w:t xml:space="preserve">more </w:t>
      </w:r>
      <w:r w:rsidR="00D2295F">
        <w:t>meaningful reduction in trade barriers</w:t>
      </w:r>
      <w:r w:rsidR="001F63FC">
        <w:t xml:space="preserve"> would only be possible via membership of the single market or forming a customs union with the EU</w:t>
      </w:r>
      <w:r w:rsidR="00404CC4">
        <w:t>. N</w:t>
      </w:r>
      <w:r w:rsidR="001F63FC">
        <w:t>either option looks realistic anytime soon</w:t>
      </w:r>
      <w:r w:rsidR="00404CC4">
        <w:t>, particularly</w:t>
      </w:r>
      <w:r w:rsidR="003F4BE1">
        <w:t xml:space="preserve"> </w:t>
      </w:r>
      <w:r w:rsidR="004B5907">
        <w:t xml:space="preserve">with </w:t>
      </w:r>
      <w:r w:rsidR="003F4BE1">
        <w:t xml:space="preserve">the </w:t>
      </w:r>
      <w:r w:rsidR="00C11EB9">
        <w:t>unpopularity</w:t>
      </w:r>
      <w:r w:rsidR="003F4BE1">
        <w:t xml:space="preserve"> of the government and </w:t>
      </w:r>
      <w:r w:rsidR="00404CC4">
        <w:t>the str</w:t>
      </w:r>
      <w:r w:rsidR="004B5907">
        <w:t>ong resistance</w:t>
      </w:r>
      <w:r w:rsidR="00404CC4">
        <w:t xml:space="preserve"> to a closer UK-EU relationship among right-wing opposition parties</w:t>
      </w:r>
      <w:r w:rsidR="00D2295F">
        <w:t>.</w:t>
      </w:r>
    </w:p>
    <w:p w14:paraId="1D93257F" w14:textId="49E15649" w:rsidR="0012284D" w:rsidRPr="0012284D" w:rsidRDefault="00416077" w:rsidP="006C7744">
      <w:pPr>
        <w:pStyle w:val="Heading3"/>
      </w:pPr>
      <w:r>
        <w:t xml:space="preserve">Q4: </w:t>
      </w:r>
      <w:r w:rsidR="0012284D" w:rsidRPr="0012284D">
        <w:t xml:space="preserve">What things could be done to improve the </w:t>
      </w:r>
      <w:r w:rsidR="001314E3">
        <w:t xml:space="preserve">UK's economic </w:t>
      </w:r>
      <w:r w:rsidR="0012284D" w:rsidRPr="0012284D">
        <w:t>situation?</w:t>
      </w:r>
    </w:p>
    <w:p w14:paraId="7ABA5FE7" w14:textId="7FE989D8" w:rsidR="006057F0" w:rsidRDefault="0069218F" w:rsidP="0012284D">
      <w:r>
        <w:t>In the near</w:t>
      </w:r>
      <w:r w:rsidR="004B5907">
        <w:t xml:space="preserve"> </w:t>
      </w:r>
      <w:r>
        <w:t xml:space="preserve">term, a more credible approach to fiscal policy would bolster financial market confidence and </w:t>
      </w:r>
      <w:r w:rsidR="004F7DAF">
        <w:t>improve the chances that the consolidation is successful. Such a plan would involve reducing the reliance on tax rises and showing greater spending restraint, with a push to improve public</w:t>
      </w:r>
      <w:r w:rsidR="004B5907">
        <w:t>-</w:t>
      </w:r>
      <w:r w:rsidR="004F7DAF">
        <w:t>sector productivity being crucial</w:t>
      </w:r>
      <w:r w:rsidR="00FA1A43">
        <w:t xml:space="preserve"> to lowering spending</w:t>
      </w:r>
      <w:r w:rsidR="004F7DAF">
        <w:t>.</w:t>
      </w:r>
    </w:p>
    <w:p w14:paraId="6344764D" w14:textId="475C5A46" w:rsidR="004F7DAF" w:rsidRDefault="00F25419" w:rsidP="0012284D">
      <w:r>
        <w:t xml:space="preserve">The government came to power promising a focus on improving economic growth. But we've been underwhelmed by the policies announced so far, and would advocate a renewed focus on this issue. We've previously laid out </w:t>
      </w:r>
      <w:hyperlink r:id="rId19" w:history="1">
        <w:r w:rsidRPr="00F25419">
          <w:rPr>
            <w:rStyle w:val="Hyperlink"/>
          </w:rPr>
          <w:t>our plan for growth</w:t>
        </w:r>
      </w:hyperlink>
      <w:r>
        <w:t xml:space="preserve"> and </w:t>
      </w:r>
      <w:r w:rsidR="004045D1">
        <w:t>highlight</w:t>
      </w:r>
      <w:r>
        <w:t xml:space="preserve"> two </w:t>
      </w:r>
      <w:r w:rsidR="004045D1">
        <w:t>of our recommendations as having the potential to improve the situation.</w:t>
      </w:r>
    </w:p>
    <w:p w14:paraId="056A1497" w14:textId="455ACB20" w:rsidR="004045D1" w:rsidRDefault="004045D1" w:rsidP="0012284D">
      <w:r>
        <w:t>First, we think there should be more support for investment in intangible assets, such as software, databases</w:t>
      </w:r>
      <w:r w:rsidR="004B5907">
        <w:t>,</w:t>
      </w:r>
      <w:r>
        <w:t xml:space="preserve"> and research. Investment in intangibles is a key driver of productivity growth but the UK lags well behind the global leaders, </w:t>
      </w:r>
      <w:r w:rsidR="004B5907">
        <w:t xml:space="preserve">the </w:t>
      </w:r>
      <w:r>
        <w:t xml:space="preserve">US and Japan. Financing issues are a key constraint, and an obvious solution would be to extend the UK's generous capital allowances for plant and machinery to include </w:t>
      </w:r>
      <w:r>
        <w:lastRenderedPageBreak/>
        <w:t>intangibles, reducing the upfront cost of investment.</w:t>
      </w:r>
      <w:r w:rsidR="002D0A71">
        <w:t xml:space="preserve"> So far, the UK has been left behind in the race to benefit from advances in AI, but </w:t>
      </w:r>
      <w:r w:rsidR="00B25D73">
        <w:t>encouraging stronger investment could help make up for lost time</w:t>
      </w:r>
      <w:r w:rsidR="002D0A71">
        <w:t>.</w:t>
      </w:r>
    </w:p>
    <w:p w14:paraId="75EB1B16" w14:textId="1BC49DD9" w:rsidR="004045D1" w:rsidRDefault="004045D1" w:rsidP="0012284D">
      <w:r>
        <w:t xml:space="preserve">Second, </w:t>
      </w:r>
      <w:r w:rsidR="00A00087">
        <w:t>r</w:t>
      </w:r>
      <w:r>
        <w:t xml:space="preserve">eforms to boost </w:t>
      </w:r>
      <w:r w:rsidR="007F40CF">
        <w:t xml:space="preserve">labour </w:t>
      </w:r>
      <w:r>
        <w:t>participation</w:t>
      </w:r>
      <w:r w:rsidR="001314E3">
        <w:t xml:space="preserve"> are needed</w:t>
      </w:r>
      <w:r>
        <w:t xml:space="preserve">. </w:t>
      </w:r>
      <w:r w:rsidR="001314E3">
        <w:t xml:space="preserve">Options </w:t>
      </w:r>
      <w:r>
        <w:t>include:</w:t>
      </w:r>
    </w:p>
    <w:p w14:paraId="2F7ECFD3" w14:textId="4237A629" w:rsidR="004045D1" w:rsidRDefault="00EA169F" w:rsidP="004045D1">
      <w:pPr>
        <w:pStyle w:val="BodyBullet"/>
      </w:pPr>
      <w:r w:rsidRPr="00146ACA">
        <w:rPr>
          <w:b/>
          <w:color w:val="003469"/>
        </w:rPr>
        <w:t xml:space="preserve">Additional </w:t>
      </w:r>
      <w:r w:rsidR="004045D1" w:rsidRPr="00146ACA">
        <w:rPr>
          <w:b/>
          <w:color w:val="003469"/>
        </w:rPr>
        <w:t xml:space="preserve">support for childcare costs, which are </w:t>
      </w:r>
      <w:r w:rsidR="004B5907" w:rsidRPr="00146ACA">
        <w:rPr>
          <w:b/>
          <w:color w:val="003469"/>
        </w:rPr>
        <w:t xml:space="preserve">quite </w:t>
      </w:r>
      <w:r w:rsidR="004045D1" w:rsidRPr="00146ACA">
        <w:rPr>
          <w:b/>
          <w:color w:val="003469"/>
        </w:rPr>
        <w:t>high by European standards</w:t>
      </w:r>
      <w:r w:rsidR="001F6CBA" w:rsidRPr="00146ACA">
        <w:rPr>
          <w:b/>
        </w:rPr>
        <w:t>.</w:t>
      </w:r>
      <w:r w:rsidR="001F6CBA">
        <w:t xml:space="preserve"> This would help to lift female participation rates</w:t>
      </w:r>
      <w:r w:rsidR="00A67114">
        <w:t xml:space="preserve">, which </w:t>
      </w:r>
      <w:r w:rsidR="00F26857">
        <w:t xml:space="preserve">for the 25-59 age groups </w:t>
      </w:r>
      <w:r w:rsidR="00A67114">
        <w:t>in the UK are currently around 5ppts lower than th</w:t>
      </w:r>
      <w:r w:rsidR="00F26857">
        <w:t>ose of countries</w:t>
      </w:r>
      <w:r w:rsidR="004B5907">
        <w:t>,</w:t>
      </w:r>
      <w:r w:rsidR="00F26857">
        <w:t xml:space="preserve"> like Austria, Denmark, and France</w:t>
      </w:r>
      <w:r w:rsidR="004B5907">
        <w:t>,</w:t>
      </w:r>
      <w:r w:rsidR="00F26857">
        <w:t xml:space="preserve"> that have much lower childcare costs</w:t>
      </w:r>
      <w:r w:rsidR="001F6CBA">
        <w:t>.</w:t>
      </w:r>
    </w:p>
    <w:p w14:paraId="5124B51D" w14:textId="247BA8E1" w:rsidR="004045D1" w:rsidRDefault="004045D1" w:rsidP="004045D1">
      <w:pPr>
        <w:pStyle w:val="BodyBullet"/>
      </w:pPr>
      <w:r w:rsidRPr="00146ACA">
        <w:rPr>
          <w:b/>
          <w:color w:val="003469"/>
        </w:rPr>
        <w:t>More emphasis on getting people</w:t>
      </w:r>
      <w:r w:rsidR="00EA169F" w:rsidRPr="00146ACA">
        <w:rPr>
          <w:b/>
          <w:color w:val="003469"/>
        </w:rPr>
        <w:t>, where possible,</w:t>
      </w:r>
      <w:r w:rsidRPr="00146ACA">
        <w:rPr>
          <w:b/>
          <w:color w:val="003469"/>
        </w:rPr>
        <w:t xml:space="preserve"> off incapacity benefits and into work.</w:t>
      </w:r>
      <w:r w:rsidRPr="00146ACA">
        <w:rPr>
          <w:b/>
        </w:rPr>
        <w:t xml:space="preserve"> </w:t>
      </w:r>
      <w:r>
        <w:t>Levels of inactivity due to illness or incapacity are far higher in the UK than elsewhere in Europe.</w:t>
      </w:r>
      <w:r w:rsidR="00535160">
        <w:t xml:space="preserve"> Inflows into incapacity benefits have been high and the number coming off these benefits and back into work </w:t>
      </w:r>
      <w:r w:rsidR="004B5907">
        <w:t xml:space="preserve">are </w:t>
      </w:r>
      <w:r w:rsidR="00535160">
        <w:t xml:space="preserve">low. Solutions should focus on ensuring </w:t>
      </w:r>
      <w:r w:rsidR="004B5907">
        <w:t xml:space="preserve">that </w:t>
      </w:r>
      <w:r w:rsidR="00535160">
        <w:t xml:space="preserve">those with long-term conditions can remain in work and on improving pathways into work for those on </w:t>
      </w:r>
      <w:r w:rsidR="00107833">
        <w:t>benefits</w:t>
      </w:r>
      <w:r w:rsidR="00535160">
        <w:t>.</w:t>
      </w:r>
    </w:p>
    <w:p w14:paraId="6C991D2E" w14:textId="1CFCE9B8" w:rsidR="004045D1" w:rsidRDefault="004045D1" w:rsidP="004045D1">
      <w:pPr>
        <w:pStyle w:val="BodyBullet"/>
      </w:pPr>
      <w:r w:rsidRPr="00146ACA">
        <w:rPr>
          <w:b/>
          <w:color w:val="003469"/>
        </w:rPr>
        <w:t>More support for older workers.</w:t>
      </w:r>
      <w:r>
        <w:t xml:space="preserve"> With </w:t>
      </w:r>
      <w:r w:rsidR="004B5907">
        <w:t xml:space="preserve">an ageing </w:t>
      </w:r>
      <w:r>
        <w:t xml:space="preserve">population, the extent to which older people stay in the workforce is a key </w:t>
      </w:r>
      <w:r w:rsidR="00147464">
        <w:t>driver</w:t>
      </w:r>
      <w:r>
        <w:t xml:space="preserve"> of labour supply. The over</w:t>
      </w:r>
      <w:r w:rsidR="004B5907">
        <w:t>-</w:t>
      </w:r>
      <w:r>
        <w:t xml:space="preserve">65 employment rate is much lower </w:t>
      </w:r>
      <w:r w:rsidR="00107833">
        <w:t xml:space="preserve">in the UK than </w:t>
      </w:r>
      <w:r w:rsidR="00D243BD">
        <w:t xml:space="preserve">in </w:t>
      </w:r>
      <w:r w:rsidR="00107833">
        <w:t xml:space="preserve">most </w:t>
      </w:r>
      <w:r w:rsidR="00F26857">
        <w:t>other advanced economies</w:t>
      </w:r>
      <w:r w:rsidR="00107833">
        <w:t xml:space="preserve">. A package of measures to incentivise older workers to remain in the labour force would help in this respect, with </w:t>
      </w:r>
      <w:hyperlink r:id="rId20" w:anchor="b49D0226b2764dC58A169d:UKAplanforgrowth-nex:InaUKplanforgrowthwh:3.AHartzreformpackag" w:history="1">
        <w:r w:rsidR="00107833" w:rsidRPr="00107833">
          <w:rPr>
            <w:rStyle w:val="Hyperlink"/>
          </w:rPr>
          <w:t>measures undertaken by New Zealand</w:t>
        </w:r>
      </w:hyperlink>
      <w:r w:rsidR="00107833">
        <w:t xml:space="preserve"> a good template to follow.</w:t>
      </w:r>
    </w:p>
    <w:p w14:paraId="73C9E4F7" w14:textId="414D2254" w:rsidR="000C3FB7" w:rsidRPr="000C3FB7" w:rsidRDefault="00416077" w:rsidP="006C7744">
      <w:pPr>
        <w:pStyle w:val="Heading3"/>
      </w:pPr>
      <w:r>
        <w:t xml:space="preserve">Q5: </w:t>
      </w:r>
      <w:r w:rsidR="000C3FB7" w:rsidRPr="000C3FB7">
        <w:t>Would it help the government in the UK to go back to quarterly GDP?</w:t>
      </w:r>
    </w:p>
    <w:p w14:paraId="4E8B2CC0" w14:textId="74477B6B" w:rsidR="000C3FB7" w:rsidRDefault="00CF3AC6" w:rsidP="000C3FB7">
      <w:r>
        <w:t xml:space="preserve">Monthly GDP data is </w:t>
      </w:r>
      <w:r w:rsidR="004B5907">
        <w:t xml:space="preserve">extremely </w:t>
      </w:r>
      <w:r>
        <w:t xml:space="preserve">volatile. The Office for National Statistics </w:t>
      </w:r>
      <w:hyperlink r:id="rId21" w:history="1">
        <w:r w:rsidRPr="00CF3AC6">
          <w:rPr>
            <w:rStyle w:val="Hyperlink"/>
          </w:rPr>
          <w:t>recently acknowledged</w:t>
        </w:r>
      </w:hyperlink>
      <w:r>
        <w:t xml:space="preserve"> this can lead to users misinterpreting the key messages, and its solution has been to prioritise the three-months-on-three-months change in its commentary.</w:t>
      </w:r>
    </w:p>
    <w:p w14:paraId="4A356E32" w14:textId="5E3F53D9" w:rsidR="00CF3AC6" w:rsidRDefault="00CF3AC6" w:rsidP="000C3FB7">
      <w:r>
        <w:t>Our bigge</w:t>
      </w:r>
      <w:r w:rsidR="006171B5">
        <w:t>r</w:t>
      </w:r>
      <w:r>
        <w:t xml:space="preserve"> concern with the monthly GDP series remains the question of residual seasonality. Since the pandemic</w:t>
      </w:r>
      <w:r w:rsidR="000F3C49">
        <w:t>,</w:t>
      </w:r>
      <w:r>
        <w:t xml:space="preserve"> there's been a clear pattern where years get off to a strong start but momentum </w:t>
      </w:r>
      <w:r w:rsidR="00520FB0">
        <w:t>fades</w:t>
      </w:r>
      <w:r>
        <w:t xml:space="preserve"> in Q2 and Q3 before another rally </w:t>
      </w:r>
      <w:r w:rsidR="000F3C49">
        <w:t xml:space="preserve">appears </w:t>
      </w:r>
      <w:r>
        <w:t>towards the end of the year. Data for the first 11 months of 2025 follows that pattern closely</w:t>
      </w:r>
      <w:r w:rsidR="000A01E5">
        <w:t xml:space="preserve"> </w:t>
      </w:r>
      <w:r>
        <w:t>(</w:t>
      </w:r>
      <w:r w:rsidR="00DA4E7C" w:rsidRPr="00B243C3">
        <w:rPr>
          <w:b/>
          <w:color w:val="003469"/>
        </w:rPr>
        <w:fldChar w:fldCharType="begin"/>
      </w:r>
      <w:r w:rsidR="00B243C3" w:rsidRPr="00B243C3">
        <w:rPr>
          <w:b/>
          <w:color w:val="003469"/>
        </w:rPr>
        <w:instrText xml:space="preserve">REF _Ref220938729 \h \* Charformat </w:instrText>
      </w:r>
      <w:r w:rsidR="00B243C3" w:rsidRPr="00B243C3">
        <w:rPr>
          <w:b/>
          <w:color w:val="003469"/>
        </w:rPr>
      </w:r>
      <w:r w:rsidR="00DA4E7C" w:rsidRPr="00B243C3">
        <w:rPr>
          <w:b/>
          <w:color w:val="003469"/>
        </w:rPr>
        <w:fldChar w:fldCharType="separate"/>
      </w:r>
      <w:r w:rsidR="00B243C3" w:rsidRPr="00B243C3">
        <w:rPr>
          <w:b/>
          <w:color w:val="003469"/>
        </w:rPr>
        <w:t>Chart 3</w:t>
      </w:r>
      <w:r w:rsidR="00DA4E7C" w:rsidRPr="00B243C3">
        <w:rPr>
          <w:b/>
          <w:color w:val="003469"/>
        </w:rPr>
        <w:fldChar w:fldCharType="end"/>
      </w:r>
      <w:r>
        <w:t>).</w:t>
      </w:r>
      <w:r w:rsidR="003F52F2">
        <w:t xml:space="preserve"> So far, the ONS has denied there's a problem, but this is happening so regularly that it's increasingly hard to argue it's a coincidence</w:t>
      </w:r>
      <w:r w:rsidR="000F3C49">
        <w:t>.</w:t>
      </w:r>
    </w:p>
    <w:p w14:paraId="32A1A170" w14:textId="4F0F7DE3" w:rsidR="006A24E7" w:rsidRDefault="006A24E7" w:rsidP="006C7744">
      <w:pPr>
        <w:pStyle w:val="ExhibitTitle"/>
      </w:pPr>
      <w:bookmarkStart w:id="2" w:name="_Ref220938729"/>
      <w:r>
        <w:t xml:space="preserve">Chart </w:t>
      </w:r>
      <w:r>
        <w:fldChar w:fldCharType="begin"/>
      </w:r>
      <w:r w:rsidR="00DA4E7C">
        <w:instrText>SEQ CHART</w:instrText>
      </w:r>
      <w:r>
        <w:fldChar w:fldCharType="separate"/>
      </w:r>
      <w:r w:rsidR="00DA4E7C">
        <w:rPr>
          <w:noProof/>
        </w:rPr>
        <w:t>3</w:t>
      </w:r>
      <w:r>
        <w:fldChar w:fldCharType="end"/>
      </w:r>
      <w:bookmarkEnd w:id="2"/>
      <w:r>
        <w:t xml:space="preserve">: </w:t>
      </w:r>
      <w:r w:rsidR="00CF3AC6">
        <w:t>We think monthly GDP data shows evidence of residual seasonality</w:t>
      </w:r>
    </w:p>
    <w:p w14:paraId="03EAB0A0" w14:textId="0DA70DA9" w:rsidR="001B4891" w:rsidRDefault="001B4891" w:rsidP="006C7744">
      <w:pPr>
        <w:spacing w:after="0"/>
      </w:pPr>
      <w:r>
        <w:rPr>
          <w:noProof/>
        </w:rPr>
        <w:drawing>
          <wp:inline distT="0" distB="0" distL="0" distR="0" wp14:anchorId="5CC3B707" wp14:editId="05416B18">
            <wp:extent cx="3250933" cy="2528499"/>
            <wp:effectExtent l="0" t="0" r="6985" b="5715"/>
            <wp:docPr id="99250075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00759" name=""/>
                    <pic:cNvPicPr/>
                  </pic:nvPicPr>
                  <pic:blipFill>
                    <a:blip r:embed="rId22">
                      <a:extLst>
                        <a:ext uri="{96DAC541-7B7A-43D3-8B79-37D633B846F1}">
                          <asvg:svgBlip xmlns:asvg="http://schemas.microsoft.com/office/drawing/2016/SVG/main" r:embed="rId23"/>
                        </a:ext>
                      </a:extLst>
                    </a:blip>
                    <a:srcRect b="2699"/>
                    <a:stretch>
                      <a:fillRect/>
                    </a:stretch>
                  </pic:blipFill>
                  <pic:spPr>
                    <a:xfrm>
                      <a:off x="0" y="0"/>
                      <a:ext cx="3250933" cy="2528499"/>
                    </a:xfrm>
                    <a:prstGeom prst="rect">
                      <a:avLst/>
                    </a:prstGeom>
                  </pic:spPr>
                </pic:pic>
              </a:graphicData>
            </a:graphic>
          </wp:inline>
        </w:drawing>
      </w:r>
    </w:p>
    <w:p w14:paraId="4A759DB6" w14:textId="3F9B3569" w:rsidR="006A24E7" w:rsidRDefault="001B4891" w:rsidP="006C7744">
      <w:pPr>
        <w:pStyle w:val="ExhibitSource"/>
      </w:pPr>
      <w:r>
        <w:t>Source: Haver Analytics</w:t>
      </w:r>
    </w:p>
    <w:p w14:paraId="694354F2" w14:textId="52DED7F4" w:rsidR="000C3FB7" w:rsidRPr="000C3FB7" w:rsidRDefault="00416077" w:rsidP="006C7744">
      <w:pPr>
        <w:pStyle w:val="Heading3"/>
      </w:pPr>
      <w:r>
        <w:t xml:space="preserve">Q6: </w:t>
      </w:r>
      <w:r w:rsidR="000C3FB7" w:rsidRPr="000C3FB7">
        <w:t>Are there any notable upside risks?</w:t>
      </w:r>
    </w:p>
    <w:p w14:paraId="6135806C" w14:textId="2E7800BA" w:rsidR="006057F0" w:rsidRDefault="006A7752" w:rsidP="000C3FB7">
      <w:r>
        <w:t xml:space="preserve">Our baseline forecast shows a continuation of </w:t>
      </w:r>
      <w:r w:rsidR="000F3C49">
        <w:t xml:space="preserve">the </w:t>
      </w:r>
      <w:r>
        <w:t xml:space="preserve">recent sluggish </w:t>
      </w:r>
      <w:r w:rsidR="00003E2D">
        <w:t xml:space="preserve">UK </w:t>
      </w:r>
      <w:r>
        <w:t>growth rates, with tight policy settings weighing on activity in the near</w:t>
      </w:r>
      <w:r w:rsidR="000F3C49">
        <w:t xml:space="preserve"> </w:t>
      </w:r>
      <w:r>
        <w:t>term, and a combination of an ageing population and weak productivity growth undermining longer-term prospects. We view the risks to both parts of the forecast as being skewed to the downside.</w:t>
      </w:r>
    </w:p>
    <w:p w14:paraId="728B3828" w14:textId="02C2BEAB" w:rsidR="00EF4660" w:rsidRDefault="00003E2D" w:rsidP="00660681">
      <w:r>
        <w:lastRenderedPageBreak/>
        <w:t>In the near</w:t>
      </w:r>
      <w:r w:rsidR="000F3C49">
        <w:t xml:space="preserve"> </w:t>
      </w:r>
      <w:r>
        <w:t xml:space="preserve">term, </w:t>
      </w:r>
      <w:r w:rsidR="00212926">
        <w:t xml:space="preserve">a potential upside risk is a quicker normalisation of household saving rates. Households have been saving </w:t>
      </w:r>
      <w:r w:rsidR="00A00087">
        <w:t xml:space="preserve">more than </w:t>
      </w:r>
      <w:r w:rsidR="00212926">
        <w:t xml:space="preserve">normal in recent years and showing relatively weak demand for credit. Our baseline forecast assumes this behaviour normalises very slowly, but a more rapid return to lower savings rates could yield a stronger boost to growth. </w:t>
      </w:r>
    </w:p>
    <w:p w14:paraId="42E49D38" w14:textId="203362A9" w:rsidR="000C3FB7" w:rsidRDefault="00212926" w:rsidP="00660681">
      <w:r>
        <w:t>A</w:t>
      </w:r>
      <w:r w:rsidR="00003E2D">
        <w:t xml:space="preserve"> </w:t>
      </w:r>
      <w:hyperlink r:id="rId24" w:history="1">
        <w:r w:rsidR="00003E2D" w:rsidRPr="00E25BFD">
          <w:rPr>
            <w:rStyle w:val="Hyperlink"/>
          </w:rPr>
          <w:t xml:space="preserve">continuation of the </w:t>
        </w:r>
        <w:r w:rsidR="00DD5FBA">
          <w:rPr>
            <w:rStyle w:val="Hyperlink"/>
          </w:rPr>
          <w:t xml:space="preserve">global </w:t>
        </w:r>
        <w:r w:rsidR="00003E2D" w:rsidRPr="00E25BFD">
          <w:rPr>
            <w:rStyle w:val="Hyperlink"/>
          </w:rPr>
          <w:t>AI boom</w:t>
        </w:r>
      </w:hyperlink>
      <w:r w:rsidR="00003E2D">
        <w:t xml:space="preserve"> </w:t>
      </w:r>
      <w:r>
        <w:t>is another</w:t>
      </w:r>
      <w:r w:rsidR="00003E2D">
        <w:t xml:space="preserve"> upside risk</w:t>
      </w:r>
      <w:r>
        <w:t xml:space="preserve">. </w:t>
      </w:r>
      <w:r w:rsidR="003C3D56">
        <w:t>Higher</w:t>
      </w:r>
      <w:r w:rsidR="00E25BFD">
        <w:t xml:space="preserve"> tech investment and a further strengthening in tech stocks would primarily benefit the US. But we would also expect to see positive spillovers to other countries via stronger US demand, wealth effects, and faster AI adoption boosting productivity growth.</w:t>
      </w:r>
    </w:p>
    <w:p w14:paraId="1CD8C82C" w14:textId="5759685C" w:rsidR="00E25BFD" w:rsidRDefault="008E64CE" w:rsidP="00660681">
      <w:r>
        <w:t xml:space="preserve">Looking further out, </w:t>
      </w:r>
      <w:hyperlink r:id="rId25" w:history="1">
        <w:r w:rsidRPr="00D92767">
          <w:rPr>
            <w:rStyle w:val="Hyperlink"/>
          </w:rPr>
          <w:t>our Megatrends Scenarios</w:t>
        </w:r>
      </w:hyperlink>
      <w:r>
        <w:t xml:space="preserve"> identif</w:t>
      </w:r>
      <w:r w:rsidR="00367A71">
        <w:t>y</w:t>
      </w:r>
      <w:r>
        <w:t xml:space="preserve"> a technological revolution scenario as the key upside risk. </w:t>
      </w:r>
      <w:r w:rsidR="00D92767" w:rsidRPr="00D92767">
        <w:t>In this scenario, trade barriers are eased over the next decade, fostered by greater cooperation. Productivity growth strengthens amid a more stable business environment, stronger technological progress, and higher fertility rates, compared to our baseline. A virtuous circle of economic growth drives rising living standards and improved financial stability</w:t>
      </w:r>
      <w:r w:rsidR="00D92767">
        <w:t xml:space="preserve">. </w:t>
      </w:r>
      <w:r w:rsidR="00D92767" w:rsidRPr="00D92767">
        <w:t xml:space="preserve">Nominal and real interest rates </w:t>
      </w:r>
      <w:r w:rsidR="00D92767">
        <w:t xml:space="preserve">would </w:t>
      </w:r>
      <w:r w:rsidR="00D92767" w:rsidRPr="00D92767">
        <w:t>also rise</w:t>
      </w:r>
      <w:r w:rsidR="00D92767">
        <w:t xml:space="preserve"> in this scenario.</w:t>
      </w:r>
    </w:p>
    <w:sectPr w:rsidR="00E25BFD" w:rsidSect="006F6C32">
      <w:pgSz w:w="11906" w:h="16838"/>
      <w:pgMar w:top="1417" w:right="1276" w:bottom="95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C7D77" w14:textId="77777777" w:rsidR="008C5A1D" w:rsidRDefault="008C5A1D" w:rsidP="000C3FB7">
      <w:pPr>
        <w:spacing w:before="0" w:after="0"/>
      </w:pPr>
      <w:r>
        <w:separator/>
      </w:r>
    </w:p>
  </w:endnote>
  <w:endnote w:type="continuationSeparator" w:id="0">
    <w:p w14:paraId="24219E92" w14:textId="77777777" w:rsidR="008C5A1D" w:rsidRDefault="008C5A1D" w:rsidP="000C3FB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03BD" w14:textId="36FE73CC" w:rsidR="000C3FB7" w:rsidRPr="000C3FB7" w:rsidRDefault="000C3FB7" w:rsidP="000C3FB7">
    <w:pPr>
      <w:pStyle w:val="RepeatingFooter"/>
      <w:tabs>
        <w:tab w:val="clear" w:pos="4320"/>
        <w:tab w:val="center" w:pos="3685"/>
      </w:tabs>
    </w:pPr>
    <w:r>
      <w:t xml:space="preserve">Page </w:t>
    </w:r>
    <w:r>
      <w:fldChar w:fldCharType="begin"/>
    </w:r>
    <w:r>
      <w:instrText xml:space="preserve"> PAGE </w:instrText>
    </w:r>
    <w:r>
      <w:fldChar w:fldCharType="separate"/>
    </w:r>
    <w:r>
      <w:rPr>
        <w:noProof/>
      </w:rPr>
      <w:t>3</w:t>
    </w:r>
    <w:r>
      <w:fldChar w:fldCharType="end"/>
    </w:r>
    <w:r>
      <w:tab/>
      <w:t>Andrew Goodwin - agoodwin@oxfordeconomics.com</w:t>
    </w:r>
    <w:r w:rsidRPr="000C3FB7">
      <w:rPr>
        <w:noProof/>
      </w:rPr>
      <w:drawing>
        <wp:anchor distT="0" distB="0" distL="114300" distR="114300" simplePos="0" relativeHeight="251661312" behindDoc="0" locked="0" layoutInCell="1" allowOverlap="1" wp14:anchorId="5AAD22F3" wp14:editId="3F22B186">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0C84" w14:textId="353CD503" w:rsidR="000C3FB7" w:rsidRDefault="000C3FB7" w:rsidP="000C3FB7">
    <w:pPr>
      <w:pStyle w:val="Author"/>
    </w:pPr>
    <w:r>
      <w:t>Andrew Goodwin</w:t>
    </w:r>
    <w:r w:rsidR="006C7744">
      <w:t xml:space="preserve"> - </w:t>
    </w:r>
    <w:r>
      <w:t>Chief UK Economist</w:t>
    </w:r>
    <w:r w:rsidR="006C7744">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C499" w14:textId="77777777" w:rsidR="008C5A1D" w:rsidRDefault="008C5A1D" w:rsidP="000C3FB7">
      <w:pPr>
        <w:spacing w:before="0" w:after="0"/>
      </w:pPr>
      <w:r>
        <w:separator/>
      </w:r>
    </w:p>
  </w:footnote>
  <w:footnote w:type="continuationSeparator" w:id="0">
    <w:p w14:paraId="68D2F5E9" w14:textId="77777777" w:rsidR="008C5A1D" w:rsidRDefault="008C5A1D" w:rsidP="000C3FB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2DB" w14:textId="77777777" w:rsidR="000C3FB7" w:rsidRDefault="000C3FB7">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3742" w14:textId="668CE507" w:rsidR="000C3FB7" w:rsidRDefault="000C3FB7" w:rsidP="000C3FB7">
    <w:pPr>
      <w:pStyle w:val="Headline"/>
      <w:spacing w:before="120"/>
      <w:ind w:right="-1000"/>
    </w:pPr>
    <w:r w:rsidRPr="000C3FB7">
      <w:rPr>
        <w:noProof/>
      </w:rPr>
      <w:drawing>
        <wp:anchor distT="0" distB="0" distL="114300" distR="114300" simplePos="0" relativeHeight="251657214" behindDoc="1" locked="1" layoutInCell="1" allowOverlap="1" wp14:anchorId="4BA567CA" wp14:editId="4CA12312">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416077" w:rsidRPr="00416077">
      <w:t xml:space="preserve">Forecasters' </w:t>
    </w:r>
    <w:r w:rsidR="00671386">
      <w:t>M</w:t>
    </w:r>
    <w:r w:rsidR="00416077" w:rsidRPr="00416077">
      <w:t>ailbag – Questions from our conference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594F" w14:textId="2F270FC4" w:rsidR="000C3FB7" w:rsidRPr="000C3FB7" w:rsidRDefault="000C3FB7" w:rsidP="000C3FB7">
    <w:pPr>
      <w:rPr>
        <w:sz w:val="4"/>
      </w:rPr>
    </w:pPr>
    <w:r w:rsidRPr="000C3FB7">
      <w:rPr>
        <w:noProof/>
        <w:sz w:val="4"/>
      </w:rPr>
      <w:drawing>
        <wp:anchor distT="0" distB="0" distL="114300" distR="114300" simplePos="0" relativeHeight="251658239" behindDoc="1" locked="1" layoutInCell="1" allowOverlap="1" wp14:anchorId="0894AAB2" wp14:editId="42DAEA1C">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0C3FB7">
      <w:rPr>
        <w:noProof/>
        <w:sz w:val="4"/>
      </w:rPr>
      <w:drawing>
        <wp:anchor distT="0" distB="0" distL="114300" distR="114300" simplePos="0" relativeHeight="251659264" behindDoc="1" locked="1" layoutInCell="1" allowOverlap="1" wp14:anchorId="33B9A6E7" wp14:editId="76AEE8D4">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75947612"/>
      <w:lock w:val="sdtLocked"/>
      <w:placeholder>
        <w:docPart w:val="DefaultPlaceholder_-1854013437"/>
      </w:placeholder>
      <w:date w:fullDate="2026-02-04T00:00:00Z">
        <w:dateFormat w:val="d MMMM yyyy"/>
        <w:lid w:val="en-GB"/>
        <w:storeMappedDataAs w:val="dateTime"/>
        <w:calendar w:val="gregorian"/>
      </w:date>
    </w:sdtPr>
    <w:sdtEndPr/>
    <w:sdtContent>
      <w:p w14:paraId="5B611089" w14:textId="0D442CAC" w:rsidR="000C3FB7" w:rsidRPr="000C3FB7" w:rsidRDefault="00444EE7" w:rsidP="000C3FB7">
        <w:pPr>
          <w:pStyle w:val="PublishDate"/>
          <w:framePr w:w="2835" w:h="340" w:hRule="exact" w:hSpace="180" w:wrap="around" w:vAnchor="page" w:hAnchor="page" w:x="7801" w:y="601" w:anchorLock="1"/>
        </w:pPr>
        <w:r>
          <w:t>4 February 2026</w:t>
        </w:r>
      </w:p>
    </w:sdtContent>
  </w:sdt>
  <w:p w14:paraId="60A7BFD3" w14:textId="50DFDBFF" w:rsidR="000C3FB7" w:rsidRDefault="000C3FB7" w:rsidP="000C3FB7">
    <w:pPr>
      <w:pStyle w:val="ProductDescription"/>
      <w:framePr w:w="11339" w:h="1474" w:hRule="exact" w:hSpace="180" w:wrap="around" w:vAnchor="page" w:hAnchor="page" w:x="401" w:y="1141" w:anchorLock="1"/>
      <w:spacing w:after="200"/>
    </w:pPr>
    <w:r>
      <w:t>Research Briefing | UK</w:t>
    </w:r>
  </w:p>
  <w:p w14:paraId="4570628A" w14:textId="067A0DDF" w:rsidR="000C3FB7" w:rsidRDefault="00416077" w:rsidP="000C3FB7">
    <w:pPr>
      <w:pStyle w:val="Headline"/>
      <w:framePr w:w="11339" w:h="1474" w:hRule="exact" w:hSpace="180" w:wrap="around" w:vAnchor="page" w:hAnchor="page" w:x="401" w:y="1141" w:anchorLock="1"/>
      <w:spacing w:line="200" w:lineRule="auto"/>
    </w:pPr>
    <w:r>
      <w:t xml:space="preserve">Forecasters' </w:t>
    </w:r>
    <w:r w:rsidR="00671386">
      <w:t xml:space="preserve">Mailbag </w:t>
    </w:r>
    <w:r>
      <w:t>– Questions from our c</w:t>
    </w:r>
    <w:r w:rsidR="000C3FB7" w:rsidRPr="000C3FB7">
      <w:t>onference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B7"/>
    <w:rsid w:val="000001EB"/>
    <w:rsid w:val="00003BA7"/>
    <w:rsid w:val="00003E2D"/>
    <w:rsid w:val="00014CDD"/>
    <w:rsid w:val="00022761"/>
    <w:rsid w:val="0005491E"/>
    <w:rsid w:val="000759F5"/>
    <w:rsid w:val="000760CE"/>
    <w:rsid w:val="000A01E5"/>
    <w:rsid w:val="000B14EE"/>
    <w:rsid w:val="000B202D"/>
    <w:rsid w:val="000B5049"/>
    <w:rsid w:val="000C0ADF"/>
    <w:rsid w:val="000C3FB7"/>
    <w:rsid w:val="000D3E43"/>
    <w:rsid w:val="000D4624"/>
    <w:rsid w:val="000D6C43"/>
    <w:rsid w:val="000E2BD3"/>
    <w:rsid w:val="000E47BF"/>
    <w:rsid w:val="000F09E5"/>
    <w:rsid w:val="000F3C49"/>
    <w:rsid w:val="000F3F52"/>
    <w:rsid w:val="001018E9"/>
    <w:rsid w:val="00107833"/>
    <w:rsid w:val="00112899"/>
    <w:rsid w:val="00120D7A"/>
    <w:rsid w:val="0012284D"/>
    <w:rsid w:val="00124E58"/>
    <w:rsid w:val="001314E3"/>
    <w:rsid w:val="00146ACA"/>
    <w:rsid w:val="00147464"/>
    <w:rsid w:val="0015077B"/>
    <w:rsid w:val="00160F71"/>
    <w:rsid w:val="0016316B"/>
    <w:rsid w:val="0017078A"/>
    <w:rsid w:val="00172D9A"/>
    <w:rsid w:val="0017455D"/>
    <w:rsid w:val="00180625"/>
    <w:rsid w:val="00190C04"/>
    <w:rsid w:val="00192CDF"/>
    <w:rsid w:val="00195F9A"/>
    <w:rsid w:val="001A1333"/>
    <w:rsid w:val="001A23C2"/>
    <w:rsid w:val="001A5775"/>
    <w:rsid w:val="001A6993"/>
    <w:rsid w:val="001A749F"/>
    <w:rsid w:val="001B2B67"/>
    <w:rsid w:val="001B2C32"/>
    <w:rsid w:val="001B4891"/>
    <w:rsid w:val="001C0914"/>
    <w:rsid w:val="001D4B18"/>
    <w:rsid w:val="001D7057"/>
    <w:rsid w:val="001E0785"/>
    <w:rsid w:val="001E0C4A"/>
    <w:rsid w:val="001F3317"/>
    <w:rsid w:val="001F5624"/>
    <w:rsid w:val="001F63FC"/>
    <w:rsid w:val="001F6CBA"/>
    <w:rsid w:val="00207826"/>
    <w:rsid w:val="00212926"/>
    <w:rsid w:val="00213B29"/>
    <w:rsid w:val="00233E9B"/>
    <w:rsid w:val="00242E5E"/>
    <w:rsid w:val="00261184"/>
    <w:rsid w:val="002615F6"/>
    <w:rsid w:val="00262D94"/>
    <w:rsid w:val="00263E48"/>
    <w:rsid w:val="002745D6"/>
    <w:rsid w:val="00282A8A"/>
    <w:rsid w:val="00286754"/>
    <w:rsid w:val="002912C9"/>
    <w:rsid w:val="0029566B"/>
    <w:rsid w:val="002A308C"/>
    <w:rsid w:val="002B51F1"/>
    <w:rsid w:val="002C1955"/>
    <w:rsid w:val="002D0A71"/>
    <w:rsid w:val="002D0DC9"/>
    <w:rsid w:val="002E0DB7"/>
    <w:rsid w:val="002F68A1"/>
    <w:rsid w:val="003017D9"/>
    <w:rsid w:val="0031169C"/>
    <w:rsid w:val="00316CBE"/>
    <w:rsid w:val="00333B54"/>
    <w:rsid w:val="00340798"/>
    <w:rsid w:val="00360519"/>
    <w:rsid w:val="00367A71"/>
    <w:rsid w:val="00370974"/>
    <w:rsid w:val="00374E02"/>
    <w:rsid w:val="003B0CAB"/>
    <w:rsid w:val="003B1DAA"/>
    <w:rsid w:val="003B715A"/>
    <w:rsid w:val="003C1BB1"/>
    <w:rsid w:val="003C3D56"/>
    <w:rsid w:val="003E54A1"/>
    <w:rsid w:val="003E6816"/>
    <w:rsid w:val="003E7F3C"/>
    <w:rsid w:val="003F0F4E"/>
    <w:rsid w:val="003F4BE1"/>
    <w:rsid w:val="003F52F2"/>
    <w:rsid w:val="0040359C"/>
    <w:rsid w:val="004045D1"/>
    <w:rsid w:val="00404CC4"/>
    <w:rsid w:val="00405A12"/>
    <w:rsid w:val="00405D65"/>
    <w:rsid w:val="00415EE2"/>
    <w:rsid w:val="00416077"/>
    <w:rsid w:val="004258C9"/>
    <w:rsid w:val="00444274"/>
    <w:rsid w:val="00444EE7"/>
    <w:rsid w:val="004458BB"/>
    <w:rsid w:val="004536FD"/>
    <w:rsid w:val="004602D9"/>
    <w:rsid w:val="0046292D"/>
    <w:rsid w:val="00466017"/>
    <w:rsid w:val="004677EA"/>
    <w:rsid w:val="004827E3"/>
    <w:rsid w:val="00494487"/>
    <w:rsid w:val="00495DE7"/>
    <w:rsid w:val="004A2A92"/>
    <w:rsid w:val="004B205A"/>
    <w:rsid w:val="004B4F66"/>
    <w:rsid w:val="004B5907"/>
    <w:rsid w:val="004C7923"/>
    <w:rsid w:val="004D062B"/>
    <w:rsid w:val="004D473F"/>
    <w:rsid w:val="004D5B83"/>
    <w:rsid w:val="004D650E"/>
    <w:rsid w:val="004D6FED"/>
    <w:rsid w:val="004F108F"/>
    <w:rsid w:val="004F5EEA"/>
    <w:rsid w:val="004F7DAF"/>
    <w:rsid w:val="00506D74"/>
    <w:rsid w:val="00516C0A"/>
    <w:rsid w:val="005176F2"/>
    <w:rsid w:val="00520FB0"/>
    <w:rsid w:val="00524103"/>
    <w:rsid w:val="00535160"/>
    <w:rsid w:val="00535C71"/>
    <w:rsid w:val="005363AB"/>
    <w:rsid w:val="005414BA"/>
    <w:rsid w:val="0054280C"/>
    <w:rsid w:val="0054606D"/>
    <w:rsid w:val="005473C6"/>
    <w:rsid w:val="00563FEB"/>
    <w:rsid w:val="00575045"/>
    <w:rsid w:val="00576CB8"/>
    <w:rsid w:val="00592138"/>
    <w:rsid w:val="005A5809"/>
    <w:rsid w:val="005E1F7D"/>
    <w:rsid w:val="005E3678"/>
    <w:rsid w:val="005E404F"/>
    <w:rsid w:val="005F0616"/>
    <w:rsid w:val="005F1791"/>
    <w:rsid w:val="005F7DDF"/>
    <w:rsid w:val="006057F0"/>
    <w:rsid w:val="006125A3"/>
    <w:rsid w:val="006154A2"/>
    <w:rsid w:val="006166EE"/>
    <w:rsid w:val="006171B5"/>
    <w:rsid w:val="00633BE2"/>
    <w:rsid w:val="006540C6"/>
    <w:rsid w:val="00660681"/>
    <w:rsid w:val="0066172C"/>
    <w:rsid w:val="0066208F"/>
    <w:rsid w:val="00671386"/>
    <w:rsid w:val="00671564"/>
    <w:rsid w:val="006739BF"/>
    <w:rsid w:val="0067595A"/>
    <w:rsid w:val="00681BC5"/>
    <w:rsid w:val="0069218F"/>
    <w:rsid w:val="006A1630"/>
    <w:rsid w:val="006A24E7"/>
    <w:rsid w:val="006A676D"/>
    <w:rsid w:val="006A7752"/>
    <w:rsid w:val="006B6D73"/>
    <w:rsid w:val="006B76A5"/>
    <w:rsid w:val="006C1E2B"/>
    <w:rsid w:val="006C7744"/>
    <w:rsid w:val="006C7C06"/>
    <w:rsid w:val="006C7C55"/>
    <w:rsid w:val="006F60F1"/>
    <w:rsid w:val="006F6C32"/>
    <w:rsid w:val="00712192"/>
    <w:rsid w:val="007151EF"/>
    <w:rsid w:val="00716C07"/>
    <w:rsid w:val="0072708E"/>
    <w:rsid w:val="00730E79"/>
    <w:rsid w:val="0074116D"/>
    <w:rsid w:val="00745A74"/>
    <w:rsid w:val="007475D0"/>
    <w:rsid w:val="0076612E"/>
    <w:rsid w:val="00766D29"/>
    <w:rsid w:val="007723AE"/>
    <w:rsid w:val="00794372"/>
    <w:rsid w:val="0079618D"/>
    <w:rsid w:val="007A0F18"/>
    <w:rsid w:val="007B57CD"/>
    <w:rsid w:val="007D283E"/>
    <w:rsid w:val="007E4703"/>
    <w:rsid w:val="007F40CF"/>
    <w:rsid w:val="007F5D5D"/>
    <w:rsid w:val="00803915"/>
    <w:rsid w:val="00847933"/>
    <w:rsid w:val="00855D52"/>
    <w:rsid w:val="00855D68"/>
    <w:rsid w:val="00856EF2"/>
    <w:rsid w:val="0086090E"/>
    <w:rsid w:val="008742FC"/>
    <w:rsid w:val="00874B7C"/>
    <w:rsid w:val="0088455B"/>
    <w:rsid w:val="008A185C"/>
    <w:rsid w:val="008B2889"/>
    <w:rsid w:val="008C5A1D"/>
    <w:rsid w:val="008D4F08"/>
    <w:rsid w:val="008E11F0"/>
    <w:rsid w:val="008E4FD0"/>
    <w:rsid w:val="008E64CE"/>
    <w:rsid w:val="008E721D"/>
    <w:rsid w:val="008F1A70"/>
    <w:rsid w:val="00901863"/>
    <w:rsid w:val="00901A7F"/>
    <w:rsid w:val="009148F6"/>
    <w:rsid w:val="00914983"/>
    <w:rsid w:val="00920D15"/>
    <w:rsid w:val="00933B30"/>
    <w:rsid w:val="00935E93"/>
    <w:rsid w:val="0093788A"/>
    <w:rsid w:val="009404FB"/>
    <w:rsid w:val="009634AC"/>
    <w:rsid w:val="00963AA5"/>
    <w:rsid w:val="00973624"/>
    <w:rsid w:val="00990F8A"/>
    <w:rsid w:val="00995E6B"/>
    <w:rsid w:val="009A59D7"/>
    <w:rsid w:val="009A7F53"/>
    <w:rsid w:val="009B723B"/>
    <w:rsid w:val="009C7C16"/>
    <w:rsid w:val="009D6C5A"/>
    <w:rsid w:val="009E07F1"/>
    <w:rsid w:val="009E5A02"/>
    <w:rsid w:val="009E5F70"/>
    <w:rsid w:val="009F37D1"/>
    <w:rsid w:val="009F3F01"/>
    <w:rsid w:val="009F5F77"/>
    <w:rsid w:val="00A00087"/>
    <w:rsid w:val="00A03E7D"/>
    <w:rsid w:val="00A25234"/>
    <w:rsid w:val="00A3156F"/>
    <w:rsid w:val="00A332D4"/>
    <w:rsid w:val="00A45895"/>
    <w:rsid w:val="00A47B85"/>
    <w:rsid w:val="00A50835"/>
    <w:rsid w:val="00A52669"/>
    <w:rsid w:val="00A54D82"/>
    <w:rsid w:val="00A576A0"/>
    <w:rsid w:val="00A63323"/>
    <w:rsid w:val="00A66B32"/>
    <w:rsid w:val="00A67114"/>
    <w:rsid w:val="00A77085"/>
    <w:rsid w:val="00A9430E"/>
    <w:rsid w:val="00AB24B7"/>
    <w:rsid w:val="00AB538B"/>
    <w:rsid w:val="00AB6B99"/>
    <w:rsid w:val="00AC2054"/>
    <w:rsid w:val="00AD07ED"/>
    <w:rsid w:val="00AE76E6"/>
    <w:rsid w:val="00B04E07"/>
    <w:rsid w:val="00B07686"/>
    <w:rsid w:val="00B16B5A"/>
    <w:rsid w:val="00B243C3"/>
    <w:rsid w:val="00B25D73"/>
    <w:rsid w:val="00B711D0"/>
    <w:rsid w:val="00B7343B"/>
    <w:rsid w:val="00B846EA"/>
    <w:rsid w:val="00B85044"/>
    <w:rsid w:val="00B910EA"/>
    <w:rsid w:val="00BA6924"/>
    <w:rsid w:val="00BB6195"/>
    <w:rsid w:val="00BE1485"/>
    <w:rsid w:val="00BE1794"/>
    <w:rsid w:val="00BE78ED"/>
    <w:rsid w:val="00BF0BED"/>
    <w:rsid w:val="00BF6A2A"/>
    <w:rsid w:val="00C03888"/>
    <w:rsid w:val="00C061AB"/>
    <w:rsid w:val="00C11EB9"/>
    <w:rsid w:val="00C17065"/>
    <w:rsid w:val="00C51B0E"/>
    <w:rsid w:val="00C55B86"/>
    <w:rsid w:val="00C65A69"/>
    <w:rsid w:val="00C71A9B"/>
    <w:rsid w:val="00C72052"/>
    <w:rsid w:val="00C75153"/>
    <w:rsid w:val="00C76458"/>
    <w:rsid w:val="00C83421"/>
    <w:rsid w:val="00C84AD7"/>
    <w:rsid w:val="00C90D20"/>
    <w:rsid w:val="00C90D41"/>
    <w:rsid w:val="00C93538"/>
    <w:rsid w:val="00C9768F"/>
    <w:rsid w:val="00CA2481"/>
    <w:rsid w:val="00CA4BF3"/>
    <w:rsid w:val="00CA64E3"/>
    <w:rsid w:val="00CB23EC"/>
    <w:rsid w:val="00CB7716"/>
    <w:rsid w:val="00CC0F42"/>
    <w:rsid w:val="00CC3321"/>
    <w:rsid w:val="00CD4969"/>
    <w:rsid w:val="00CE0E14"/>
    <w:rsid w:val="00CE3160"/>
    <w:rsid w:val="00CF3AC6"/>
    <w:rsid w:val="00D01861"/>
    <w:rsid w:val="00D01AEE"/>
    <w:rsid w:val="00D07416"/>
    <w:rsid w:val="00D2295F"/>
    <w:rsid w:val="00D243BD"/>
    <w:rsid w:val="00D341D3"/>
    <w:rsid w:val="00D361A8"/>
    <w:rsid w:val="00D379EC"/>
    <w:rsid w:val="00D4140D"/>
    <w:rsid w:val="00D44219"/>
    <w:rsid w:val="00D47127"/>
    <w:rsid w:val="00D61FD7"/>
    <w:rsid w:val="00D645EE"/>
    <w:rsid w:val="00D82250"/>
    <w:rsid w:val="00D85B6C"/>
    <w:rsid w:val="00D87A9F"/>
    <w:rsid w:val="00D92767"/>
    <w:rsid w:val="00DA4E7C"/>
    <w:rsid w:val="00DB0BE6"/>
    <w:rsid w:val="00DC3B6C"/>
    <w:rsid w:val="00DD5FBA"/>
    <w:rsid w:val="00DE568D"/>
    <w:rsid w:val="00DF1B11"/>
    <w:rsid w:val="00DF68CB"/>
    <w:rsid w:val="00DF73F9"/>
    <w:rsid w:val="00E0269C"/>
    <w:rsid w:val="00E10235"/>
    <w:rsid w:val="00E176D8"/>
    <w:rsid w:val="00E213A8"/>
    <w:rsid w:val="00E23560"/>
    <w:rsid w:val="00E25BFD"/>
    <w:rsid w:val="00E34F56"/>
    <w:rsid w:val="00E50378"/>
    <w:rsid w:val="00E60491"/>
    <w:rsid w:val="00EA0803"/>
    <w:rsid w:val="00EA169F"/>
    <w:rsid w:val="00EA2025"/>
    <w:rsid w:val="00EA569E"/>
    <w:rsid w:val="00EB1611"/>
    <w:rsid w:val="00EB4898"/>
    <w:rsid w:val="00EC10CA"/>
    <w:rsid w:val="00ED3EFB"/>
    <w:rsid w:val="00ED615F"/>
    <w:rsid w:val="00ED6FF0"/>
    <w:rsid w:val="00EF4660"/>
    <w:rsid w:val="00F13AF2"/>
    <w:rsid w:val="00F21523"/>
    <w:rsid w:val="00F21EE8"/>
    <w:rsid w:val="00F226A0"/>
    <w:rsid w:val="00F23937"/>
    <w:rsid w:val="00F25419"/>
    <w:rsid w:val="00F2643F"/>
    <w:rsid w:val="00F26857"/>
    <w:rsid w:val="00F30CC2"/>
    <w:rsid w:val="00F52C66"/>
    <w:rsid w:val="00F5679B"/>
    <w:rsid w:val="00F601EE"/>
    <w:rsid w:val="00F644AD"/>
    <w:rsid w:val="00F678CA"/>
    <w:rsid w:val="00F72F2A"/>
    <w:rsid w:val="00F73ED7"/>
    <w:rsid w:val="00F96453"/>
    <w:rsid w:val="00FA1A43"/>
    <w:rsid w:val="00FC1EA7"/>
    <w:rsid w:val="00FD445B"/>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F59F0"/>
  <w15:chartTrackingRefBased/>
  <w15:docId w15:val="{7ADEC34D-C5A6-4E05-B8BE-92026C6F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FB7"/>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0C3FB7"/>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0C3FB7"/>
    <w:pPr>
      <w:outlineLvl w:val="1"/>
    </w:pPr>
    <w:rPr>
      <w:sz w:val="28"/>
    </w:rPr>
  </w:style>
  <w:style w:type="paragraph" w:styleId="Heading3">
    <w:name w:val="heading 3"/>
    <w:basedOn w:val="Normal"/>
    <w:next w:val="Normal"/>
    <w:link w:val="Heading3Char"/>
    <w:uiPriority w:val="9"/>
    <w:unhideWhenUsed/>
    <w:qFormat/>
    <w:rsid w:val="000C3FB7"/>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0C3FB7"/>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0C3FB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0C3FB7"/>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0C3FB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0C3FB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0C3FB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B7"/>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0C3FB7"/>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0C3FB7"/>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0C3FB7"/>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0C3FB7"/>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0C3FB7"/>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0C3FB7"/>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0C3FB7"/>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C3FB7"/>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0C3FB7"/>
    <w:pPr>
      <w:ind w:left="862" w:right="862"/>
      <w:jc w:val="center"/>
    </w:pPr>
    <w:rPr>
      <w:i/>
      <w:iCs/>
      <w:color w:val="404040" w:themeColor="text1" w:themeTint="BF"/>
    </w:rPr>
  </w:style>
  <w:style w:type="character" w:customStyle="1" w:styleId="QuoteChar">
    <w:name w:val="Quote Char"/>
    <w:basedOn w:val="DefaultParagraphFont"/>
    <w:link w:val="Quote"/>
    <w:uiPriority w:val="29"/>
    <w:rsid w:val="000C3FB7"/>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0C3FB7"/>
    <w:pPr>
      <w:numPr>
        <w:numId w:val="3"/>
      </w:numPr>
      <w:spacing w:after="0" w:line="240" w:lineRule="auto"/>
      <w:ind w:left="0" w:firstLine="0"/>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0C3FB7"/>
    <w:pPr>
      <w:tabs>
        <w:tab w:val="center" w:pos="4320"/>
        <w:tab w:val="right" w:pos="8640"/>
      </w:tabs>
    </w:pPr>
  </w:style>
  <w:style w:type="character" w:customStyle="1" w:styleId="HeaderChar">
    <w:name w:val="Header Char"/>
    <w:basedOn w:val="DefaultParagraphFont"/>
    <w:link w:val="Header"/>
    <w:uiPriority w:val="99"/>
    <w:rsid w:val="000C3FB7"/>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0C3FB7"/>
    <w:pPr>
      <w:tabs>
        <w:tab w:val="center" w:pos="4320"/>
        <w:tab w:val="right" w:pos="8640"/>
      </w:tabs>
    </w:pPr>
  </w:style>
  <w:style w:type="character" w:customStyle="1" w:styleId="FooterChar">
    <w:name w:val="Footer Char"/>
    <w:basedOn w:val="DefaultParagraphFont"/>
    <w:link w:val="Footer"/>
    <w:uiPriority w:val="99"/>
    <w:rsid w:val="000C3FB7"/>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0C3FB7"/>
    <w:rPr>
      <w:noProof w:val="0"/>
    </w:rPr>
  </w:style>
  <w:style w:type="character" w:styleId="Hyperlink">
    <w:name w:val="Hyperlink"/>
    <w:basedOn w:val="DefaultParagraphFont"/>
    <w:uiPriority w:val="99"/>
    <w:unhideWhenUsed/>
    <w:rsid w:val="000C3FB7"/>
    <w:rPr>
      <w:noProof w:val="0"/>
      <w:color w:val="467886" w:themeColor="hyperlink"/>
      <w:u w:val="single"/>
    </w:rPr>
  </w:style>
  <w:style w:type="paragraph" w:styleId="Revision">
    <w:name w:val="Revision"/>
    <w:hidden/>
    <w:uiPriority w:val="99"/>
    <w:semiHidden/>
    <w:rsid w:val="000C3FB7"/>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0C3FB7"/>
    <w:pPr>
      <w:spacing w:after="120"/>
    </w:pPr>
    <w:rPr>
      <w:b/>
      <w:bCs/>
      <w:color w:val="FFFFFF"/>
      <w:sz w:val="32"/>
      <w:szCs w:val="32"/>
    </w:rPr>
  </w:style>
  <w:style w:type="paragraph" w:customStyle="1" w:styleId="Headline">
    <w:name w:val="Headline"/>
    <w:basedOn w:val="Normal"/>
    <w:next w:val="Normal"/>
    <w:link w:val="HeadlineChar"/>
    <w:qFormat/>
    <w:rsid w:val="000C3FB7"/>
    <w:rPr>
      <w:rFonts w:ascii="Segoe UI Semilight" w:hAnsi="Segoe UI Semilight" w:cs="Segoe UI Semilight"/>
      <w:b/>
      <w:bCs/>
      <w:color w:val="FFFFFF"/>
      <w:sz w:val="40"/>
      <w:szCs w:val="40"/>
    </w:rPr>
  </w:style>
  <w:style w:type="paragraph" w:customStyle="1" w:styleId="ExhibitTitle">
    <w:name w:val="Exhibit Title"/>
    <w:basedOn w:val="Normal"/>
    <w:qFormat/>
    <w:rsid w:val="000C3FB7"/>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0C3FB7"/>
    <w:pPr>
      <w:shd w:val="clear" w:color="auto" w:fill="D6E2FA"/>
      <w:spacing w:after="0"/>
    </w:pPr>
    <w:rPr>
      <w:color w:val="595959" w:themeColor="text1" w:themeTint="A6"/>
      <w:sz w:val="18"/>
    </w:rPr>
  </w:style>
  <w:style w:type="paragraph" w:customStyle="1" w:styleId="ExhibitSource">
    <w:name w:val="Exhibit Source"/>
    <w:next w:val="Normal"/>
    <w:qFormat/>
    <w:rsid w:val="000C3FB7"/>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0C3FB7"/>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0C3FB7"/>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0C3FB7"/>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0C3FB7"/>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0C3FB7"/>
    <w:rPr>
      <w:rFonts w:ascii="Segoe UI" w:hAnsi="Segoe UI" w:cs="Segoe UI"/>
      <w:noProof w:val="0"/>
      <w:color w:val="000000" w:themeColor="text1"/>
    </w:rPr>
  </w:style>
  <w:style w:type="paragraph" w:customStyle="1" w:styleId="Summary">
    <w:name w:val="Summary"/>
    <w:basedOn w:val="Normal"/>
    <w:link w:val="SummaryChar"/>
    <w:qFormat/>
    <w:rsid w:val="000C3FB7"/>
    <w:pPr>
      <w:numPr>
        <w:numId w:val="1"/>
      </w:numPr>
      <w:ind w:left="0" w:firstLine="0"/>
    </w:pPr>
    <w:rPr>
      <w:kern w:val="2"/>
      <w:sz w:val="22"/>
      <w14:ligatures w14:val="standardContextual"/>
    </w:rPr>
  </w:style>
  <w:style w:type="paragraph" w:customStyle="1" w:styleId="TableData">
    <w:name w:val="Table Data"/>
    <w:link w:val="TableDataChar"/>
    <w:qFormat/>
    <w:rsid w:val="000C3FB7"/>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0C3FB7"/>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0C3FB7"/>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0C3FB7"/>
    <w:pPr>
      <w:spacing w:before="0" w:after="0"/>
      <w:jc w:val="right"/>
    </w:pPr>
    <w:rPr>
      <w:color w:val="003469"/>
      <w:sz w:val="24"/>
      <w:szCs w:val="24"/>
    </w:rPr>
  </w:style>
  <w:style w:type="paragraph" w:customStyle="1" w:styleId="Author">
    <w:name w:val="Author"/>
    <w:basedOn w:val="Bullet"/>
    <w:link w:val="AuthorChar"/>
    <w:qFormat/>
    <w:rsid w:val="000C3FB7"/>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0C3FB7"/>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0C3FB7"/>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0C3FB7"/>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0C3FB7"/>
    <w:pPr>
      <w:numPr>
        <w:numId w:val="4"/>
      </w:numPr>
      <w:spacing w:after="200" w:line="240" w:lineRule="auto"/>
      <w:ind w:left="283" w:hanging="283"/>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0C3FB7"/>
    <w:rPr>
      <w:rFonts w:ascii="Segoe UI" w:hAnsi="Segoe UI" w:cs="Segoe UI"/>
      <w:bCs/>
      <w:kern w:val="0"/>
      <w:sz w:val="20"/>
      <w:szCs w:val="20"/>
      <w14:ligatures w14:val="none"/>
    </w:rPr>
  </w:style>
  <w:style w:type="paragraph" w:customStyle="1" w:styleId="RepeatingFooter">
    <w:name w:val="Repeating Footer"/>
    <w:basedOn w:val="Footer"/>
    <w:link w:val="RepeatingFooterChar"/>
    <w:qFormat/>
    <w:rsid w:val="000C3FB7"/>
    <w:rPr>
      <w:color w:val="003469"/>
    </w:rPr>
  </w:style>
  <w:style w:type="character" w:customStyle="1" w:styleId="RepeatingFooterChar">
    <w:name w:val="Repeating Footer Char"/>
    <w:basedOn w:val="FooterChar"/>
    <w:link w:val="RepeatingFooter"/>
    <w:rsid w:val="000C3FB7"/>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0C3FB7"/>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0C3FB7"/>
    <w:rPr>
      <w:b/>
      <w:bCs/>
      <w:noProof w:val="0"/>
    </w:rPr>
  </w:style>
  <w:style w:type="character" w:customStyle="1" w:styleId="Italics">
    <w:name w:val="Italics"/>
    <w:uiPriority w:val="1"/>
    <w:qFormat/>
    <w:rsid w:val="000C3FB7"/>
    <w:rPr>
      <w:i/>
      <w:iCs/>
      <w:noProof w:val="0"/>
    </w:rPr>
  </w:style>
  <w:style w:type="table" w:customStyle="1" w:styleId="TableGridHeader">
    <w:name w:val="Table Grid Header"/>
    <w:basedOn w:val="TableNormal"/>
    <w:uiPriority w:val="99"/>
    <w:rsid w:val="000C3FB7"/>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18" Type="http://schemas.openxmlformats.org/officeDocument/2006/relationships/image" Target="media/image10.sv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log.ons.gov.uk/2025/09/12/gdp-getting-the-best-insight-each-month/"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hyperlink" Target="https://my.oxfordeconomics.com/reportaction/76CAf767d433402e9e0f44/Toc" TargetMode="External"/><Relationship Id="rId2" Type="http://schemas.openxmlformats.org/officeDocument/2006/relationships/styles" Target="styles.xml"/><Relationship Id="rId16" Type="http://schemas.openxmlformats.org/officeDocument/2006/relationships/hyperlink" Target="https://www.imf.org/external/pubs/nft/op/246/op246.pdf" TargetMode="External"/><Relationship Id="rId20" Type="http://schemas.openxmlformats.org/officeDocument/2006/relationships/hyperlink" Target="https://my.oxfordeconomics.com/reports/b49D0226b2764dC58A169d/UKAplanforgrowth-ne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my.oxfordeconomics.com/reportaction/6752DF8551AA426abb5AaB/Toc" TargetMode="External"/><Relationship Id="rId5" Type="http://schemas.openxmlformats.org/officeDocument/2006/relationships/footnotes" Target="footnotes.xml"/><Relationship Id="rId15" Type="http://schemas.openxmlformats.org/officeDocument/2006/relationships/hyperlink" Target="https://my.oxfordeconomics.com/reportaction/2a96Ae262aD24bE09CfA1b/Toc" TargetMode="External"/><Relationship Id="rId23" Type="http://schemas.openxmlformats.org/officeDocument/2006/relationships/image" Target="media/image12.sv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my.oxfordeconomics.com/reportaction/b49D0226b2764dC58A169d/Toc" TargetMode="External"/><Relationship Id="rId4" Type="http://schemas.openxmlformats.org/officeDocument/2006/relationships/webSettings" Target="webSettings.xml"/><Relationship Id="rId9" Type="http://schemas.openxmlformats.org/officeDocument/2006/relationships/hyperlink" Target="https://www.ecb.europa.eu/events/pdf/conferences/ref_eu/Ardagna_paper.pdf" TargetMode="Externa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A278CC90-EC67-49C7-A8F6-2507F49E9503}"/>
      </w:docPartPr>
      <w:docPartBody>
        <w:p w:rsidR="004B138B" w:rsidRDefault="004B138B">
          <w:r w:rsidRPr="00710B9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38B"/>
    <w:rsid w:val="00172D9A"/>
    <w:rsid w:val="00207826"/>
    <w:rsid w:val="003B1DAA"/>
    <w:rsid w:val="004B138B"/>
    <w:rsid w:val="00901863"/>
    <w:rsid w:val="009D6C5A"/>
    <w:rsid w:val="00DF1B11"/>
    <w:rsid w:val="00F17D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1631</Words>
  <Characters>8483</Characters>
  <Application>Microsoft Office Word</Application>
  <DocSecurity>0</DocSecurity>
  <Lines>122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dcterms:created xsi:type="dcterms:W3CDTF">2026-02-03T20:25:00Z</dcterms:created>
  <dcterms:modified xsi:type="dcterms:W3CDTF">2026-02-04T09:03:00Z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2026-02-04T08:48:26.000Z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v0.8.2.3</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Team\Presentations\Charts files\20260128 AG Client conference presentation.xlsx,Z:\UK Team\Data\Forecast charts.xlsx,Z:\UK Team\Data\GDP.xlsx</vt:lpwstr>
  </property>
  <property fmtid="{D5CDD505-2E9C-101B-9397-08002B2CF9AE}" pid="15" name="OEP_CATEGORIES">
    <vt:lpwstr>AnalysisbyRegion-Europe-UnitedKingdom,Macro-ResearchBriefings-UnitedKingdom</vt:lpwstr>
  </property>
  <property fmtid="{D5CDD505-2E9C-101B-9397-08002B2CF9AE}" pid="16" name="OEP_TAGS">
    <vt:lpwstr>Key Themes:monetary policy,fiscal policy,indicators</vt:lpwstr>
  </property>
  <property fmtid="{D5CDD505-2E9C-101B-9397-08002B2CF9AE}" pid="17" name="OEP_KEY_THEMES">
    <vt:lpwstr>monetary policy,fiscal policy,indicators</vt:lpwstr>
  </property>
  <property fmtid="{D5CDD505-2E9C-101B-9397-08002B2CF9AE}" pid="18" name="OEP_PRODUCT_CODE">
    <vt:lpwstr>1b02Bc0d13DD4d4ba13813</vt:lpwstr>
  </property>
  <property fmtid="{D5CDD505-2E9C-101B-9397-08002B2CF9AE}" pid="19" name="OEP_PUBLISH_DATE">
    <vt:lpwstr/>
  </property>
</Properties>
</file>