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5417" w14:textId="23EB9595" w:rsidR="00AF5B84" w:rsidRDefault="005A792D" w:rsidP="00AF5B84">
      <w:pPr>
        <w:pStyle w:val="Bullet"/>
      </w:pPr>
      <w:r>
        <w:t>The tighter-than-expected vote and more dovish tone from the Monetary Policy Committee reinforce our conviction that rates will be cut again by the April meeting</w:t>
      </w:r>
      <w:r w:rsidR="00911AFB">
        <w:t xml:space="preserve">. </w:t>
      </w:r>
      <w:r w:rsidR="006C5B99">
        <w:t xml:space="preserve">The MPC could move in </w:t>
      </w:r>
      <w:r w:rsidR="00911AFB">
        <w:t>March</w:t>
      </w:r>
      <w:r w:rsidR="006C5B99">
        <w:t xml:space="preserve"> if the data surprises to the downside or financial markets clearly price a cut</w:t>
      </w:r>
      <w:r w:rsidR="00AF5B84">
        <w:t>.</w:t>
      </w:r>
    </w:p>
    <w:p w14:paraId="6A20EA2F" w14:textId="50870E35" w:rsidR="00AF5B84" w:rsidRDefault="006C5B99" w:rsidP="00AF5B84">
      <w:pPr>
        <w:pStyle w:val="Bullet"/>
      </w:pPr>
      <w:r>
        <w:t xml:space="preserve">The MPC's dovish shift was in response to downgrading </w:t>
      </w:r>
      <w:r w:rsidR="00AE008A">
        <w:t xml:space="preserve">its </w:t>
      </w:r>
      <w:r>
        <w:t xml:space="preserve">growth forecast, which </w:t>
      </w:r>
      <w:r w:rsidR="00AE008A">
        <w:t xml:space="preserve">it </w:t>
      </w:r>
      <w:r>
        <w:t xml:space="preserve">brought into line with our projection. </w:t>
      </w:r>
      <w:r w:rsidR="00AE008A">
        <w:t xml:space="preserve">It </w:t>
      </w:r>
      <w:r>
        <w:t>expect</w:t>
      </w:r>
      <w:r w:rsidR="00AE008A">
        <w:t>s</w:t>
      </w:r>
      <w:r>
        <w:t xml:space="preserve"> this to generate more slack</w:t>
      </w:r>
      <w:r w:rsidR="00BA0685">
        <w:t>, justifying looser policy this year</w:t>
      </w:r>
      <w:r>
        <w:t xml:space="preserve">. The committee </w:t>
      </w:r>
      <w:r w:rsidR="00AE008A">
        <w:t xml:space="preserve">has </w:t>
      </w:r>
      <w:r>
        <w:t>also become less concerned about the strength of pay growth</w:t>
      </w:r>
      <w:r w:rsidR="00CB21CC">
        <w:t>, having suggested this was a key worry in December</w:t>
      </w:r>
      <w:r w:rsidR="008D1BC9">
        <w:t>.</w:t>
      </w:r>
    </w:p>
    <w:p w14:paraId="6D311901" w14:textId="45D4BCD6" w:rsidR="00AF5B84" w:rsidRDefault="00C509F6" w:rsidP="00AF5B84">
      <w:pPr>
        <w:pStyle w:val="Bullet"/>
      </w:pPr>
      <w:r>
        <w:t>A</w:t>
      </w:r>
      <w:r w:rsidR="00632287">
        <w:t xml:space="preserve"> divided committee</w:t>
      </w:r>
      <w:r w:rsidR="00AD3179">
        <w:t xml:space="preserve">, </w:t>
      </w:r>
      <w:r>
        <w:t>inconsistent messaging</w:t>
      </w:r>
      <w:r w:rsidR="00C17E17">
        <w:t xml:space="preserve"> from </w:t>
      </w:r>
      <w:r w:rsidR="00C17E17">
        <w:t xml:space="preserve">one </w:t>
      </w:r>
      <w:r w:rsidR="00C17E17">
        <w:t>meeting</w:t>
      </w:r>
      <w:r w:rsidR="00C17E17">
        <w:t xml:space="preserve"> to another</w:t>
      </w:r>
      <w:r>
        <w:t xml:space="preserve">, and </w:t>
      </w:r>
      <w:r>
        <w:t xml:space="preserve">today's </w:t>
      </w:r>
      <w:r w:rsidR="00AD3179">
        <w:t xml:space="preserve">switch </w:t>
      </w:r>
      <w:r w:rsidR="00C17E17">
        <w:t xml:space="preserve">to favour the </w:t>
      </w:r>
      <w:r w:rsidR="003A7893">
        <w:t xml:space="preserve">central </w:t>
      </w:r>
      <w:r w:rsidR="00C17E17">
        <w:t>forecast over</w:t>
      </w:r>
      <w:r w:rsidR="00AD3179">
        <w:t xml:space="preserve"> the data flow</w:t>
      </w:r>
      <w:r w:rsidR="005E01D9">
        <w:t xml:space="preserve"> and </w:t>
      </w:r>
      <w:r w:rsidR="00C17E17">
        <w:t>s</w:t>
      </w:r>
      <w:r w:rsidR="005E01D9">
        <w:t>cenarios</w:t>
      </w:r>
      <w:r w:rsidR="00AD3179">
        <w:t xml:space="preserve"> </w:t>
      </w:r>
      <w:r>
        <w:t>make it hard to be certain where Bank Rate will go this year. We think two 25bp cuts is the most likely outcome.</w:t>
      </w:r>
    </w:p>
    <w:p w14:paraId="1264071D" w14:textId="41BE3A48" w:rsidR="0067616C" w:rsidRDefault="001F102E" w:rsidP="00AF5B84">
      <w:r>
        <w:t>T</w:t>
      </w:r>
      <w:r w:rsidR="00FF212A" w:rsidRPr="00FF212A">
        <w:t xml:space="preserve">he Bank of England's Monetary Policy Committee voted </w:t>
      </w:r>
      <w:r>
        <w:t>5-4</w:t>
      </w:r>
      <w:r w:rsidR="00FF212A" w:rsidRPr="00FF212A">
        <w:t xml:space="preserve"> to hold Bank Rate at </w:t>
      </w:r>
      <w:r w:rsidR="00FF212A">
        <w:t>3.75</w:t>
      </w:r>
      <w:r w:rsidR="00FF212A" w:rsidRPr="00FF212A">
        <w:t xml:space="preserve">% at </w:t>
      </w:r>
      <w:r w:rsidR="00FF212A" w:rsidRPr="00FF212A">
        <w:t xml:space="preserve">today's </w:t>
      </w:r>
      <w:r w:rsidR="00FF212A" w:rsidRPr="00FF212A">
        <w:t xml:space="preserve">meeting. The </w:t>
      </w:r>
      <w:r>
        <w:t>four</w:t>
      </w:r>
      <w:r w:rsidR="00FF212A" w:rsidRPr="00FF212A">
        <w:t xml:space="preserve"> dissenters – </w:t>
      </w:r>
      <w:r w:rsidRPr="001F102E">
        <w:t>Sarah Breeden, Swati Dhingra, Dave Ramsden, and Alan Taylor</w:t>
      </w:r>
      <w:r w:rsidR="00FF212A" w:rsidRPr="00FF212A">
        <w:t xml:space="preserve"> – preferred a 25bp cut</w:t>
      </w:r>
      <w:r w:rsidR="00AF5B84">
        <w:t>.</w:t>
      </w:r>
    </w:p>
    <w:p w14:paraId="41B8C03B" w14:textId="6A2D67C4" w:rsidR="008D54F0" w:rsidRDefault="00B467D8" w:rsidP="0067616C">
      <w:r>
        <w:t>The tight margin was a big surprise</w:t>
      </w:r>
      <w:r w:rsidR="00AE008A">
        <w:t>;</w:t>
      </w:r>
      <w:r>
        <w:t xml:space="preserve"> we expected only two votes for a cut. </w:t>
      </w:r>
      <w:r w:rsidR="005A792D">
        <w:t>In December, Breed</w:t>
      </w:r>
      <w:r w:rsidR="003A6CF2">
        <w:t>e</w:t>
      </w:r>
      <w:r w:rsidR="005A792D">
        <w:t>n and Ramsden voted to cut but struck a cautious tone on the scope for</w:t>
      </w:r>
      <w:r w:rsidR="005A792D">
        <w:t xml:space="preserve"> further</w:t>
      </w:r>
      <w:r w:rsidR="005A792D">
        <w:t xml:space="preserve"> </w:t>
      </w:r>
      <w:r w:rsidR="00D32976">
        <w:t>loosening</w:t>
      </w:r>
      <w:r w:rsidR="005A792D">
        <w:t xml:space="preserve">, with the strength of forward-looking pay indicators </w:t>
      </w:r>
      <w:r w:rsidR="000F2393">
        <w:t xml:space="preserve">their main concern. </w:t>
      </w:r>
      <w:r w:rsidR="00591B61">
        <w:t xml:space="preserve">So their switch to vote for </w:t>
      </w:r>
      <w:r w:rsidR="00405A4A">
        <w:t>back-to-back</w:t>
      </w:r>
      <w:r w:rsidR="00591B61">
        <w:t xml:space="preserve"> cut</w:t>
      </w:r>
      <w:r w:rsidR="00405A4A">
        <w:t>s</w:t>
      </w:r>
      <w:r w:rsidR="00591B61">
        <w:t xml:space="preserve"> was unexpected. The minutes ma</w:t>
      </w:r>
      <w:r w:rsidR="00B2132E">
        <w:t>d</w:t>
      </w:r>
      <w:r w:rsidR="00591B61">
        <w:t xml:space="preserve">e </w:t>
      </w:r>
      <w:r w:rsidR="00AE008A">
        <w:t xml:space="preserve">it </w:t>
      </w:r>
      <w:r w:rsidR="00591B61">
        <w:t xml:space="preserve">clear </w:t>
      </w:r>
      <w:r w:rsidR="00AE008A">
        <w:t xml:space="preserve">that </w:t>
      </w:r>
      <w:r w:rsidR="00591B61">
        <w:t xml:space="preserve">this change of heart was not triggered by </w:t>
      </w:r>
      <w:r w:rsidR="00405A4A">
        <w:t xml:space="preserve">data </w:t>
      </w:r>
      <w:r w:rsidR="00591B61">
        <w:t>developments.</w:t>
      </w:r>
      <w:r w:rsidR="008D54F0">
        <w:t xml:space="preserve"> </w:t>
      </w:r>
      <w:r w:rsidR="00591B61">
        <w:t xml:space="preserve">Rather, </w:t>
      </w:r>
      <w:r w:rsidR="00E848BB">
        <w:t>they</w:t>
      </w:r>
      <w:r w:rsidR="00E55E60">
        <w:t xml:space="preserve"> were influenced by BoE staff analysis presented in the Monetary Policy Report. </w:t>
      </w:r>
    </w:p>
    <w:p w14:paraId="02B565B5" w14:textId="2CA08C6C" w:rsidR="00303E07" w:rsidRDefault="00684ADE" w:rsidP="0067616C">
      <w:r>
        <w:t>On the labour market, t</w:t>
      </w:r>
      <w:r w:rsidR="00E55E60">
        <w:t xml:space="preserve">he </w:t>
      </w:r>
      <w:r w:rsidR="008D54F0">
        <w:t xml:space="preserve">BoE's </w:t>
      </w:r>
      <w:r w:rsidR="00E55E60">
        <w:t xml:space="preserve">analysis suggested wage growth was on track to fall to </w:t>
      </w:r>
      <w:r w:rsidR="00AE008A">
        <w:t xml:space="preserve">a </w:t>
      </w:r>
      <w:r w:rsidR="00E55E60">
        <w:t xml:space="preserve">target-consistent pace this year, </w:t>
      </w:r>
      <w:r>
        <w:t xml:space="preserve">and </w:t>
      </w:r>
      <w:r w:rsidR="00E55E60">
        <w:t>that it's less likely there</w:t>
      </w:r>
      <w:r w:rsidR="00E55E60">
        <w:t xml:space="preserve"> ha</w:t>
      </w:r>
      <w:r w:rsidR="00E55E60">
        <w:t>ve been structural changes in the labour market</w:t>
      </w:r>
      <w:r>
        <w:t xml:space="preserve"> that could keep pay growth </w:t>
      </w:r>
      <w:r w:rsidR="00AE008A">
        <w:t>elevated</w:t>
      </w:r>
      <w:r>
        <w:t xml:space="preserve">. On activity, the BoE has become more cautious on the near-term outlook, cutting </w:t>
      </w:r>
      <w:r w:rsidR="00AE008A">
        <w:t xml:space="preserve">its </w:t>
      </w:r>
      <w:r>
        <w:t xml:space="preserve">2026 forecast for GDP growth to 0.9%, in line with our projection and 0.3ppts below </w:t>
      </w:r>
      <w:r w:rsidR="00AE008A">
        <w:t xml:space="preserve">its </w:t>
      </w:r>
      <w:r>
        <w:t xml:space="preserve">November forecast </w:t>
      </w:r>
      <w:r w:rsidR="0064503B">
        <w:t>(</w:t>
      </w:r>
      <w:r w:rsidR="00923E35" w:rsidRPr="005014FB">
        <w:rPr>
          <w:b/>
          <w:color w:val="003469"/>
        </w:rPr>
        <w:fldChar w:fldCharType="begin"/>
      </w:r>
      <w:r w:rsidR="005014FB" w:rsidRPr="005014FB">
        <w:rPr>
          <w:b/>
          <w:color w:val="003469"/>
        </w:rPr>
        <w:instrText xml:space="preserve">REF _Ref221195681 \h \* Charformat </w:instrText>
      </w:r>
      <w:r w:rsidR="005014FB" w:rsidRPr="005014FB">
        <w:rPr>
          <w:b/>
          <w:color w:val="003469"/>
        </w:rPr>
      </w:r>
      <w:r w:rsidR="00923E35" w:rsidRPr="005014FB">
        <w:rPr>
          <w:b/>
          <w:color w:val="003469"/>
        </w:rPr>
        <w:fldChar w:fldCharType="separate"/>
      </w:r>
      <w:r w:rsidR="005014FB" w:rsidRPr="005014FB">
        <w:rPr>
          <w:b/>
          <w:color w:val="003469"/>
        </w:rPr>
        <w:t>Chart 1</w:t>
      </w:r>
      <w:r w:rsidR="00923E35" w:rsidRPr="005014FB">
        <w:rPr>
          <w:b/>
          <w:color w:val="003469"/>
        </w:rPr>
        <w:fldChar w:fldCharType="end"/>
      </w:r>
      <w:r w:rsidR="0064503B">
        <w:t>).</w:t>
      </w:r>
      <w:r>
        <w:t xml:space="preserve"> Coming on top of further loosening in labour market</w:t>
      </w:r>
      <w:r w:rsidR="002863E7">
        <w:t xml:space="preserve"> conditions</w:t>
      </w:r>
      <w:r w:rsidRPr="00684ADE">
        <w:t>,</w:t>
      </w:r>
      <w:r>
        <w:t xml:space="preserve"> the weaker growth outlook led the MPC to conclude that there would be</w:t>
      </w:r>
      <w:r w:rsidRPr="00684ADE">
        <w:t xml:space="preserve"> more slack in the economy.</w:t>
      </w:r>
    </w:p>
    <w:p w14:paraId="71F86B6F" w14:textId="1236062E" w:rsidR="00AF5B84" w:rsidRDefault="00AF5B84" w:rsidP="000E1A47">
      <w:pPr>
        <w:pStyle w:val="ExhibitTitle"/>
        <w:jc w:val="center"/>
      </w:pPr>
      <w:bookmarkStart w:id="0" w:name="_Ref221195681"/>
      <w:r>
        <w:t xml:space="preserve">Chart </w:t>
      </w:r>
      <w:r>
        <w:fldChar w:fldCharType="begin"/>
      </w:r>
      <w:r w:rsidR="00923E35">
        <w:instrText>SEQ CHART</w:instrText>
      </w:r>
      <w:r>
        <w:fldChar w:fldCharType="separate"/>
      </w:r>
      <w:r w:rsidR="000E1A47">
        <w:rPr>
          <w:noProof/>
        </w:rPr>
        <w:t>1</w:t>
      </w:r>
      <w:r>
        <w:fldChar w:fldCharType="end"/>
      </w:r>
      <w:bookmarkEnd w:id="0"/>
      <w:r>
        <w:t xml:space="preserve">: </w:t>
      </w:r>
      <w:r w:rsidR="007840B1">
        <w:t xml:space="preserve">The BoE's downgrade brought </w:t>
      </w:r>
      <w:r w:rsidR="00AE008A">
        <w:t xml:space="preserve">its </w:t>
      </w:r>
      <w:r w:rsidR="007840B1">
        <w:t>forecast into line with our projection</w:t>
      </w:r>
    </w:p>
    <w:p w14:paraId="7DF3EF1B" w14:textId="46451926" w:rsidR="00303E07" w:rsidRDefault="00303E07" w:rsidP="000E1A47">
      <w:pPr>
        <w:spacing w:after="0"/>
        <w:jc w:val="center"/>
        <w:rPr>
          <w:noProof/>
        </w:rPr>
      </w:pPr>
      <w:r>
        <w:rPr>
          <w:noProof/>
        </w:rPr>
        <w:drawing>
          <wp:inline distT="0" distB="0" distL="0" distR="0" wp14:anchorId="63E29ADF" wp14:editId="0F45C7FB">
            <wp:extent cx="4006964" cy="3140642"/>
            <wp:effectExtent l="0" t="0" r="0" b="3175"/>
            <wp:docPr id="3297467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6754" name=""/>
                    <pic:cNvPicPr/>
                  </pic:nvPicPr>
                  <pic:blipFill>
                    <a:blip r:embed="rId7">
                      <a:extLst>
                        <a:ext uri="{96DAC541-7B7A-43D3-8B79-37D633B846F1}">
                          <asvg:svgBlip xmlns:asvg="http://schemas.microsoft.com/office/drawing/2016/SVG/main" r:embed="rId8"/>
                        </a:ext>
                      </a:extLst>
                    </a:blip>
                    <a:srcRect b="1886"/>
                    <a:stretch>
                      <a:fillRect/>
                    </a:stretch>
                  </pic:blipFill>
                  <pic:spPr>
                    <a:xfrm>
                      <a:off x="0" y="0"/>
                      <a:ext cx="4006964" cy="3140642"/>
                    </a:xfrm>
                    <a:prstGeom prst="rect">
                      <a:avLst/>
                    </a:prstGeom>
                  </pic:spPr>
                </pic:pic>
              </a:graphicData>
            </a:graphic>
          </wp:inline>
        </w:drawing>
      </w:r>
    </w:p>
    <w:p w14:paraId="56BB6931" w14:textId="0B52CAD5" w:rsidR="00AF5B84" w:rsidRDefault="000E1A47" w:rsidP="000E1A47">
      <w:pPr>
        <w:pStyle w:val="ExhibitSource"/>
        <w:jc w:val="center"/>
      </w:pPr>
      <w:r>
        <w:t>Sources: Oxford Economics, BoE, HMT, OBR</w:t>
      </w:r>
    </w:p>
    <w:p w14:paraId="161E35B2" w14:textId="6DB869B0" w:rsidR="00AF5B84" w:rsidRDefault="00AF5B84" w:rsidP="00AF5B84">
      <w:pPr>
        <w:pStyle w:val="ExhibitSource"/>
        <w:jc w:val="center"/>
        <w:sectPr w:rsidR="00AF5B84" w:rsidSect="000E1A47">
          <w:headerReference w:type="even" r:id="rId9"/>
          <w:headerReference w:type="default" r:id="rId10"/>
          <w:footerReference w:type="default" r:id="rId11"/>
          <w:headerReference w:type="first" r:id="rId12"/>
          <w:footerReference w:type="first" r:id="rId13"/>
          <w:pgSz w:w="11906" w:h="16838"/>
          <w:pgMar w:top="1417" w:right="1276" w:bottom="818" w:left="1134" w:header="708" w:footer="300" w:gutter="0"/>
          <w:cols w:space="708"/>
          <w:titlePg/>
          <w:docGrid w:linePitch="360"/>
        </w:sectPr>
      </w:pPr>
    </w:p>
    <w:p w14:paraId="0A24A977" w14:textId="60ABE338" w:rsidR="00AF5B84" w:rsidRDefault="00FB3CA1" w:rsidP="00AF5B84">
      <w:r>
        <w:lastRenderedPageBreak/>
        <w:t xml:space="preserve">The MPC's </w:t>
      </w:r>
      <w:r w:rsidR="00C509F6">
        <w:t xml:space="preserve">decision to lower its growth forecast was </w:t>
      </w:r>
      <w:r w:rsidR="00F373AA">
        <w:t xml:space="preserve">made </w:t>
      </w:r>
      <w:r w:rsidR="00D0070C">
        <w:t>despite</w:t>
      </w:r>
      <w:r w:rsidR="00C509F6">
        <w:t xml:space="preserve"> the new projections incorporating the near-term loosening of fiscal policy announced in November's Budget</w:t>
      </w:r>
      <w:r w:rsidR="007E1F47">
        <w:t xml:space="preserve">. Though the new inflation projections were much lower, reflecting recent data </w:t>
      </w:r>
      <w:r w:rsidR="00AE008A">
        <w:t>and</w:t>
      </w:r>
      <w:r w:rsidR="007E1F47">
        <w:t xml:space="preserve"> the Budget announcements that s</w:t>
      </w:r>
      <w:r w:rsidR="000D1D01">
        <w:t xml:space="preserve">ome energy levies </w:t>
      </w:r>
      <w:r w:rsidR="007E1F47">
        <w:t xml:space="preserve">would be removed </w:t>
      </w:r>
      <w:r w:rsidR="000D1D01">
        <w:t xml:space="preserve">and </w:t>
      </w:r>
      <w:r w:rsidR="007E1F47">
        <w:t xml:space="preserve">rail fares would be frozen, the BoE </w:t>
      </w:r>
      <w:r w:rsidR="00412608">
        <w:t>opted not to</w:t>
      </w:r>
      <w:r w:rsidR="007E1F47">
        <w:t xml:space="preserve"> revise its expectations </w:t>
      </w:r>
      <w:r w:rsidR="00AE008A">
        <w:t xml:space="preserve">up </w:t>
      </w:r>
      <w:r w:rsidR="007E1F47">
        <w:t xml:space="preserve">for consumer spending. </w:t>
      </w:r>
      <w:r w:rsidR="00AE008A">
        <w:t>W</w:t>
      </w:r>
      <w:r w:rsidR="007E1F47">
        <w:t>hile it did pencil in higher g</w:t>
      </w:r>
      <w:r w:rsidR="000D1D01">
        <w:t>overnment spending</w:t>
      </w:r>
      <w:r w:rsidR="007E1F47">
        <w:t xml:space="preserve">, the impact was more than offset by lower </w:t>
      </w:r>
      <w:r w:rsidR="00A12C6E">
        <w:t>housing investment.</w:t>
      </w:r>
    </w:p>
    <w:p w14:paraId="3A343133" w14:textId="653B6667" w:rsidR="00C470E8" w:rsidRDefault="00D1791D" w:rsidP="00C509F6">
      <w:r>
        <w:t xml:space="preserve">The new forecast looks reasonable. But given the nature of the revisions, we found it surprising that </w:t>
      </w:r>
      <w:r w:rsidR="007E6CAC">
        <w:t>the forecast</w:t>
      </w:r>
      <w:r>
        <w:t xml:space="preserve"> was such a big influence on the MPC's thinking. Indeed, the </w:t>
      </w:r>
      <w:r w:rsidR="00AE008A">
        <w:t xml:space="preserve">emphasis </w:t>
      </w:r>
      <w:r w:rsidR="00E3323E">
        <w:t xml:space="preserve">shift </w:t>
      </w:r>
      <w:r w:rsidR="00AE008A">
        <w:t>towards</w:t>
      </w:r>
      <w:r w:rsidR="00E3323E">
        <w:t xml:space="preserve"> the forecast and away from the data flow signal</w:t>
      </w:r>
      <w:r w:rsidR="00AE008A">
        <w:t>s</w:t>
      </w:r>
      <w:r w:rsidR="00E3323E">
        <w:t xml:space="preserve"> a major change in the MPC's thinking compared with recent years.</w:t>
      </w:r>
      <w:r w:rsidR="002F4EEC">
        <w:t xml:space="preserve"> </w:t>
      </w:r>
      <w:r w:rsidR="00A977E1">
        <w:t>It</w:t>
      </w:r>
      <w:r w:rsidR="00AE008A">
        <w:t>'s</w:t>
      </w:r>
      <w:r w:rsidR="00A977E1">
        <w:t xml:space="preserve"> also notable that the importance of the BoE's scenarios was downgraded in </w:t>
      </w:r>
      <w:r w:rsidR="00A977E1">
        <w:t xml:space="preserve">today's </w:t>
      </w:r>
      <w:r w:rsidR="00A977E1">
        <w:t xml:space="preserve">communications – scenarios had played a key role in explaining voting patterns in November, but they were barely mentioned in February's minutes </w:t>
      </w:r>
      <w:r w:rsidR="00C97E5F">
        <w:t xml:space="preserve">and had a </w:t>
      </w:r>
      <w:r w:rsidR="00A5668D">
        <w:t>muted</w:t>
      </w:r>
      <w:r w:rsidR="00C97E5F">
        <w:t xml:space="preserve"> role in the </w:t>
      </w:r>
      <w:r w:rsidR="00A977E1">
        <w:t>MPR.</w:t>
      </w:r>
    </w:p>
    <w:p w14:paraId="3D24AB31" w14:textId="00151118" w:rsidR="00C660B4" w:rsidRDefault="00C660B4" w:rsidP="00A97354">
      <w:pPr>
        <w:pStyle w:val="Heading3"/>
        <w:rPr>
          <w:noProof/>
        </w:rPr>
      </w:pPr>
      <w:r>
        <w:t>Next cut to come in March or April</w:t>
      </w:r>
    </w:p>
    <w:p w14:paraId="5CB5E478" w14:textId="0E2C583D" w:rsidR="001B1E31" w:rsidRDefault="00005D94" w:rsidP="00AF5B84">
      <w:r>
        <w:t xml:space="preserve">We take </w:t>
      </w:r>
      <w:r>
        <w:t xml:space="preserve">today's </w:t>
      </w:r>
      <w:r>
        <w:t xml:space="preserve">messaging as confirmation that the MPC is likely to cut again at one of the next two meetings, but the timing of </w:t>
      </w:r>
      <w:r w:rsidR="00A5668D">
        <w:t xml:space="preserve">its </w:t>
      </w:r>
      <w:r>
        <w:t>next move has become less clear. Previously</w:t>
      </w:r>
      <w:r w:rsidR="004A5022">
        <w:t>,</w:t>
      </w:r>
      <w:r>
        <w:t xml:space="preserve"> we favoured the end-April meeting for the next cut, on the basis this would give the MPC more time to consider the incoming pay data, the issue </w:t>
      </w:r>
      <w:r w:rsidR="00A5668D">
        <w:t xml:space="preserve">it </w:t>
      </w:r>
      <w:r>
        <w:t xml:space="preserve">cited as being a key consideration. But </w:t>
      </w:r>
      <w:r w:rsidR="00B726F4">
        <w:t xml:space="preserve">today's </w:t>
      </w:r>
      <w:r w:rsidR="00B726F4">
        <w:t xml:space="preserve">communications </w:t>
      </w:r>
      <w:r w:rsidR="00E10D4F">
        <w:t>suggest</w:t>
      </w:r>
      <w:r w:rsidR="00B726F4">
        <w:t xml:space="preserve"> the pay data is no longer quite as important. Given the committee's concerns about activity, there could be greater focus on the two monthly GDP releases that will be published before the March meeting</w:t>
      </w:r>
      <w:r w:rsidR="00E7243A">
        <w:t xml:space="preserve">, although long-running issues around residual seasonality could complicate </w:t>
      </w:r>
      <w:r w:rsidR="00A5668D">
        <w:t xml:space="preserve">the </w:t>
      </w:r>
      <w:r w:rsidR="00E7243A">
        <w:t>analysis of this data</w:t>
      </w:r>
      <w:r w:rsidR="00B726F4">
        <w:t>.</w:t>
      </w:r>
    </w:p>
    <w:p w14:paraId="3C3ACDFA" w14:textId="6E04DCC0" w:rsidR="00AF5B84" w:rsidRDefault="00B726F4" w:rsidP="00AF5B84">
      <w:r>
        <w:t>The other wild card is Catherine Mann</w:t>
      </w:r>
      <w:r w:rsidR="001B1E31">
        <w:t xml:space="preserve">. With one notable exception last February, Mann has always been one of the most hawkish members. But her paragraph suggested "the appropriate time for a cut in Bank Rate [was moving] closer." </w:t>
      </w:r>
      <w:r w:rsidR="00340910">
        <w:t xml:space="preserve">In four of the past five meetings, Governor Andrew Bailey has cast the decisive vote. But </w:t>
      </w:r>
      <w:r w:rsidR="000160A1">
        <w:t xml:space="preserve">the possibility of </w:t>
      </w:r>
      <w:r w:rsidR="00340910">
        <w:t>Mann complet</w:t>
      </w:r>
      <w:r w:rsidR="000160A1">
        <w:t>ing</w:t>
      </w:r>
      <w:r w:rsidR="00340910">
        <w:t xml:space="preserve"> her volte</w:t>
      </w:r>
      <w:r w:rsidR="00A5668D">
        <w:t>-</w:t>
      </w:r>
      <w:r w:rsidR="00340910">
        <w:t>face</w:t>
      </w:r>
      <w:r w:rsidR="000160A1">
        <w:t xml:space="preserve"> offers a second possible path to securing </w:t>
      </w:r>
      <w:r w:rsidR="00340910">
        <w:t>a majority for a rate cut.</w:t>
      </w:r>
    </w:p>
    <w:p w14:paraId="4BEA7FA7" w14:textId="34D9AAEA" w:rsidR="00AF5B84" w:rsidRDefault="00A46A58" w:rsidP="00AF5B84">
      <w:r>
        <w:t>So</w:t>
      </w:r>
      <w:r w:rsidR="00A5668D">
        <w:t>,</w:t>
      </w:r>
      <w:r>
        <w:t xml:space="preserve"> we regard the March meeting as being little more than a coin toss</w:t>
      </w:r>
      <w:r w:rsidR="00AF5B84">
        <w:t>.</w:t>
      </w:r>
      <w:r>
        <w:t xml:space="preserve"> If the data surprises to the downside or financial markets decisively price a cut ahead of the meeting, that would probably be enough to tip the balance</w:t>
      </w:r>
      <w:r w:rsidR="00443C58">
        <w:t xml:space="preserve"> in favour of a March cut</w:t>
      </w:r>
      <w:r>
        <w:t>.</w:t>
      </w:r>
    </w:p>
    <w:p w14:paraId="29CC6B69" w14:textId="3360F51E" w:rsidR="00C660B4" w:rsidRDefault="00C660B4" w:rsidP="00A97354">
      <w:pPr>
        <w:pStyle w:val="Heading3"/>
      </w:pPr>
      <w:r>
        <w:t>We maintain our call of two 25bp cuts in 2026</w:t>
      </w:r>
    </w:p>
    <w:p w14:paraId="7A265448" w14:textId="7663AE08" w:rsidR="0092542B" w:rsidRDefault="002C3CC7" w:rsidP="00AF5B84">
      <w:r>
        <w:t xml:space="preserve">The direction of policy further out remains </w:t>
      </w:r>
      <w:r w:rsidR="00A5668D">
        <w:t>difficult</w:t>
      </w:r>
      <w:r>
        <w:t xml:space="preserve"> to call. The MPC remains deeply divided, and it's unlikely we</w:t>
      </w:r>
      <w:r w:rsidR="00A5668D">
        <w:t>'</w:t>
      </w:r>
      <w:r w:rsidR="00833044">
        <w:t>ll</w:t>
      </w:r>
      <w:r>
        <w:t xml:space="preserve"> see the run of close votes ending soon. </w:t>
      </w:r>
      <w:r w:rsidR="00A5668D">
        <w:t xml:space="preserve">Its </w:t>
      </w:r>
      <w:r>
        <w:t xml:space="preserve">messaging </w:t>
      </w:r>
      <w:r w:rsidR="0092542B">
        <w:t>remains inconsistent from one meeting to another.</w:t>
      </w:r>
      <w:r>
        <w:t xml:space="preserve"> We had hoped that the introduction of individual paragraphs in the minutes would make it easier to track the views of </w:t>
      </w:r>
      <w:r w:rsidR="00A5668D">
        <w:t xml:space="preserve">each </w:t>
      </w:r>
      <w:r>
        <w:t>member</w:t>
      </w:r>
      <w:r w:rsidR="00A5668D">
        <w:t>,</w:t>
      </w:r>
      <w:r>
        <w:t xml:space="preserve"> </w:t>
      </w:r>
      <w:r w:rsidR="00A5668D">
        <w:t>b</w:t>
      </w:r>
      <w:r>
        <w:t xml:space="preserve">ut the sudden changes of view by Breeden and Ramsden between December and February, and </w:t>
      </w:r>
      <w:r w:rsidR="00A6006E">
        <w:t xml:space="preserve">the more general switch from hawkish to dovish messaging, </w:t>
      </w:r>
      <w:r w:rsidR="0092542B">
        <w:t>leave us less certain about what each member is looking for. Extra confusion has been caused by the move from data</w:t>
      </w:r>
      <w:r w:rsidR="00A5668D">
        <w:t>-</w:t>
      </w:r>
      <w:r w:rsidR="0092542B">
        <w:t>dependence to a more forward-looking approach that leans on the BoE's forecasts</w:t>
      </w:r>
      <w:r w:rsidR="007D26B2">
        <w:t>, and by the inconsistent use of scenarios</w:t>
      </w:r>
      <w:r w:rsidR="0092542B">
        <w:t>.</w:t>
      </w:r>
    </w:p>
    <w:p w14:paraId="3CBCD8DC" w14:textId="6FD7EDD3" w:rsidR="00A46A58" w:rsidRDefault="002F4EEC" w:rsidP="00AF5B84">
      <w:r>
        <w:t xml:space="preserve">We think the most </w:t>
      </w:r>
      <w:r w:rsidR="00881DB4">
        <w:t>likely outcome is that the MPC cuts twice in 2026, in March or April and November. This would leave Bank Rate at 3.25% at the end of the year. In response to a question at the press conference, Bailey suggested that market pricing implying a similar level at the end of the year was "reasonable".</w:t>
      </w:r>
    </w:p>
    <w:sectPr w:rsidR="00A46A58" w:rsidSect="000E1A47">
      <w:pgSz w:w="11906" w:h="16838"/>
      <w:pgMar w:top="1417" w:right="1276" w:bottom="992"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BA06" w14:textId="77777777" w:rsidR="00914468" w:rsidRDefault="00914468" w:rsidP="00AF5B84">
      <w:pPr>
        <w:spacing w:before="0" w:after="0"/>
      </w:pPr>
      <w:r>
        <w:separator/>
      </w:r>
    </w:p>
  </w:endnote>
  <w:endnote w:type="continuationSeparator" w:id="0">
    <w:p w14:paraId="26BCFB3C" w14:textId="77777777" w:rsidR="00914468" w:rsidRDefault="00914468" w:rsidP="00AF5B8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DFA4" w14:textId="08B5B52D" w:rsidR="00AF5B84" w:rsidRPr="00AF5B84" w:rsidRDefault="00AF5B84" w:rsidP="00AF5B8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r w:rsidRPr="00AF5B84">
      <w:rPr>
        <w:noProof/>
      </w:rPr>
      <w:drawing>
        <wp:anchor distT="0" distB="0" distL="114300" distR="114300" simplePos="0" relativeHeight="251661312" behindDoc="0" locked="0" layoutInCell="1" allowOverlap="1" wp14:anchorId="05765C96" wp14:editId="28CA934D">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E5B4" w14:textId="0B8D1FF4" w:rsidR="00AF5B84" w:rsidRDefault="00AF5B84" w:rsidP="000E1A47">
    <w:pPr>
      <w:pStyle w:val="Author"/>
    </w:pPr>
    <w:r>
      <w:t>Andrew Goodwin</w:t>
    </w:r>
    <w:r w:rsidR="00A97354">
      <w:t xml:space="preserve"> - </w:t>
    </w:r>
    <w:r>
      <w:t>Chief UK Economist</w:t>
    </w:r>
    <w:r w:rsidR="00A97354">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0472" w14:textId="77777777" w:rsidR="00914468" w:rsidRDefault="00914468" w:rsidP="00AF5B84">
      <w:pPr>
        <w:spacing w:before="0" w:after="0"/>
      </w:pPr>
      <w:r>
        <w:separator/>
      </w:r>
    </w:p>
  </w:footnote>
  <w:footnote w:type="continuationSeparator" w:id="0">
    <w:p w14:paraId="0DF92B04" w14:textId="77777777" w:rsidR="00914468" w:rsidRDefault="00914468" w:rsidP="00AF5B8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D41A" w14:textId="77777777" w:rsidR="00AF5B84" w:rsidRDefault="00AF5B84">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0117" w14:textId="270ECC97" w:rsidR="00AF5B84" w:rsidRDefault="000E1A47" w:rsidP="00AF5B84">
    <w:pPr>
      <w:pStyle w:val="Headline"/>
      <w:spacing w:before="120"/>
      <w:ind w:right="-1000"/>
    </w:pPr>
    <w:r w:rsidRPr="000E1A47">
      <w:rPr>
        <w:noProof/>
      </w:rPr>
      <w:drawing>
        <wp:anchor distT="0" distB="0" distL="114300" distR="114300" simplePos="0" relativeHeight="251654139" behindDoc="1" locked="1" layoutInCell="1" allowOverlap="1" wp14:anchorId="428DB177" wp14:editId="0B2F2981">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t>Dovish hold prepares the ground for more easing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D432" w14:textId="41B45A62" w:rsidR="000E1A47" w:rsidRPr="000E1A47" w:rsidRDefault="000E1A47" w:rsidP="000E1A47">
    <w:pPr>
      <w:rPr>
        <w:b/>
        <w:bCs/>
        <w:sz w:val="4"/>
      </w:rPr>
    </w:pPr>
    <w:r w:rsidRPr="000E1A47">
      <w:rPr>
        <w:noProof/>
        <w:sz w:val="4"/>
      </w:rPr>
      <w:drawing>
        <wp:anchor distT="0" distB="0" distL="114300" distR="114300" simplePos="0" relativeHeight="251655164" behindDoc="1" locked="1" layoutInCell="1" allowOverlap="1" wp14:anchorId="3EFC4AE0" wp14:editId="06FD3B60">
          <wp:simplePos x="0" y="0"/>
          <wp:positionH relativeFrom="page">
            <wp:posOffset>109182</wp:posOffset>
          </wp:positionH>
          <wp:positionV relativeFrom="page">
            <wp:posOffset>163773</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0E1A47">
      <w:rPr>
        <w:noProof/>
        <w:sz w:val="4"/>
      </w:rPr>
      <w:drawing>
        <wp:anchor distT="0" distB="0" distL="114300" distR="114300" simplePos="0" relativeHeight="251656189" behindDoc="1" locked="1" layoutInCell="1" allowOverlap="1" wp14:anchorId="7874C44F" wp14:editId="680C7A15">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551621904"/>
      <w:lock w:val="sdtLocked"/>
      <w:placeholder>
        <w:docPart w:val="DefaultPlaceholder_-1854013437"/>
      </w:placeholder>
      <w:date w:fullDate="2026-02-05T00:00:00Z">
        <w:dateFormat w:val="d MMMM yyyy"/>
        <w:lid w:val="en-US"/>
        <w:storeMappedDataAs w:val="dateTime"/>
        <w:calendar w:val="gregorian"/>
      </w:date>
    </w:sdtPr>
    <w:sdtEndPr/>
    <w:sdtContent>
      <w:p w14:paraId="55023D14" w14:textId="65E8DE62" w:rsidR="00AF5B84" w:rsidRPr="000E1A47" w:rsidRDefault="000E1A47" w:rsidP="000E1A47">
        <w:pPr>
          <w:pStyle w:val="PublishDate"/>
          <w:framePr w:w="2835" w:h="340" w:hRule="exact" w:hSpace="180" w:wrap="around" w:vAnchor="page" w:hAnchor="page" w:x="7801" w:y="601" w:anchorLock="1"/>
        </w:pPr>
        <w:r w:rsidRPr="000E1A47">
          <w:t>5 February 2026</w:t>
        </w:r>
      </w:p>
    </w:sdtContent>
  </w:sdt>
  <w:p w14:paraId="0ABF1B2E" w14:textId="77777777" w:rsidR="000E1A47" w:rsidRDefault="000E1A47" w:rsidP="000E1A47">
    <w:pPr>
      <w:pStyle w:val="ProductDescription"/>
      <w:framePr w:w="11339" w:h="1474" w:hRule="exact" w:hSpace="180" w:wrap="around" w:vAnchor="page" w:hAnchor="page" w:x="401" w:y="1141" w:anchorLock="1"/>
      <w:spacing w:after="200"/>
    </w:pPr>
    <w:r>
      <w:t>Research Briefing | UK</w:t>
    </w:r>
  </w:p>
  <w:p w14:paraId="65DD23EC" w14:textId="608267C9" w:rsidR="000E1A47" w:rsidRDefault="000E1A47" w:rsidP="000E1A47">
    <w:pPr>
      <w:pStyle w:val="Headline"/>
      <w:framePr w:w="11339" w:h="1474" w:hRule="exact" w:hSpace="180" w:wrap="around" w:vAnchor="page" w:hAnchor="page" w:x="401" w:y="1141" w:anchorLock="1"/>
      <w:spacing w:line="200" w:lineRule="auto"/>
    </w:pPr>
    <w:r>
      <w:t>Dovish hold prepares the ground for more easing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B84"/>
    <w:rsid w:val="000001EB"/>
    <w:rsid w:val="00003BA7"/>
    <w:rsid w:val="00005D94"/>
    <w:rsid w:val="00014CDD"/>
    <w:rsid w:val="000160A1"/>
    <w:rsid w:val="00022761"/>
    <w:rsid w:val="0005491E"/>
    <w:rsid w:val="000759F5"/>
    <w:rsid w:val="000876CC"/>
    <w:rsid w:val="000A3DD1"/>
    <w:rsid w:val="000C0ADF"/>
    <w:rsid w:val="000C7720"/>
    <w:rsid w:val="000D08E9"/>
    <w:rsid w:val="000D1D01"/>
    <w:rsid w:val="000D3E43"/>
    <w:rsid w:val="000D4624"/>
    <w:rsid w:val="000D6C43"/>
    <w:rsid w:val="000E1A47"/>
    <w:rsid w:val="000E2BD3"/>
    <w:rsid w:val="000E47BF"/>
    <w:rsid w:val="000F09E5"/>
    <w:rsid w:val="000F2393"/>
    <w:rsid w:val="000F3F52"/>
    <w:rsid w:val="001018E9"/>
    <w:rsid w:val="00112899"/>
    <w:rsid w:val="00115A29"/>
    <w:rsid w:val="00120D7A"/>
    <w:rsid w:val="00124E58"/>
    <w:rsid w:val="00160F71"/>
    <w:rsid w:val="0016316B"/>
    <w:rsid w:val="0017078A"/>
    <w:rsid w:val="00180625"/>
    <w:rsid w:val="00190C04"/>
    <w:rsid w:val="00192CDF"/>
    <w:rsid w:val="00195F9A"/>
    <w:rsid w:val="001A5775"/>
    <w:rsid w:val="001A6993"/>
    <w:rsid w:val="001A749F"/>
    <w:rsid w:val="001B1E31"/>
    <w:rsid w:val="001B2B67"/>
    <w:rsid w:val="001B2C32"/>
    <w:rsid w:val="001D4B18"/>
    <w:rsid w:val="001D7057"/>
    <w:rsid w:val="001E0785"/>
    <w:rsid w:val="001E0C4A"/>
    <w:rsid w:val="001E1246"/>
    <w:rsid w:val="001F102E"/>
    <w:rsid w:val="001F3317"/>
    <w:rsid w:val="001F5624"/>
    <w:rsid w:val="00242E5E"/>
    <w:rsid w:val="00261184"/>
    <w:rsid w:val="00261435"/>
    <w:rsid w:val="002615F6"/>
    <w:rsid w:val="00262D94"/>
    <w:rsid w:val="00263E48"/>
    <w:rsid w:val="002745D6"/>
    <w:rsid w:val="00282A8A"/>
    <w:rsid w:val="002863E7"/>
    <w:rsid w:val="00286754"/>
    <w:rsid w:val="0029566B"/>
    <w:rsid w:val="002A43C2"/>
    <w:rsid w:val="002C1955"/>
    <w:rsid w:val="002C3CC7"/>
    <w:rsid w:val="002D0DC9"/>
    <w:rsid w:val="002E0DB7"/>
    <w:rsid w:val="002F4EEC"/>
    <w:rsid w:val="002F68A1"/>
    <w:rsid w:val="003017D9"/>
    <w:rsid w:val="00303E07"/>
    <w:rsid w:val="0031169C"/>
    <w:rsid w:val="00316CBE"/>
    <w:rsid w:val="00333DE4"/>
    <w:rsid w:val="00340910"/>
    <w:rsid w:val="00370974"/>
    <w:rsid w:val="00374E02"/>
    <w:rsid w:val="003A6CF2"/>
    <w:rsid w:val="003A7893"/>
    <w:rsid w:val="003B0CAB"/>
    <w:rsid w:val="003B715A"/>
    <w:rsid w:val="003C1BB1"/>
    <w:rsid w:val="003E54A1"/>
    <w:rsid w:val="003E7F3C"/>
    <w:rsid w:val="003F0F4E"/>
    <w:rsid w:val="0040359C"/>
    <w:rsid w:val="00405A12"/>
    <w:rsid w:val="00405A4A"/>
    <w:rsid w:val="00405D65"/>
    <w:rsid w:val="00412608"/>
    <w:rsid w:val="004258C9"/>
    <w:rsid w:val="00443C58"/>
    <w:rsid w:val="00443E48"/>
    <w:rsid w:val="004458BB"/>
    <w:rsid w:val="004536FD"/>
    <w:rsid w:val="004602D9"/>
    <w:rsid w:val="0046292D"/>
    <w:rsid w:val="00466017"/>
    <w:rsid w:val="004677EA"/>
    <w:rsid w:val="004819EF"/>
    <w:rsid w:val="004827E3"/>
    <w:rsid w:val="00495DE7"/>
    <w:rsid w:val="004A2A92"/>
    <w:rsid w:val="004A5022"/>
    <w:rsid w:val="004B205A"/>
    <w:rsid w:val="004B4F66"/>
    <w:rsid w:val="004C7923"/>
    <w:rsid w:val="004D473F"/>
    <w:rsid w:val="004D5B83"/>
    <w:rsid w:val="004D650E"/>
    <w:rsid w:val="004D6FED"/>
    <w:rsid w:val="004F108F"/>
    <w:rsid w:val="004F5EEA"/>
    <w:rsid w:val="005014FB"/>
    <w:rsid w:val="00506D74"/>
    <w:rsid w:val="00510C33"/>
    <w:rsid w:val="00516C0A"/>
    <w:rsid w:val="005176F2"/>
    <w:rsid w:val="00524103"/>
    <w:rsid w:val="00535C71"/>
    <w:rsid w:val="00537987"/>
    <w:rsid w:val="005414BA"/>
    <w:rsid w:val="0054280C"/>
    <w:rsid w:val="0054606D"/>
    <w:rsid w:val="005473C6"/>
    <w:rsid w:val="00563FEB"/>
    <w:rsid w:val="00575045"/>
    <w:rsid w:val="00576CB8"/>
    <w:rsid w:val="00591B61"/>
    <w:rsid w:val="00592138"/>
    <w:rsid w:val="005A792D"/>
    <w:rsid w:val="005E01D9"/>
    <w:rsid w:val="005E404F"/>
    <w:rsid w:val="005F0616"/>
    <w:rsid w:val="005F1791"/>
    <w:rsid w:val="005F7DDF"/>
    <w:rsid w:val="006125A3"/>
    <w:rsid w:val="006154A2"/>
    <w:rsid w:val="006166EE"/>
    <w:rsid w:val="00632287"/>
    <w:rsid w:val="00633BE2"/>
    <w:rsid w:val="0064503B"/>
    <w:rsid w:val="006540C6"/>
    <w:rsid w:val="0066208F"/>
    <w:rsid w:val="00671564"/>
    <w:rsid w:val="006739BF"/>
    <w:rsid w:val="0067595A"/>
    <w:rsid w:val="0067616C"/>
    <w:rsid w:val="006764CA"/>
    <w:rsid w:val="00681BC5"/>
    <w:rsid w:val="00684ADE"/>
    <w:rsid w:val="006A1630"/>
    <w:rsid w:val="006A676D"/>
    <w:rsid w:val="006B6D73"/>
    <w:rsid w:val="006B76A5"/>
    <w:rsid w:val="006C1E2B"/>
    <w:rsid w:val="006C5B99"/>
    <w:rsid w:val="006C7C06"/>
    <w:rsid w:val="006C7C55"/>
    <w:rsid w:val="006F60F1"/>
    <w:rsid w:val="00712192"/>
    <w:rsid w:val="00716C07"/>
    <w:rsid w:val="00730E79"/>
    <w:rsid w:val="0074116D"/>
    <w:rsid w:val="007475D0"/>
    <w:rsid w:val="007723AE"/>
    <w:rsid w:val="0078159B"/>
    <w:rsid w:val="007840B1"/>
    <w:rsid w:val="00794372"/>
    <w:rsid w:val="0079618D"/>
    <w:rsid w:val="007A0F18"/>
    <w:rsid w:val="007B57CD"/>
    <w:rsid w:val="007D26B2"/>
    <w:rsid w:val="007D283E"/>
    <w:rsid w:val="007D7B5E"/>
    <w:rsid w:val="007E1F47"/>
    <w:rsid w:val="007E4703"/>
    <w:rsid w:val="007E6CAC"/>
    <w:rsid w:val="007F5D5D"/>
    <w:rsid w:val="00803915"/>
    <w:rsid w:val="0083134A"/>
    <w:rsid w:val="00833044"/>
    <w:rsid w:val="00841374"/>
    <w:rsid w:val="00847933"/>
    <w:rsid w:val="00855D52"/>
    <w:rsid w:val="00855D68"/>
    <w:rsid w:val="0086090E"/>
    <w:rsid w:val="008742FC"/>
    <w:rsid w:val="00874B7C"/>
    <w:rsid w:val="00881DB4"/>
    <w:rsid w:val="0088455B"/>
    <w:rsid w:val="008A185C"/>
    <w:rsid w:val="008D1BC9"/>
    <w:rsid w:val="008D4F08"/>
    <w:rsid w:val="008D54F0"/>
    <w:rsid w:val="008E11F0"/>
    <w:rsid w:val="008E721D"/>
    <w:rsid w:val="008F1A70"/>
    <w:rsid w:val="00911AFB"/>
    <w:rsid w:val="00914468"/>
    <w:rsid w:val="009148F6"/>
    <w:rsid w:val="00914983"/>
    <w:rsid w:val="00920D15"/>
    <w:rsid w:val="00922314"/>
    <w:rsid w:val="00923E35"/>
    <w:rsid w:val="0092542B"/>
    <w:rsid w:val="00933B30"/>
    <w:rsid w:val="00935E93"/>
    <w:rsid w:val="00947207"/>
    <w:rsid w:val="009634AC"/>
    <w:rsid w:val="00963AA5"/>
    <w:rsid w:val="00973624"/>
    <w:rsid w:val="00995E6B"/>
    <w:rsid w:val="009B723B"/>
    <w:rsid w:val="009C7C16"/>
    <w:rsid w:val="009E07F1"/>
    <w:rsid w:val="009E5F70"/>
    <w:rsid w:val="009F37D1"/>
    <w:rsid w:val="009F3F01"/>
    <w:rsid w:val="00A12C6E"/>
    <w:rsid w:val="00A25234"/>
    <w:rsid w:val="00A31715"/>
    <w:rsid w:val="00A332D4"/>
    <w:rsid w:val="00A46A58"/>
    <w:rsid w:val="00A50835"/>
    <w:rsid w:val="00A52669"/>
    <w:rsid w:val="00A5668D"/>
    <w:rsid w:val="00A576A0"/>
    <w:rsid w:val="00A6006E"/>
    <w:rsid w:val="00A63323"/>
    <w:rsid w:val="00A66B32"/>
    <w:rsid w:val="00A77085"/>
    <w:rsid w:val="00A9430E"/>
    <w:rsid w:val="00A97354"/>
    <w:rsid w:val="00A977E1"/>
    <w:rsid w:val="00AB24B7"/>
    <w:rsid w:val="00AB538B"/>
    <w:rsid w:val="00AB6A80"/>
    <w:rsid w:val="00AB6B99"/>
    <w:rsid w:val="00AC2054"/>
    <w:rsid w:val="00AD07ED"/>
    <w:rsid w:val="00AD3179"/>
    <w:rsid w:val="00AE008A"/>
    <w:rsid w:val="00AE76E6"/>
    <w:rsid w:val="00AF5B84"/>
    <w:rsid w:val="00B04E07"/>
    <w:rsid w:val="00B07686"/>
    <w:rsid w:val="00B16B5A"/>
    <w:rsid w:val="00B2132E"/>
    <w:rsid w:val="00B467D8"/>
    <w:rsid w:val="00B711D0"/>
    <w:rsid w:val="00B726F4"/>
    <w:rsid w:val="00B7343B"/>
    <w:rsid w:val="00B846EA"/>
    <w:rsid w:val="00B85044"/>
    <w:rsid w:val="00B910EA"/>
    <w:rsid w:val="00BA0685"/>
    <w:rsid w:val="00BB6195"/>
    <w:rsid w:val="00BE1485"/>
    <w:rsid w:val="00BF0BED"/>
    <w:rsid w:val="00BF6A2A"/>
    <w:rsid w:val="00C14243"/>
    <w:rsid w:val="00C17065"/>
    <w:rsid w:val="00C17E17"/>
    <w:rsid w:val="00C470E8"/>
    <w:rsid w:val="00C509F6"/>
    <w:rsid w:val="00C51B0E"/>
    <w:rsid w:val="00C65A69"/>
    <w:rsid w:val="00C660B4"/>
    <w:rsid w:val="00C71A9B"/>
    <w:rsid w:val="00C72052"/>
    <w:rsid w:val="00C75153"/>
    <w:rsid w:val="00C76458"/>
    <w:rsid w:val="00C83421"/>
    <w:rsid w:val="00C84AD7"/>
    <w:rsid w:val="00C90D41"/>
    <w:rsid w:val="00C9185B"/>
    <w:rsid w:val="00C93538"/>
    <w:rsid w:val="00C95ED6"/>
    <w:rsid w:val="00C95FAF"/>
    <w:rsid w:val="00C9656E"/>
    <w:rsid w:val="00C9768F"/>
    <w:rsid w:val="00C97E5F"/>
    <w:rsid w:val="00CA2481"/>
    <w:rsid w:val="00CA4BF3"/>
    <w:rsid w:val="00CB21CC"/>
    <w:rsid w:val="00CB23EC"/>
    <w:rsid w:val="00CB7716"/>
    <w:rsid w:val="00CC0F42"/>
    <w:rsid w:val="00CC3321"/>
    <w:rsid w:val="00CD4969"/>
    <w:rsid w:val="00CE0E14"/>
    <w:rsid w:val="00CE3160"/>
    <w:rsid w:val="00CE5507"/>
    <w:rsid w:val="00D0070C"/>
    <w:rsid w:val="00D01861"/>
    <w:rsid w:val="00D01AEE"/>
    <w:rsid w:val="00D07416"/>
    <w:rsid w:val="00D1791D"/>
    <w:rsid w:val="00D32976"/>
    <w:rsid w:val="00D341D3"/>
    <w:rsid w:val="00D361A8"/>
    <w:rsid w:val="00D379EC"/>
    <w:rsid w:val="00D44219"/>
    <w:rsid w:val="00D645EE"/>
    <w:rsid w:val="00D82250"/>
    <w:rsid w:val="00DA3FB9"/>
    <w:rsid w:val="00DB0BE6"/>
    <w:rsid w:val="00DC3B6C"/>
    <w:rsid w:val="00DE568D"/>
    <w:rsid w:val="00DF1B11"/>
    <w:rsid w:val="00DF68CB"/>
    <w:rsid w:val="00DF73F9"/>
    <w:rsid w:val="00E10235"/>
    <w:rsid w:val="00E10D4F"/>
    <w:rsid w:val="00E176D8"/>
    <w:rsid w:val="00E213A8"/>
    <w:rsid w:val="00E23560"/>
    <w:rsid w:val="00E3323E"/>
    <w:rsid w:val="00E42A40"/>
    <w:rsid w:val="00E55E60"/>
    <w:rsid w:val="00E60491"/>
    <w:rsid w:val="00E7243A"/>
    <w:rsid w:val="00E7274E"/>
    <w:rsid w:val="00E848BB"/>
    <w:rsid w:val="00EA0803"/>
    <w:rsid w:val="00EA2025"/>
    <w:rsid w:val="00EB4898"/>
    <w:rsid w:val="00EC10CA"/>
    <w:rsid w:val="00ED615F"/>
    <w:rsid w:val="00ED6FF0"/>
    <w:rsid w:val="00F05454"/>
    <w:rsid w:val="00F13AF2"/>
    <w:rsid w:val="00F21523"/>
    <w:rsid w:val="00F23937"/>
    <w:rsid w:val="00F2643F"/>
    <w:rsid w:val="00F30CC2"/>
    <w:rsid w:val="00F373AA"/>
    <w:rsid w:val="00F46E5D"/>
    <w:rsid w:val="00F52C66"/>
    <w:rsid w:val="00F678CA"/>
    <w:rsid w:val="00F72F2A"/>
    <w:rsid w:val="00F96453"/>
    <w:rsid w:val="00FB3CA1"/>
    <w:rsid w:val="00FC1EA7"/>
    <w:rsid w:val="00FD445B"/>
    <w:rsid w:val="00FE0EF6"/>
    <w:rsid w:val="00FE5C10"/>
    <w:rsid w:val="00FF21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420B3"/>
  <w15:chartTrackingRefBased/>
  <w15:docId w15:val="{050128D8-7FE7-4CAB-9285-4E010B77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B84"/>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AF5B84"/>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AF5B84"/>
    <w:pPr>
      <w:outlineLvl w:val="1"/>
    </w:pPr>
    <w:rPr>
      <w:sz w:val="28"/>
    </w:rPr>
  </w:style>
  <w:style w:type="paragraph" w:styleId="Heading3">
    <w:name w:val="heading 3"/>
    <w:basedOn w:val="Normal"/>
    <w:next w:val="Normal"/>
    <w:link w:val="Heading3Char"/>
    <w:uiPriority w:val="9"/>
    <w:unhideWhenUsed/>
    <w:qFormat/>
    <w:rsid w:val="00AF5B84"/>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AF5B84"/>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AF5B8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AF5B8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AF5B8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AF5B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AF5B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B84"/>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AF5B84"/>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AF5B84"/>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AF5B84"/>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AF5B84"/>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AF5B84"/>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AF5B84"/>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AF5B84"/>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AF5B84"/>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AF5B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AF5B84"/>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AF5B84"/>
    <w:pPr>
      <w:numPr>
        <w:numId w:val="3"/>
      </w:numPr>
      <w:spacing w:after="0" w:line="240" w:lineRule="auto"/>
      <w:ind w:left="0" w:firstLine="0"/>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AF5B84"/>
    <w:pPr>
      <w:tabs>
        <w:tab w:val="center" w:pos="4320"/>
        <w:tab w:val="right" w:pos="8640"/>
      </w:tabs>
    </w:pPr>
  </w:style>
  <w:style w:type="character" w:customStyle="1" w:styleId="HeaderChar">
    <w:name w:val="Header Char"/>
    <w:basedOn w:val="DefaultParagraphFont"/>
    <w:link w:val="Header"/>
    <w:uiPriority w:val="99"/>
    <w:rsid w:val="00AF5B84"/>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AF5B84"/>
    <w:pPr>
      <w:tabs>
        <w:tab w:val="center" w:pos="4320"/>
        <w:tab w:val="right" w:pos="8640"/>
      </w:tabs>
    </w:pPr>
  </w:style>
  <w:style w:type="character" w:customStyle="1" w:styleId="FooterChar">
    <w:name w:val="Footer Char"/>
    <w:basedOn w:val="DefaultParagraphFont"/>
    <w:link w:val="Footer"/>
    <w:uiPriority w:val="99"/>
    <w:rsid w:val="00AF5B84"/>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AF5B84"/>
    <w:rPr>
      <w:noProof w:val="0"/>
    </w:rPr>
  </w:style>
  <w:style w:type="character" w:styleId="Hyperlink">
    <w:name w:val="Hyperlink"/>
    <w:basedOn w:val="DefaultParagraphFont"/>
    <w:uiPriority w:val="99"/>
    <w:unhideWhenUsed/>
    <w:rsid w:val="00AF5B84"/>
    <w:rPr>
      <w:noProof w:val="0"/>
      <w:color w:val="467886" w:themeColor="hyperlink"/>
      <w:u w:val="single"/>
    </w:rPr>
  </w:style>
  <w:style w:type="paragraph" w:styleId="Revision">
    <w:name w:val="Revision"/>
    <w:hidden/>
    <w:uiPriority w:val="99"/>
    <w:semiHidden/>
    <w:rsid w:val="00AF5B84"/>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AF5B84"/>
    <w:pPr>
      <w:spacing w:after="120"/>
    </w:pPr>
    <w:rPr>
      <w:b/>
      <w:bCs/>
      <w:color w:val="FFFFFF"/>
      <w:sz w:val="32"/>
      <w:szCs w:val="32"/>
    </w:rPr>
  </w:style>
  <w:style w:type="paragraph" w:customStyle="1" w:styleId="Headline">
    <w:name w:val="Headline"/>
    <w:basedOn w:val="Normal"/>
    <w:next w:val="Normal"/>
    <w:link w:val="HeadlineChar"/>
    <w:qFormat/>
    <w:rsid w:val="00AF5B84"/>
    <w:rPr>
      <w:rFonts w:ascii="Segoe UI Semilight" w:hAnsi="Segoe UI Semilight" w:cs="Segoe UI Semilight"/>
      <w:b/>
      <w:bCs/>
      <w:color w:val="FFFFFF"/>
      <w:sz w:val="40"/>
      <w:szCs w:val="40"/>
    </w:rPr>
  </w:style>
  <w:style w:type="paragraph" w:customStyle="1" w:styleId="ExhibitTitle">
    <w:name w:val="Exhibit Title"/>
    <w:basedOn w:val="Normal"/>
    <w:qFormat/>
    <w:rsid w:val="00AF5B84"/>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AF5B84"/>
    <w:pPr>
      <w:shd w:val="clear" w:color="auto" w:fill="D6E2FA"/>
      <w:spacing w:after="0"/>
    </w:pPr>
    <w:rPr>
      <w:color w:val="595959" w:themeColor="text1" w:themeTint="A6"/>
      <w:sz w:val="18"/>
    </w:rPr>
  </w:style>
  <w:style w:type="paragraph" w:customStyle="1" w:styleId="ExhibitSource">
    <w:name w:val="Exhibit Source"/>
    <w:next w:val="Normal"/>
    <w:qFormat/>
    <w:rsid w:val="00AF5B84"/>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AF5B84"/>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AF5B84"/>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AF5B84"/>
    <w:rPr>
      <w:rFonts w:ascii="Segoe UI" w:hAnsi="Segoe UI" w:cs="Segoe UI"/>
      <w:b/>
      <w:bCs/>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AF5B84"/>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AF5B84"/>
    <w:rPr>
      <w:rFonts w:ascii="Segoe UI" w:hAnsi="Segoe UI" w:cs="Segoe UI"/>
      <w:noProof w:val="0"/>
      <w:color w:val="000000" w:themeColor="text1"/>
    </w:rPr>
  </w:style>
  <w:style w:type="paragraph" w:customStyle="1" w:styleId="Summary">
    <w:name w:val="Summary"/>
    <w:basedOn w:val="Normal"/>
    <w:link w:val="SummaryChar"/>
    <w:qFormat/>
    <w:rsid w:val="00AF5B84"/>
    <w:pPr>
      <w:numPr>
        <w:numId w:val="1"/>
      </w:numPr>
      <w:ind w:left="0" w:firstLine="0"/>
    </w:pPr>
    <w:rPr>
      <w:kern w:val="2"/>
      <w:sz w:val="22"/>
      <w14:ligatures w14:val="standardContextual"/>
    </w:rPr>
  </w:style>
  <w:style w:type="paragraph" w:customStyle="1" w:styleId="TableData">
    <w:name w:val="Table Data"/>
    <w:link w:val="TableDataChar"/>
    <w:qFormat/>
    <w:rsid w:val="00AF5B84"/>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AF5B84"/>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AF5B84"/>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AF5B84"/>
    <w:pPr>
      <w:spacing w:before="0" w:after="0"/>
      <w:jc w:val="right"/>
    </w:pPr>
    <w:rPr>
      <w:color w:val="003469"/>
      <w:sz w:val="24"/>
      <w:szCs w:val="24"/>
    </w:rPr>
  </w:style>
  <w:style w:type="paragraph" w:customStyle="1" w:styleId="Author">
    <w:name w:val="Author"/>
    <w:basedOn w:val="Bullet"/>
    <w:link w:val="AuthorChar"/>
    <w:qFormat/>
    <w:rsid w:val="00AF5B84"/>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AF5B84"/>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AF5B84"/>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AF5B84"/>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AF5B84"/>
    <w:pPr>
      <w:numPr>
        <w:numId w:val="4"/>
      </w:numPr>
      <w:spacing w:after="200" w:line="240" w:lineRule="auto"/>
      <w:ind w:left="283" w:hanging="283"/>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AF5B84"/>
    <w:rPr>
      <w:rFonts w:ascii="Segoe UI" w:hAnsi="Segoe UI" w:cs="Segoe UI"/>
      <w:bCs/>
      <w:kern w:val="0"/>
      <w:sz w:val="20"/>
      <w:szCs w:val="20"/>
      <w14:ligatures w14:val="none"/>
    </w:rPr>
  </w:style>
  <w:style w:type="paragraph" w:customStyle="1" w:styleId="RepeatingFooter">
    <w:name w:val="Repeating Footer"/>
    <w:basedOn w:val="Footer"/>
    <w:link w:val="RepeatingFooterChar"/>
    <w:qFormat/>
    <w:rsid w:val="00AF5B84"/>
    <w:rPr>
      <w:color w:val="003469"/>
    </w:rPr>
  </w:style>
  <w:style w:type="character" w:customStyle="1" w:styleId="RepeatingFooterChar">
    <w:name w:val="Repeating Footer Char"/>
    <w:basedOn w:val="FooterChar"/>
    <w:link w:val="RepeatingFooter"/>
    <w:rsid w:val="00AF5B84"/>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AF5B84"/>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AF5B84"/>
    <w:rPr>
      <w:b/>
      <w:bCs/>
      <w:noProof w:val="0"/>
    </w:rPr>
  </w:style>
  <w:style w:type="character" w:customStyle="1" w:styleId="Italics">
    <w:name w:val="Italics"/>
    <w:uiPriority w:val="1"/>
    <w:qFormat/>
    <w:rsid w:val="00AF5B84"/>
    <w:rPr>
      <w:i/>
      <w:iCs/>
      <w:noProof w:val="0"/>
    </w:rPr>
  </w:style>
  <w:style w:type="table" w:customStyle="1" w:styleId="TableGridHeader">
    <w:name w:val="Table Grid Header"/>
    <w:basedOn w:val="TableNormal"/>
    <w:uiPriority w:val="99"/>
    <w:rsid w:val="00AF5B84"/>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D167511-2159-43E4-AC63-1B72255005BD}"/>
      </w:docPartPr>
      <w:docPartBody>
        <w:p w:rsidR="003D73C8" w:rsidRDefault="003D73C8">
          <w:r w:rsidRPr="001010F9">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C8"/>
    <w:rsid w:val="000E3D8C"/>
    <w:rsid w:val="002A43C2"/>
    <w:rsid w:val="003D73C8"/>
    <w:rsid w:val="007D7B5E"/>
    <w:rsid w:val="00C9656E"/>
    <w:rsid w:val="00DF1B11"/>
    <w:rsid w:val="00E42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1016</Words>
  <Characters>4981</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9</cp:revision>
  <dcterms:created xsi:type="dcterms:W3CDTF">2026-02-05T15:37:00Z</dcterms:created>
  <dcterms:modified xsi:type="dcterms:W3CDTF">2026-02-05T15:53:00Z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2026-02-05T15:45:38.000Z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v0.8.2.3</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Team\Data\Inflation report.xlsx,Z:\UK Team\UK Research Briefing\20260205 RB UK MPC reaction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OEP_KEY_THEMES">
    <vt:lpwstr>interest rates,monetary policy</vt:lpwstr>
  </property>
  <property fmtid="{D5CDD505-2E9C-101B-9397-08002B2CF9AE}" pid="18" name="OEP_PRODUCT_CODE">
    <vt:lpwstr>343D0322296F478d87c6ab</vt:lpwstr>
  </property>
  <property fmtid="{D5CDD505-2E9C-101B-9397-08002B2CF9AE}" pid="19" name="OEP_PUBLISH_DATE">
    <vt:lpwstr/>
  </property>
</Properties>
</file>