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3CB9" w14:textId="71AAE0EE" w:rsidR="009D2E46" w:rsidRDefault="004434EC" w:rsidP="009D2E46">
      <w:pPr>
        <w:pStyle w:val="Bullet"/>
      </w:pPr>
      <w:r>
        <w:t xml:space="preserve">The Office for Budget Responsibility's </w:t>
      </w:r>
      <w:r w:rsidR="00747858">
        <w:t xml:space="preserve">spring </w:t>
      </w:r>
      <w:r>
        <w:t>forecast update always looked like a box-ticking exercise</w:t>
      </w:r>
      <w:r w:rsidR="009D2E46">
        <w:t>.</w:t>
      </w:r>
      <w:r>
        <w:t xml:space="preserve"> The events since the weekend reinforced that view – the surge in oil and gas prices means GDP growth is likely to be weaker, and inflation higher, than the OBR forecasts this year.</w:t>
      </w:r>
    </w:p>
    <w:p w14:paraId="1798103B" w14:textId="330BA712" w:rsidR="009D2E46" w:rsidRDefault="00747858" w:rsidP="009D2E46">
      <w:pPr>
        <w:pStyle w:val="Bullet"/>
      </w:pPr>
      <w:r>
        <w:t xml:space="preserve">Although </w:t>
      </w:r>
      <w:r w:rsidR="004434EC">
        <w:t xml:space="preserve">the OBR took on board </w:t>
      </w:r>
      <w:r w:rsidR="00AB61C6">
        <w:t>the recent lower inward migration data</w:t>
      </w:r>
      <w:r w:rsidR="00461F63">
        <w:t xml:space="preserve"> and cut its medium-term forecast</w:t>
      </w:r>
      <w:r w:rsidR="00AB61C6">
        <w:t>, its assumptions still look too high</w:t>
      </w:r>
      <w:r w:rsidR="009D2E46">
        <w:t>.</w:t>
      </w:r>
      <w:r w:rsidR="00AB61C6">
        <w:t xml:space="preserve"> </w:t>
      </w:r>
      <w:r w:rsidR="00806BE6">
        <w:t xml:space="preserve">We expect </w:t>
      </w:r>
      <w:r>
        <w:t xml:space="preserve">it </w:t>
      </w:r>
      <w:r w:rsidR="00FB3423">
        <w:t>will</w:t>
      </w:r>
      <w:r w:rsidR="00806BE6">
        <w:t xml:space="preserve"> have to cut its growth forecasts and raise its borrowing projections over time.</w:t>
      </w:r>
    </w:p>
    <w:p w14:paraId="2FE73327" w14:textId="00C9D8C7" w:rsidR="009D2E46" w:rsidRDefault="00A24E94" w:rsidP="009D2E46">
      <w:r>
        <w:t xml:space="preserve">Chancellor </w:t>
      </w:r>
      <w:r w:rsidR="00747858">
        <w:t xml:space="preserve">of the Exchequer Rachel Reeves </w:t>
      </w:r>
      <w:r>
        <w:t xml:space="preserve">has vowed to hold only one fiscal event per </w:t>
      </w:r>
      <w:r w:rsidR="00AC37C5">
        <w:t>year,</w:t>
      </w:r>
      <w:r>
        <w:t xml:space="preserve"> and, unlike 2025, </w:t>
      </w:r>
      <w:r w:rsidR="00747858">
        <w:t xml:space="preserve">she </w:t>
      </w:r>
      <w:r>
        <w:t>remains on track to keep that promise</w:t>
      </w:r>
      <w:r w:rsidR="009D2E46">
        <w:t>.</w:t>
      </w:r>
      <w:r>
        <w:t xml:space="preserve"> </w:t>
      </w:r>
      <w:r w:rsidR="00515ADE">
        <w:t>Her</w:t>
      </w:r>
      <w:r>
        <w:t xml:space="preserve"> </w:t>
      </w:r>
      <w:r w:rsidR="00AC37C5">
        <w:t xml:space="preserve">statement </w:t>
      </w:r>
      <w:r w:rsidR="00515ADE">
        <w:t xml:space="preserve">today </w:t>
      </w:r>
      <w:r w:rsidR="00AC37C5">
        <w:t>contained no new fiscal announcements</w:t>
      </w:r>
      <w:r w:rsidR="00BA2926">
        <w:t xml:space="preserve"> and merely picked out the highlights from the</w:t>
      </w:r>
      <w:r w:rsidR="00AC37C5">
        <w:t xml:space="preserve"> </w:t>
      </w:r>
      <w:r w:rsidR="00747858">
        <w:t>OBR</w:t>
      </w:r>
      <w:r w:rsidR="00BA2926">
        <w:t>'s new forecast.</w:t>
      </w:r>
    </w:p>
    <w:p w14:paraId="14E95395" w14:textId="5BFCC191" w:rsidR="00A16DAB" w:rsidRDefault="00BA2926" w:rsidP="009D2E46">
      <w:r>
        <w:t>The US</w:t>
      </w:r>
      <w:r w:rsidR="00747858">
        <w:t>-</w:t>
      </w:r>
      <w:r>
        <w:t>Iran conflict rendered the OBR's short-term forecast out</w:t>
      </w:r>
      <w:r w:rsidR="00747858">
        <w:t xml:space="preserve"> </w:t>
      </w:r>
      <w:r>
        <w:t>of</w:t>
      </w:r>
      <w:r w:rsidR="00747858">
        <w:t xml:space="preserve"> </w:t>
      </w:r>
      <w:r>
        <w:t xml:space="preserve">date before it was published. </w:t>
      </w:r>
      <w:r w:rsidR="00A16DAB">
        <w:t xml:space="preserve">Its new forecast for GDP growth is slightly higher than our pre-conflict projection, </w:t>
      </w:r>
      <w:r w:rsidR="00747858">
        <w:t xml:space="preserve">and </w:t>
      </w:r>
      <w:r w:rsidR="00A16DAB">
        <w:t xml:space="preserve">its inflation forecast </w:t>
      </w:r>
      <w:r w:rsidR="00747858">
        <w:t xml:space="preserve">is </w:t>
      </w:r>
      <w:r w:rsidR="00A16DAB">
        <w:t>lower. We</w:t>
      </w:r>
      <w:r w:rsidR="00747858">
        <w:t>'ll</w:t>
      </w:r>
      <w:r w:rsidR="00A16DAB">
        <w:t xml:space="preserve"> publish a </w:t>
      </w:r>
      <w:r>
        <w:t>new baseline forecast</w:t>
      </w:r>
      <w:r w:rsidR="00A16DAB">
        <w:t xml:space="preserve"> </w:t>
      </w:r>
      <w:r>
        <w:t xml:space="preserve">on March 10, </w:t>
      </w:r>
      <w:r w:rsidR="00A16DAB">
        <w:t xml:space="preserve">and </w:t>
      </w:r>
      <w:hyperlink r:id="rId7" w:history="1">
        <w:r w:rsidR="00A16DAB" w:rsidRPr="001342A9">
          <w:rPr>
            <w:rStyle w:val="Hyperlink"/>
          </w:rPr>
          <w:t xml:space="preserve">this </w:t>
        </w:r>
        <w:r w:rsidRPr="001342A9">
          <w:rPr>
            <w:rStyle w:val="Hyperlink"/>
          </w:rPr>
          <w:t>will assu</w:t>
        </w:r>
        <w:r w:rsidR="00A16DAB" w:rsidRPr="001342A9">
          <w:rPr>
            <w:rStyle w:val="Hyperlink"/>
          </w:rPr>
          <w:t>me</w:t>
        </w:r>
      </w:hyperlink>
      <w:r w:rsidR="00A16DAB">
        <w:t xml:space="preserve"> much higher oil and gas prices in the near</w:t>
      </w:r>
      <w:r w:rsidR="00747858">
        <w:t xml:space="preserve"> </w:t>
      </w:r>
      <w:r w:rsidR="00A16DAB">
        <w:t>term. This will lead us to cut our growth forecast and raise ou</w:t>
      </w:r>
      <w:r w:rsidR="00A21CD6">
        <w:t>r</w:t>
      </w:r>
      <w:r w:rsidR="00A16DAB">
        <w:t xml:space="preserve"> projection for inflation.</w:t>
      </w:r>
    </w:p>
    <w:p w14:paraId="2D69B356" w14:textId="0141E009" w:rsidR="003C77FC" w:rsidRDefault="008551D7" w:rsidP="003C77FC">
      <w:r>
        <w:t>We</w:t>
      </w:r>
      <w:r w:rsidR="00747858">
        <w:t>'</w:t>
      </w:r>
      <w:r>
        <w:t xml:space="preserve">d </w:t>
      </w:r>
      <w:hyperlink r:id="rId8" w:history="1">
        <w:r w:rsidRPr="00F71BD7">
          <w:rPr>
            <w:rStyle w:val="Hyperlink"/>
          </w:rPr>
          <w:t>previously flagged</w:t>
        </w:r>
      </w:hyperlink>
      <w:r>
        <w:t xml:space="preserve"> the potential for lower inward migration to force the OBR to cut its medium-term growth forecast.</w:t>
      </w:r>
      <w:r w:rsidR="00BA2926">
        <w:t xml:space="preserve"> </w:t>
      </w:r>
      <w:r>
        <w:t xml:space="preserve">The official forecaster made its first step </w:t>
      </w:r>
      <w:r w:rsidR="00291CCD">
        <w:t xml:space="preserve">in that direction </w:t>
      </w:r>
      <w:r>
        <w:t xml:space="preserve">today, cutting its </w:t>
      </w:r>
      <w:r w:rsidR="00CA4777">
        <w:t xml:space="preserve">projections for net inflows by an average of 60,000 a year from 2026-2031. But </w:t>
      </w:r>
      <w:r w:rsidR="00600695">
        <w:t xml:space="preserve">we think its assumptions still look too </w:t>
      </w:r>
      <w:r w:rsidR="00F55BDE">
        <w:t>high</w:t>
      </w:r>
      <w:r w:rsidR="00600695">
        <w:t xml:space="preserve"> and expect that the OBR will be forced to lower </w:t>
      </w:r>
      <w:r w:rsidR="00F55BDE">
        <w:t>its profile</w:t>
      </w:r>
      <w:r w:rsidR="00600695">
        <w:t xml:space="preserve"> further (</w:t>
      </w:r>
      <w:r w:rsidR="00B02138" w:rsidRPr="00B02138">
        <w:rPr>
          <w:b/>
          <w:color w:val="003469"/>
        </w:rPr>
        <w:fldChar w:fldCharType="begin"/>
      </w:r>
      <w:r w:rsidR="00B02138" w:rsidRPr="00B02138">
        <w:rPr>
          <w:b/>
          <w:color w:val="003469"/>
        </w:rPr>
        <w:instrText xml:space="preserve">REF _Ref223440011 \h \* Charformat </w:instrText>
      </w:r>
      <w:r w:rsidR="00B02138" w:rsidRPr="00B02138">
        <w:rPr>
          <w:b/>
          <w:color w:val="003469"/>
        </w:rPr>
      </w:r>
      <w:r w:rsidR="00B02138" w:rsidRPr="00B02138">
        <w:rPr>
          <w:b/>
          <w:color w:val="003469"/>
        </w:rPr>
        <w:fldChar w:fldCharType="separate"/>
      </w:r>
      <w:r w:rsidR="00B063F3" w:rsidRPr="00B063F3">
        <w:rPr>
          <w:b/>
          <w:color w:val="003469"/>
        </w:rPr>
        <w:t>Chart 1</w:t>
      </w:r>
      <w:r w:rsidR="00B02138" w:rsidRPr="00B02138">
        <w:rPr>
          <w:b/>
          <w:color w:val="003469"/>
        </w:rPr>
        <w:fldChar w:fldCharType="end"/>
      </w:r>
      <w:r w:rsidR="00600695">
        <w:t>).</w:t>
      </w:r>
      <w:r w:rsidR="00FB3423">
        <w:t xml:space="preserve"> This would damage growth prospects and imply a weaker outlook for the public finances.</w:t>
      </w:r>
    </w:p>
    <w:p w14:paraId="59B8332E" w14:textId="77777777" w:rsidR="00B063F3" w:rsidRDefault="006C041E" w:rsidP="003C77FC">
      <w:r>
        <w:t xml:space="preserve">More broadly, we </w:t>
      </w:r>
      <w:r w:rsidR="006E0AC8">
        <w:t xml:space="preserve">remain sceptical that the fiscal plans will deliver the reduction in borrowing that the OBR anticipates. History suggests revenue-based consolidations have a high failure rate. Relying on large increases in smaller revenue streams incentivises behavioural change. And </w:t>
      </w:r>
      <w:r w:rsidR="00F108BC">
        <w:t xml:space="preserve">we doubt the government will tighten policy in an election year, as current plans indicate. </w:t>
      </w:r>
      <w:r w:rsidR="00747858">
        <w:t>So,</w:t>
      </w:r>
      <w:r w:rsidR="00F108BC">
        <w:t xml:space="preserve"> while the OBR's new forecast suggests there's reasonable headroom (£24bn or 0.7% of GDP), we think </w:t>
      </w:r>
      <w:r w:rsidR="0037412C">
        <w:t xml:space="preserve">the </w:t>
      </w:r>
      <w:r w:rsidR="006A5569">
        <w:t xml:space="preserve">UK </w:t>
      </w:r>
      <w:r w:rsidR="0037412C">
        <w:t>fiscal situation is more parlous.</w:t>
      </w:r>
    </w:p>
    <w:p w14:paraId="6CE6C8AC" w14:textId="65B78A5D" w:rsidR="009D2E46" w:rsidRDefault="009D2E46" w:rsidP="00B063F3">
      <w:pPr>
        <w:pStyle w:val="ExhibitTitle"/>
        <w:jc w:val="center"/>
      </w:pPr>
      <w:bookmarkStart w:id="0" w:name="_Ref223440011"/>
      <w:r>
        <w:t xml:space="preserve">Chart </w:t>
      </w:r>
      <w:r>
        <w:fldChar w:fldCharType="begin"/>
      </w:r>
      <w:r w:rsidR="00B063F3">
        <w:instrText>SEQ CHART</w:instrText>
      </w:r>
      <w:r>
        <w:fldChar w:fldCharType="separate"/>
      </w:r>
      <w:r w:rsidR="00B063F3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F108BC">
        <w:t>The OBR's new assumptions for net inward migration still look too high</w:t>
      </w:r>
    </w:p>
    <w:p w14:paraId="4EAD8989" w14:textId="05B1249E" w:rsidR="00B063F3" w:rsidRDefault="00B063F3" w:rsidP="00B063F3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7D6630A" wp14:editId="5E486A85">
            <wp:extent cx="4006964" cy="3144542"/>
            <wp:effectExtent l="0" t="0" r="0" b="0"/>
            <wp:docPr id="99201610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610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82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6ECE" w14:textId="4DA4B13A" w:rsidR="00B02138" w:rsidRDefault="00B063F3" w:rsidP="00B063F3">
      <w:pPr>
        <w:pStyle w:val="ExhibitSource"/>
        <w:jc w:val="center"/>
      </w:pPr>
      <w:r>
        <w:t>Sources: Oxford Economics, ONS</w:t>
      </w:r>
    </w:p>
    <w:p w14:paraId="03BD9BC0" w14:textId="77777777" w:rsidR="00303D2C" w:rsidRPr="00303D2C" w:rsidRDefault="00303D2C" w:rsidP="00303D2C"/>
    <w:sectPr w:rsidR="00303D2C" w:rsidRPr="00303D2C" w:rsidSect="00B063F3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71A5" w14:textId="77777777" w:rsidR="00081588" w:rsidRDefault="00081588" w:rsidP="009D2E46">
      <w:pPr>
        <w:spacing w:before="0" w:after="0"/>
      </w:pPr>
      <w:r>
        <w:separator/>
      </w:r>
    </w:p>
  </w:endnote>
  <w:endnote w:type="continuationSeparator" w:id="0">
    <w:p w14:paraId="49B1F8D0" w14:textId="77777777" w:rsidR="00081588" w:rsidRDefault="00081588" w:rsidP="009D2E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BED8" w14:textId="76CA6F9D" w:rsidR="009D2E46" w:rsidRDefault="00B063F3" w:rsidP="009D2E46">
    <w:pPr>
      <w:pStyle w:val="Author"/>
    </w:pPr>
    <w:r>
      <w:t>Andrew Goodwin | Chief UK Economist | 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F3B66" w14:textId="77777777" w:rsidR="00081588" w:rsidRDefault="00081588" w:rsidP="009D2E46">
      <w:pPr>
        <w:spacing w:before="0" w:after="0"/>
      </w:pPr>
      <w:r>
        <w:separator/>
      </w:r>
    </w:p>
  </w:footnote>
  <w:footnote w:type="continuationSeparator" w:id="0">
    <w:p w14:paraId="4EFA7FF9" w14:textId="77777777" w:rsidR="00081588" w:rsidRDefault="00081588" w:rsidP="009D2E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48EF" w14:textId="77777777" w:rsidR="009D2E46" w:rsidRDefault="009D2E46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91D30" w14:textId="77777777" w:rsidR="009D2E46" w:rsidRDefault="009D2E46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1A29" w14:textId="261D6DF1" w:rsidR="009D2E46" w:rsidRPr="009D2E46" w:rsidRDefault="009D2E46" w:rsidP="009D2E46">
    <w:pPr>
      <w:rPr>
        <w:sz w:val="4"/>
      </w:rPr>
    </w:pPr>
    <w:r w:rsidRPr="009D2E46">
      <w:rPr>
        <w:noProof/>
        <w:sz w:val="4"/>
      </w:rPr>
      <w:drawing>
        <wp:anchor distT="0" distB="0" distL="114300" distR="114300" simplePos="0" relativeHeight="251658239" behindDoc="1" locked="1" layoutInCell="1" allowOverlap="1" wp14:anchorId="520F7EA2" wp14:editId="0E42E8D6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2E46">
      <w:rPr>
        <w:noProof/>
        <w:sz w:val="4"/>
      </w:rPr>
      <w:drawing>
        <wp:anchor distT="0" distB="0" distL="114300" distR="114300" simplePos="0" relativeHeight="251659264" behindDoc="1" locked="1" layoutInCell="1" allowOverlap="1" wp14:anchorId="282357DF" wp14:editId="6A99B764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457771439"/>
      <w:lock w:val="sdtLocked"/>
      <w:placeholder>
        <w:docPart w:val="DefaultPlaceholder_-1854013437"/>
      </w:placeholder>
      <w:date w:fullDate="2026-03-03T00:00:00Z">
        <w:dateFormat w:val="d MMMM yyyy"/>
        <w:lid w:val="en-GB"/>
        <w:storeMappedDataAs w:val="dateTime"/>
        <w:calendar w:val="gregorian"/>
      </w:date>
    </w:sdtPr>
    <w:sdtEndPr/>
    <w:sdtContent>
      <w:p w14:paraId="47245758" w14:textId="69ED3C64" w:rsidR="009D2E46" w:rsidRPr="009D2E46" w:rsidRDefault="009D2E46" w:rsidP="009D2E46">
        <w:pPr>
          <w:pStyle w:val="PublishDate"/>
          <w:framePr w:w="2835" w:h="340" w:hRule="exact" w:hSpace="180" w:wrap="around" w:vAnchor="page" w:hAnchor="page" w:x="7801" w:y="601" w:anchorLock="1"/>
        </w:pPr>
        <w:r>
          <w:t>3 March 2026</w:t>
        </w:r>
      </w:p>
    </w:sdtContent>
  </w:sdt>
  <w:p w14:paraId="2D109FF0" w14:textId="224A4887" w:rsidR="009D2E46" w:rsidRDefault="009D2E46" w:rsidP="009D2E46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4ED7357B" w14:textId="0787E897" w:rsidR="009D2E46" w:rsidRDefault="00AC37C5" w:rsidP="009D2E46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OBR forecasts were out</w:t>
    </w:r>
    <w:r w:rsidR="00747858">
      <w:t xml:space="preserve"> </w:t>
    </w:r>
    <w:r>
      <w:t>of</w:t>
    </w:r>
    <w:r w:rsidR="00747858">
      <w:t xml:space="preserve"> </w:t>
    </w:r>
    <w:r>
      <w:t>date before they were published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46"/>
    <w:rsid w:val="00081588"/>
    <w:rsid w:val="000910AC"/>
    <w:rsid w:val="000B1246"/>
    <w:rsid w:val="000B3337"/>
    <w:rsid w:val="000F6C1A"/>
    <w:rsid w:val="001342A9"/>
    <w:rsid w:val="002176D9"/>
    <w:rsid w:val="00236043"/>
    <w:rsid w:val="00237232"/>
    <w:rsid w:val="00270B02"/>
    <w:rsid w:val="00291CCD"/>
    <w:rsid w:val="00303D2C"/>
    <w:rsid w:val="0037412C"/>
    <w:rsid w:val="003A6EF7"/>
    <w:rsid w:val="003C77FC"/>
    <w:rsid w:val="00416058"/>
    <w:rsid w:val="004434EC"/>
    <w:rsid w:val="00461F63"/>
    <w:rsid w:val="004660FE"/>
    <w:rsid w:val="004E3B23"/>
    <w:rsid w:val="00510D16"/>
    <w:rsid w:val="00515ADE"/>
    <w:rsid w:val="005164C8"/>
    <w:rsid w:val="00600695"/>
    <w:rsid w:val="006A5569"/>
    <w:rsid w:val="006C041E"/>
    <w:rsid w:val="006E0AC8"/>
    <w:rsid w:val="00747858"/>
    <w:rsid w:val="00806BE6"/>
    <w:rsid w:val="008551D7"/>
    <w:rsid w:val="00875FA2"/>
    <w:rsid w:val="00894E0D"/>
    <w:rsid w:val="009A08C8"/>
    <w:rsid w:val="009A3806"/>
    <w:rsid w:val="009D2E46"/>
    <w:rsid w:val="00A16DAB"/>
    <w:rsid w:val="00A17153"/>
    <w:rsid w:val="00A21CD6"/>
    <w:rsid w:val="00A24E94"/>
    <w:rsid w:val="00A5202A"/>
    <w:rsid w:val="00AB61C6"/>
    <w:rsid w:val="00AC37C5"/>
    <w:rsid w:val="00AF4970"/>
    <w:rsid w:val="00B02138"/>
    <w:rsid w:val="00B063F3"/>
    <w:rsid w:val="00BA2926"/>
    <w:rsid w:val="00CA4777"/>
    <w:rsid w:val="00CD2952"/>
    <w:rsid w:val="00D219B2"/>
    <w:rsid w:val="00E42F3B"/>
    <w:rsid w:val="00F108BC"/>
    <w:rsid w:val="00F55BDE"/>
    <w:rsid w:val="00F64C24"/>
    <w:rsid w:val="00F71BD7"/>
    <w:rsid w:val="00FB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726BD"/>
  <w15:chartTrackingRefBased/>
  <w15:docId w15:val="{7770DBDF-4414-4183-A578-82F6B6D7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46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E46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D2E46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E46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E46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D2E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D2E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D2E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D2E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D2E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46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2E46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2E46"/>
    <w:rPr>
      <w:rFonts w:ascii="Segoe UI" w:eastAsiaTheme="majorEastAsia" w:hAnsi="Segoe UI" w:cstheme="majorBidi"/>
      <w:noProof w:val="0"/>
      <w:color w:val="003469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D2E46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szCs w:val="22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D2E46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46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46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46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46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2E46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46"/>
    <w:rPr>
      <w:rFonts w:ascii="Segoe UI" w:hAnsi="Segoe UI" w:cs="Segoe UI"/>
      <w:i/>
      <w:iCs/>
      <w:noProof w:val="0"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9D2E46"/>
    <w:pPr>
      <w:numPr>
        <w:numId w:val="3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9D2E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2E46"/>
    <w:rPr>
      <w:rFonts w:ascii="Segoe UI" w:hAnsi="Segoe UI" w:cs="Segoe UI"/>
      <w:noProof w:val="0"/>
      <w:color w:val="000000" w:themeColor="text1"/>
      <w:kern w:val="0"/>
      <w:sz w:val="2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2E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E46"/>
    <w:rPr>
      <w:rFonts w:ascii="Segoe UI" w:hAnsi="Segoe UI" w:cs="Segoe UI"/>
      <w:noProof w:val="0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9D2E46"/>
    <w:rPr>
      <w:noProof w:val="0"/>
    </w:rPr>
  </w:style>
  <w:style w:type="character" w:styleId="Hyperlink">
    <w:name w:val="Hyperlink"/>
    <w:basedOn w:val="DefaultParagraphFont"/>
    <w:uiPriority w:val="99"/>
    <w:unhideWhenUsed/>
    <w:rsid w:val="009D2E46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D2E46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D2E46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9D2E46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9D2E46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9D2E46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9D2E46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:szCs w:val="22"/>
      <w14:ligatures w14:val="none"/>
    </w:rPr>
  </w:style>
  <w:style w:type="paragraph" w:customStyle="1" w:styleId="Glossary">
    <w:name w:val="Glossary"/>
    <w:basedOn w:val="Normal"/>
    <w:rsid w:val="009D2E46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9D2E46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9D2E46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9D2E46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9D2E46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D2E46"/>
    <w:pPr>
      <w:numPr>
        <w:numId w:val="1"/>
      </w:numPr>
      <w:ind w:left="0" w:firstLine="0"/>
    </w:pPr>
    <w:rPr>
      <w:kern w:val="2"/>
      <w:sz w:val="24"/>
      <w:szCs w:val="24"/>
      <w14:ligatures w14:val="standardContextual"/>
    </w:rPr>
  </w:style>
  <w:style w:type="paragraph" w:customStyle="1" w:styleId="TableData">
    <w:name w:val="Table Data"/>
    <w:link w:val="TableDataChar"/>
    <w:qFormat/>
    <w:rsid w:val="009D2E46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9D2E46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9D2E46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9D2E46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9D2E46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9D2E46"/>
    <w:rPr>
      <w:rFonts w:ascii="Segoe UI" w:hAnsi="Segoe UI" w:cs="Segoe UI"/>
      <w:noProof w:val="0"/>
      <w:color w:val="003469"/>
      <w:kern w:val="0"/>
      <w14:ligatures w14:val="none"/>
    </w:rPr>
  </w:style>
  <w:style w:type="character" w:customStyle="1" w:styleId="AuthorChar">
    <w:name w:val="Author Char"/>
    <w:basedOn w:val="FooterChar"/>
    <w:link w:val="Author"/>
    <w:rsid w:val="009D2E46"/>
    <w:rPr>
      <w:rFonts w:ascii="Segoe UI" w:hAnsi="Segoe UI" w:cs="Segoe UI"/>
      <w:b/>
      <w:bCs/>
      <w:noProof w:val="0"/>
      <w:color w:val="7F7F7F" w:themeColor="text1" w:themeTint="80"/>
      <w:kern w:val="0"/>
      <w:sz w:val="20"/>
      <w:szCs w:val="22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D2E46"/>
    <w:rPr>
      <w:rFonts w:ascii="Segoe UI" w:hAnsi="Segoe UI" w:cs="Segoe UI"/>
      <w:noProof w:val="0"/>
      <w:color w:val="000000" w:themeColor="text1"/>
      <w:kern w:val="0"/>
      <w:sz w:val="20"/>
      <w:szCs w:val="22"/>
      <w14:ligatures w14:val="none"/>
    </w:rPr>
  </w:style>
  <w:style w:type="paragraph" w:customStyle="1" w:styleId="BodyBullet">
    <w:name w:val="Body Bullet"/>
    <w:link w:val="BodyBulletChar"/>
    <w:qFormat/>
    <w:rsid w:val="009D2E46"/>
    <w:pPr>
      <w:numPr>
        <w:numId w:val="4"/>
      </w:numPr>
      <w:spacing w:after="200" w:line="240" w:lineRule="auto"/>
      <w:ind w:left="283" w:hanging="283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9D2E46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9D2E46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9D2E46"/>
    <w:rPr>
      <w:rFonts w:ascii="Segoe UI" w:hAnsi="Segoe UI" w:cs="Segoe UI"/>
      <w:noProof w:val="0"/>
      <w:color w:val="003469"/>
      <w:kern w:val="0"/>
      <w:sz w:val="20"/>
      <w:szCs w:val="22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9D2E46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9D2E46"/>
    <w:rPr>
      <w:b/>
      <w:bCs/>
      <w:noProof w:val="0"/>
    </w:rPr>
  </w:style>
  <w:style w:type="character" w:customStyle="1" w:styleId="Italics">
    <w:name w:val="Italics"/>
    <w:uiPriority w:val="1"/>
    <w:qFormat/>
    <w:rsid w:val="009D2E46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9D2E46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 w:val="22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xfordeconomics.com/reportaction/a499F660d9BC411a949Dfb/Toc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001C2cBab9F44c619C8C53/Toc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A00DE-F2C5-4A28-AE64-D35D2AE56EF9}"/>
      </w:docPartPr>
      <w:docPartBody>
        <w:p w:rsidR="00493D03" w:rsidRDefault="00493D03">
          <w:r w:rsidRPr="00267CB3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03"/>
    <w:rsid w:val="000B1246"/>
    <w:rsid w:val="00416058"/>
    <w:rsid w:val="00493D03"/>
    <w:rsid w:val="005164C8"/>
    <w:rsid w:val="00875FA2"/>
    <w:rsid w:val="00CD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421</Words>
  <Characters>2157</Characters>
  <Application>Microsoft Office Word</Application>
  <DocSecurity>0</DocSecurity>
  <Lines>28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11</cp:revision>
  <dcterms:created xsi:type="dcterms:W3CDTF">2026-03-03T16:44:00Z</dcterms:created>
  <dcterms:modified xsi:type="dcterms:W3CDTF">2026-03-03T16:54:00Z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0.0.1.44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2026-03-03T14:35:29.000Z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v0.8.2.4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/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Themes:fiscal policy,politics</vt:lpwstr>
  </property>
  <property fmtid="{D5CDD505-2E9C-101B-9397-08002B2CF9AE}" pid="16" name="OEP_EXHIBIT_FILEPATHS">
    <vt:lpwstr>Z:\UK Team\UK Research Briefing\20260303 RB UK OBR Spring Forecast - Charts.xlsx</vt:lpwstr>
  </property>
  <property fmtid="{D5CDD505-2E9C-101B-9397-08002B2CF9AE}" pid="17" name="OEP_KEY_THEMES">
    <vt:lpwstr>fiscal policy</vt:lpwstr>
  </property>
  <property fmtid="{D5CDD505-2E9C-101B-9397-08002B2CF9AE}" pid="18" name="GrammarlyDocumentId">
    <vt:lpwstr>208193ff-75b4-475f-a299-12dc53c4b7e6</vt:lpwstr>
  </property>
  <property fmtid="{D5CDD505-2E9C-101B-9397-08002B2CF9AE}" pid="19" name="OEP_PRODUCT_CODE">
    <vt:lpwstr>8ffB0c4102E54c63b3b1be</vt:lpwstr>
  </property>
  <property fmtid="{D5CDD505-2E9C-101B-9397-08002B2CF9AE}" pid="20" name="OEP_PUBLISH_DATE">
    <vt:lpwstr>2026-03-03T16:52:06.000Z</vt:lpwstr>
  </property>
</Properties>
</file>