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51A48" w14:textId="21402178" w:rsidR="00E20D06" w:rsidRPr="00766B66" w:rsidRDefault="00060D84" w:rsidP="00F23A39">
      <w:pPr>
        <w:pStyle w:val="Bullet"/>
      </w:pPr>
      <w:r w:rsidRPr="00766B66">
        <w:t xml:space="preserve">We expect the Bank of England's Monetary Policy Committee </w:t>
      </w:r>
      <w:r w:rsidR="0002447D" w:rsidRPr="00766B66">
        <w:t xml:space="preserve">to cut Bank Rate </w:t>
      </w:r>
      <w:r w:rsidR="00DC4969" w:rsidRPr="00766B66">
        <w:t>by 25bps at next week's meeting</w:t>
      </w:r>
      <w:r w:rsidR="00E91061" w:rsidRPr="00766B66">
        <w:t xml:space="preserve">. </w:t>
      </w:r>
      <w:r w:rsidR="00743A8A" w:rsidRPr="00766B66">
        <w:t xml:space="preserve">Cutting at alternate meetings </w:t>
      </w:r>
      <w:r w:rsidR="00AD2B0F" w:rsidRPr="00766B66">
        <w:t xml:space="preserve">has become the norm, </w:t>
      </w:r>
      <w:r w:rsidR="008A2A31">
        <w:t xml:space="preserve">supported </w:t>
      </w:r>
      <w:r w:rsidR="00AD2B0F" w:rsidRPr="00766B66">
        <w:t xml:space="preserve">even </w:t>
      </w:r>
      <w:r w:rsidR="008A2A31">
        <w:t>by</w:t>
      </w:r>
      <w:r w:rsidR="00AD2B0F" w:rsidRPr="00766B66">
        <w:t xml:space="preserve"> </w:t>
      </w:r>
      <w:r w:rsidR="00337711" w:rsidRPr="00766B66">
        <w:t xml:space="preserve">the </w:t>
      </w:r>
      <w:r w:rsidR="00117376" w:rsidRPr="00766B66">
        <w:t>more hawkish MPC members</w:t>
      </w:r>
      <w:r w:rsidR="009D5848" w:rsidRPr="00766B66">
        <w:t xml:space="preserve">, </w:t>
      </w:r>
      <w:r w:rsidR="00887D44" w:rsidRPr="00766B66">
        <w:t>and</w:t>
      </w:r>
      <w:r w:rsidR="007B719A" w:rsidRPr="00766B66">
        <w:t xml:space="preserve"> loosening policy in May would be in keeping with this.</w:t>
      </w:r>
      <w:r w:rsidR="002E2FCD" w:rsidRPr="00766B66">
        <w:t xml:space="preserve"> </w:t>
      </w:r>
      <w:r w:rsidR="004C1EE4" w:rsidRPr="00766B66">
        <w:t>W</w:t>
      </w:r>
      <w:r w:rsidR="00E71DC5" w:rsidRPr="00766B66">
        <w:t xml:space="preserve">e suspect </w:t>
      </w:r>
      <w:r w:rsidR="00D542E9" w:rsidRPr="00766B66">
        <w:t xml:space="preserve">some </w:t>
      </w:r>
      <w:r w:rsidR="004C1EE4" w:rsidRPr="00766B66">
        <w:t>members</w:t>
      </w:r>
      <w:r w:rsidR="00AE0F30" w:rsidRPr="00766B66">
        <w:t xml:space="preserve"> </w:t>
      </w:r>
      <w:r w:rsidR="00D542E9" w:rsidRPr="00766B66">
        <w:t>may vot</w:t>
      </w:r>
      <w:r w:rsidR="004C1EE4" w:rsidRPr="00766B66">
        <w:t>e</w:t>
      </w:r>
      <w:r w:rsidR="00D542E9" w:rsidRPr="00766B66">
        <w:t xml:space="preserve"> for a larger cut</w:t>
      </w:r>
      <w:r w:rsidR="004C1EE4" w:rsidRPr="00766B66">
        <w:t>, most likely Swati Dhingra and possibly one or two others.</w:t>
      </w:r>
    </w:p>
    <w:p w14:paraId="68D8D558" w14:textId="21A30E9E" w:rsidR="00F23A39" w:rsidRPr="00766B66" w:rsidRDefault="00991339" w:rsidP="000E475C">
      <w:pPr>
        <w:pStyle w:val="Bullet"/>
      </w:pPr>
      <w:r w:rsidRPr="00766B66">
        <w:t xml:space="preserve">May's meeting is an opportunity for the </w:t>
      </w:r>
      <w:r w:rsidR="00FB2ADA">
        <w:t>c</w:t>
      </w:r>
      <w:r w:rsidR="008A2A31">
        <w:t>ommittee</w:t>
      </w:r>
      <w:r w:rsidR="008A2A31" w:rsidRPr="00766B66">
        <w:t xml:space="preserve"> </w:t>
      </w:r>
      <w:r w:rsidRPr="00766B66">
        <w:t xml:space="preserve">to </w:t>
      </w:r>
      <w:r w:rsidR="008A2A31">
        <w:t>explain</w:t>
      </w:r>
      <w:r w:rsidRPr="00766B66">
        <w:t xml:space="preserve"> how recent tariff developments have shaped </w:t>
      </w:r>
      <w:r w:rsidR="008A2A31">
        <w:t>its</w:t>
      </w:r>
      <w:r w:rsidR="008A2A31" w:rsidRPr="00766B66">
        <w:t xml:space="preserve"> </w:t>
      </w:r>
      <w:r w:rsidRPr="00766B66">
        <w:t xml:space="preserve">outlook. </w:t>
      </w:r>
      <w:r w:rsidR="00E20D06" w:rsidRPr="00766B66">
        <w:t xml:space="preserve">We </w:t>
      </w:r>
      <w:r w:rsidR="00346FFA" w:rsidRPr="00766B66">
        <w:t xml:space="preserve">think the MPC will likely downgrade both its </w:t>
      </w:r>
      <w:r w:rsidR="009B6990" w:rsidRPr="00766B66">
        <w:t xml:space="preserve">near-term </w:t>
      </w:r>
      <w:r w:rsidR="00346FFA" w:rsidRPr="00766B66">
        <w:t>growth and inflation forecast</w:t>
      </w:r>
      <w:r w:rsidR="009B6990" w:rsidRPr="00766B66">
        <w:t>s</w:t>
      </w:r>
      <w:r w:rsidR="000E475C" w:rsidRPr="00766B66">
        <w:t>.</w:t>
      </w:r>
    </w:p>
    <w:p w14:paraId="5AD8DF2A" w14:textId="2E9DF74E" w:rsidR="00E933A2" w:rsidRPr="00766B66" w:rsidRDefault="008A2A31" w:rsidP="000E475C">
      <w:pPr>
        <w:pStyle w:val="Bullet"/>
      </w:pPr>
      <w:r>
        <w:t>E</w:t>
      </w:r>
      <w:r w:rsidR="00DC2BD8" w:rsidRPr="00766B66">
        <w:t xml:space="preserve">arly signs suggest the </w:t>
      </w:r>
      <w:r w:rsidR="00FB2ADA">
        <w:t>c</w:t>
      </w:r>
      <w:r w:rsidRPr="00766B66">
        <w:t xml:space="preserve">ommittee </w:t>
      </w:r>
      <w:r w:rsidR="00DC2BD8" w:rsidRPr="00766B66">
        <w:t>may be open to adopting a more proactive approach to loosening policy</w:t>
      </w:r>
      <w:r w:rsidR="00D8588E" w:rsidRPr="00766B66">
        <w:t xml:space="preserve"> at subsequent meetings.</w:t>
      </w:r>
      <w:r w:rsidR="00D340AB" w:rsidRPr="00766B66">
        <w:t xml:space="preserve"> </w:t>
      </w:r>
      <w:r>
        <w:t>H</w:t>
      </w:r>
      <w:r w:rsidR="00D340AB" w:rsidRPr="00766B66">
        <w:t>ow the MPC balance</w:t>
      </w:r>
      <w:r w:rsidR="00EC5697" w:rsidRPr="00766B66">
        <w:t>s the demand shock from US tariff announcements against its existing concerns about weak supply</w:t>
      </w:r>
      <w:r>
        <w:t xml:space="preserve"> will be key</w:t>
      </w:r>
      <w:r w:rsidR="00EC5697" w:rsidRPr="00766B66">
        <w:t>.</w:t>
      </w:r>
    </w:p>
    <w:p w14:paraId="591073E6" w14:textId="29613832" w:rsidR="004061E4" w:rsidRDefault="004E13A8" w:rsidP="00F23A39">
      <w:r w:rsidRPr="00766B66">
        <w:t xml:space="preserve">The Bank of England's Monetary Policy Committee has </w:t>
      </w:r>
      <w:r w:rsidR="008741EE" w:rsidRPr="00766B66">
        <w:t xml:space="preserve">settled into a pattern of lowering Bank Rate at alternate meetings </w:t>
      </w:r>
      <w:r w:rsidR="00427C96" w:rsidRPr="00766B66">
        <w:t>since the rate-cutting cycle kicked off last August.</w:t>
      </w:r>
      <w:r w:rsidR="00C2414C" w:rsidRPr="00766B66">
        <w:t xml:space="preserve"> </w:t>
      </w:r>
      <w:r w:rsidR="008D5940" w:rsidRPr="00766B66">
        <w:t>Following a pause at the last meeting in March, w</w:t>
      </w:r>
      <w:r w:rsidR="00C2414C" w:rsidRPr="00766B66">
        <w:t xml:space="preserve">e </w:t>
      </w:r>
      <w:r w:rsidR="001D4150" w:rsidRPr="00766B66">
        <w:t>regard</w:t>
      </w:r>
      <w:r w:rsidR="00C2414C" w:rsidRPr="00766B66">
        <w:t xml:space="preserve"> </w:t>
      </w:r>
      <w:r w:rsidR="008F6AFB" w:rsidRPr="00766B66">
        <w:t>a</w:t>
      </w:r>
      <w:r w:rsidR="00C2414C" w:rsidRPr="00766B66">
        <w:t xml:space="preserve"> 25bps </w:t>
      </w:r>
      <w:r w:rsidR="002B537D" w:rsidRPr="00766B66">
        <w:t xml:space="preserve">cut </w:t>
      </w:r>
      <w:r w:rsidR="008A2A31">
        <w:t xml:space="preserve">to 4.25% </w:t>
      </w:r>
      <w:r w:rsidR="002B537D" w:rsidRPr="00766B66">
        <w:t xml:space="preserve">at May's meeting as virtually </w:t>
      </w:r>
      <w:r w:rsidR="008A2A31">
        <w:t>certain</w:t>
      </w:r>
      <w:r w:rsidR="007349B4">
        <w:t>,</w:t>
      </w:r>
      <w:r w:rsidR="007349B4" w:rsidRPr="007349B4">
        <w:t xml:space="preserve"> </w:t>
      </w:r>
      <w:r w:rsidR="007349B4">
        <w:t xml:space="preserve">though some committee members may vote for a larger cut, most likely Swati Dhingra and possibly one or two others. </w:t>
      </w:r>
      <w:r w:rsidR="00111F3A">
        <w:t>F</w:t>
      </w:r>
      <w:r w:rsidR="00C37179" w:rsidRPr="00766B66">
        <w:t xml:space="preserve">inancial markets are </w:t>
      </w:r>
      <w:r w:rsidR="00CF4E1D" w:rsidRPr="00766B66">
        <w:t>fully</w:t>
      </w:r>
      <w:r w:rsidR="00975F31" w:rsidRPr="00766B66">
        <w:t xml:space="preserve"> </w:t>
      </w:r>
      <w:r w:rsidR="00C37179" w:rsidRPr="00766B66">
        <w:t xml:space="preserve">pricing </w:t>
      </w:r>
      <w:r w:rsidR="00975F31" w:rsidRPr="00766B66">
        <w:t>in</w:t>
      </w:r>
      <w:r w:rsidR="00C37179" w:rsidRPr="00766B66">
        <w:t xml:space="preserve"> a 25bps reduction next week.</w:t>
      </w:r>
    </w:p>
    <w:p w14:paraId="2EADC887" w14:textId="77633EC6" w:rsidR="009E09E8" w:rsidRPr="00766B66" w:rsidRDefault="00497A79" w:rsidP="009E09E8">
      <w:r w:rsidRPr="00766B66">
        <w:t>B</w:t>
      </w:r>
      <w:r w:rsidR="004C773D" w:rsidRPr="00766B66">
        <w:t>ut b</w:t>
      </w:r>
      <w:r w:rsidRPr="00766B66">
        <w:t xml:space="preserve">eyond May's </w:t>
      </w:r>
      <w:r w:rsidR="00295314" w:rsidRPr="00766B66">
        <w:t xml:space="preserve">interest rate decision, the more important </w:t>
      </w:r>
      <w:r w:rsidR="002F221A" w:rsidRPr="00766B66">
        <w:t xml:space="preserve">question </w:t>
      </w:r>
      <w:r w:rsidR="00295314" w:rsidRPr="00766B66">
        <w:t>is</w:t>
      </w:r>
      <w:r w:rsidR="00EA50DD" w:rsidRPr="00766B66">
        <w:t xml:space="preserve"> </w:t>
      </w:r>
      <w:r w:rsidR="002F221A" w:rsidRPr="00766B66">
        <w:t xml:space="preserve">how US tariff announcements </w:t>
      </w:r>
      <w:r w:rsidR="00111F3A">
        <w:t>are</w:t>
      </w:r>
      <w:r w:rsidR="00111F3A" w:rsidRPr="00766B66">
        <w:t xml:space="preserve"> </w:t>
      </w:r>
      <w:r w:rsidR="00111F3A">
        <w:t>influencing</w:t>
      </w:r>
      <w:r w:rsidR="00111F3A" w:rsidRPr="00766B66">
        <w:t xml:space="preserve"> </w:t>
      </w:r>
      <w:r w:rsidR="00EA50DD" w:rsidRPr="00766B66">
        <w:t xml:space="preserve">the MPC's </w:t>
      </w:r>
      <w:r w:rsidR="00A029F5" w:rsidRPr="00766B66">
        <w:t>thinking</w:t>
      </w:r>
      <w:r w:rsidR="00503544" w:rsidRPr="00766B66">
        <w:t xml:space="preserve">. </w:t>
      </w:r>
      <w:r w:rsidR="00FD4FF7" w:rsidRPr="00766B66">
        <w:t xml:space="preserve">Recent </w:t>
      </w:r>
      <w:r w:rsidR="00665FD6" w:rsidRPr="00766B66">
        <w:t>meeting</w:t>
      </w:r>
      <w:r w:rsidR="00A02F44" w:rsidRPr="00766B66">
        <w:t xml:space="preserve"> minutes</w:t>
      </w:r>
      <w:r w:rsidR="00665FD6" w:rsidRPr="00766B66">
        <w:t xml:space="preserve"> have </w:t>
      </w:r>
      <w:r w:rsidR="00A02F44" w:rsidRPr="00766B66">
        <w:t>emphasised</w:t>
      </w:r>
      <w:r w:rsidR="00665FD6" w:rsidRPr="00766B66">
        <w:t xml:space="preserve"> that the key debate among committee members </w:t>
      </w:r>
      <w:r w:rsidR="005F00CD" w:rsidRPr="00766B66">
        <w:t xml:space="preserve">is around whether the weakness in domestic activity primarily reflects </w:t>
      </w:r>
      <w:r w:rsidR="006C0846" w:rsidRPr="00766B66">
        <w:t>subdued demand</w:t>
      </w:r>
      <w:r w:rsidR="00424E58" w:rsidRPr="00766B66">
        <w:t xml:space="preserve"> or constrained supply</w:t>
      </w:r>
      <w:r w:rsidR="007A69A7" w:rsidRPr="00766B66">
        <w:t xml:space="preserve">. With </w:t>
      </w:r>
      <w:r w:rsidR="0067749A" w:rsidRPr="00766B66">
        <w:t>US trade policy presenting a new demand shock</w:t>
      </w:r>
      <w:r w:rsidR="004D7798" w:rsidRPr="00766B66">
        <w:t>,</w:t>
      </w:r>
      <w:r w:rsidR="00320891" w:rsidRPr="00766B66">
        <w:t xml:space="preserve"> </w:t>
      </w:r>
      <w:r w:rsidR="004D7798" w:rsidRPr="00766B66">
        <w:t>t</w:t>
      </w:r>
      <w:r w:rsidR="00AF605E" w:rsidRPr="00766B66">
        <w:t xml:space="preserve">here have been early signs that the MPC is </w:t>
      </w:r>
      <w:r w:rsidR="00725EED" w:rsidRPr="00766B66">
        <w:t>willing</w:t>
      </w:r>
      <w:r w:rsidR="00AF605E" w:rsidRPr="00766B66">
        <w:t xml:space="preserve"> </w:t>
      </w:r>
      <w:r w:rsidR="009925B5" w:rsidRPr="00766B66">
        <w:t>to adopt a more proactive approach to loosening</w:t>
      </w:r>
      <w:r w:rsidR="00EB1911" w:rsidRPr="00766B66">
        <w:t xml:space="preserve"> policy</w:t>
      </w:r>
      <w:r w:rsidR="00267EE3" w:rsidRPr="00766B66">
        <w:t>. B</w:t>
      </w:r>
      <w:r w:rsidR="002A697A" w:rsidRPr="00766B66">
        <w:t xml:space="preserve">ut </w:t>
      </w:r>
      <w:r w:rsidR="006F5E69" w:rsidRPr="00766B66">
        <w:t xml:space="preserve">May's meeting minutes and press conference will </w:t>
      </w:r>
      <w:r w:rsidR="009135C7" w:rsidRPr="00766B66">
        <w:t xml:space="preserve">be </w:t>
      </w:r>
      <w:r w:rsidR="006F5E69" w:rsidRPr="00766B66">
        <w:t>the first opportunity</w:t>
      </w:r>
      <w:r w:rsidR="002A697A" w:rsidRPr="00766B66">
        <w:t xml:space="preserve"> for the </w:t>
      </w:r>
      <w:r w:rsidR="00AE3592" w:rsidRPr="00766B66">
        <w:t>MPC</w:t>
      </w:r>
      <w:r w:rsidR="002A697A" w:rsidRPr="00766B66">
        <w:t xml:space="preserve"> </w:t>
      </w:r>
      <w:r w:rsidR="00241C32" w:rsidRPr="00766B66">
        <w:t>to</w:t>
      </w:r>
      <w:r w:rsidR="00AE3592" w:rsidRPr="00766B66">
        <w:t xml:space="preserve"> clearly</w:t>
      </w:r>
      <w:r w:rsidR="00241C32" w:rsidRPr="00766B66">
        <w:t xml:space="preserve"> set out </w:t>
      </w:r>
      <w:r w:rsidR="00F624D9" w:rsidRPr="00766B66">
        <w:t xml:space="preserve">how recent developments have shaped </w:t>
      </w:r>
      <w:r w:rsidR="00111F3A">
        <w:t>its</w:t>
      </w:r>
      <w:r w:rsidR="00111F3A" w:rsidRPr="00766B66">
        <w:t xml:space="preserve"> </w:t>
      </w:r>
      <w:r w:rsidR="00FF1A7C" w:rsidRPr="00766B66">
        <w:t xml:space="preserve">outlook and what </w:t>
      </w:r>
      <w:r w:rsidR="00AE3592" w:rsidRPr="00766B66">
        <w:t>committee</w:t>
      </w:r>
      <w:r w:rsidR="00FF1A7C" w:rsidRPr="00766B66">
        <w:t xml:space="preserve"> members will be focusing on </w:t>
      </w:r>
      <w:r w:rsidR="00EB1911" w:rsidRPr="00766B66">
        <w:t>ahead of future interest rate decisions.</w:t>
      </w:r>
    </w:p>
    <w:p w14:paraId="5E818FCC" w14:textId="7BB09DAD" w:rsidR="00F23A39" w:rsidRPr="00766B66" w:rsidRDefault="00F23A39" w:rsidP="009E09E8">
      <w:pPr>
        <w:pStyle w:val="ExhibitTitle"/>
        <w:jc w:val="center"/>
      </w:pPr>
      <w:bookmarkStart w:id="0" w:name="_Ref196301540"/>
      <w:r w:rsidRPr="00766B66">
        <w:t xml:space="preserve">Chart </w:t>
      </w:r>
      <w:r w:rsidRPr="00766B66">
        <w:fldChar w:fldCharType="begin"/>
      </w:r>
      <w:r w:rsidR="009E09E8" w:rsidRPr="00766B66">
        <w:instrText>SEQ CHART</w:instrText>
      </w:r>
      <w:r w:rsidRPr="00766B66">
        <w:fldChar w:fldCharType="separate"/>
      </w:r>
      <w:r w:rsidR="00644065">
        <w:rPr>
          <w:noProof/>
        </w:rPr>
        <w:t>1</w:t>
      </w:r>
      <w:r w:rsidRPr="00766B66">
        <w:fldChar w:fldCharType="end"/>
      </w:r>
      <w:bookmarkEnd w:id="0"/>
      <w:r w:rsidRPr="00766B66">
        <w:t xml:space="preserve">: </w:t>
      </w:r>
      <w:r w:rsidR="00111F3A">
        <w:t>H</w:t>
      </w:r>
      <w:r w:rsidR="00A86433" w:rsidRPr="00766B66">
        <w:t xml:space="preserve">igher US tariffs point to weaker </w:t>
      </w:r>
      <w:r w:rsidR="00450958" w:rsidRPr="00766B66">
        <w:t>growth and inflation over the next couple of years</w:t>
      </w:r>
    </w:p>
    <w:p w14:paraId="0313F58E" w14:textId="73BFBD47" w:rsidR="009E09E8" w:rsidRPr="00766B66" w:rsidRDefault="009E09E8" w:rsidP="009E09E8">
      <w:pPr>
        <w:spacing w:after="0"/>
        <w:jc w:val="center"/>
      </w:pPr>
      <w:r w:rsidRPr="00766B66">
        <w:rPr>
          <w:noProof/>
        </w:rPr>
        <w:drawing>
          <wp:inline distT="0" distB="0" distL="0" distR="0" wp14:anchorId="1DCD3732" wp14:editId="7E8C003D">
            <wp:extent cx="4006964" cy="3132464"/>
            <wp:effectExtent l="0" t="0" r="0" b="0"/>
            <wp:docPr id="144487165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71655" name=""/>
                    <pic:cNvPicPr/>
                  </pic:nvPicPr>
                  <pic:blipFill>
                    <a:blip r:embed="rId10">
                      <a:extLst>
                        <a:ext uri="{96DAC541-7B7A-43D3-8B79-37D633B846F1}">
                          <asvg:svgBlip xmlns:asvg="http://schemas.microsoft.com/office/drawing/2016/SVG/main" r:embed="rId11"/>
                        </a:ext>
                      </a:extLst>
                    </a:blip>
                    <a:srcRect b="2283"/>
                    <a:stretch>
                      <a:fillRect/>
                    </a:stretch>
                  </pic:blipFill>
                  <pic:spPr>
                    <a:xfrm>
                      <a:off x="0" y="0"/>
                      <a:ext cx="4006964" cy="3132464"/>
                    </a:xfrm>
                    <a:prstGeom prst="rect">
                      <a:avLst/>
                    </a:prstGeom>
                  </pic:spPr>
                </pic:pic>
              </a:graphicData>
            </a:graphic>
          </wp:inline>
        </w:drawing>
      </w:r>
    </w:p>
    <w:p w14:paraId="0FC23EB8" w14:textId="40411005" w:rsidR="00F23A39" w:rsidRPr="00766B66" w:rsidRDefault="009E09E8" w:rsidP="009E09E8">
      <w:pPr>
        <w:pStyle w:val="ExhibitSource"/>
        <w:jc w:val="center"/>
      </w:pPr>
      <w:r w:rsidRPr="00766B66">
        <w:t>Sources: Oxford Economics, Haver Analytics, Bank of England</w:t>
      </w:r>
    </w:p>
    <w:p w14:paraId="548F3882" w14:textId="435E3273" w:rsidR="00F23A39" w:rsidRPr="00766B66" w:rsidRDefault="00F23A39" w:rsidP="00F23A39">
      <w:pPr>
        <w:pStyle w:val="ExhibitSource"/>
        <w:jc w:val="center"/>
        <w:sectPr w:rsidR="00F23A39" w:rsidRPr="00766B66" w:rsidSect="009E09E8">
          <w:headerReference w:type="even" r:id="rId12"/>
          <w:headerReference w:type="default" r:id="rId13"/>
          <w:footerReference w:type="even" r:id="rId14"/>
          <w:footerReference w:type="default" r:id="rId15"/>
          <w:headerReference w:type="first" r:id="rId16"/>
          <w:footerReference w:type="first" r:id="rId17"/>
          <w:pgSz w:w="11906" w:h="16838"/>
          <w:pgMar w:top="2665" w:right="1276" w:bottom="818" w:left="1134" w:header="708" w:footer="300" w:gutter="0"/>
          <w:cols w:space="708"/>
          <w:titlePg/>
          <w:docGrid w:linePitch="360"/>
        </w:sectPr>
      </w:pPr>
    </w:p>
    <w:p w14:paraId="2AB01CED" w14:textId="6E11CF81" w:rsidR="00F23A39" w:rsidRPr="00766B66" w:rsidRDefault="004F4C15" w:rsidP="009A6809">
      <w:pPr>
        <w:pStyle w:val="Heading3"/>
      </w:pPr>
      <w:r w:rsidRPr="00766B66">
        <w:lastRenderedPageBreak/>
        <w:t>T</w:t>
      </w:r>
      <w:r w:rsidR="004072B7" w:rsidRPr="00766B66">
        <w:t>ariff</w:t>
      </w:r>
      <w:r w:rsidRPr="00766B66">
        <w:t xml:space="preserve"> increases </w:t>
      </w:r>
      <w:r w:rsidR="00A201D7" w:rsidRPr="00766B66">
        <w:t xml:space="preserve">are </w:t>
      </w:r>
      <w:r w:rsidR="00A67681" w:rsidRPr="00766B66">
        <w:t xml:space="preserve">largely </w:t>
      </w:r>
      <w:r w:rsidR="00A201D7" w:rsidRPr="00766B66">
        <w:t>a</w:t>
      </w:r>
      <w:r w:rsidR="009A4282" w:rsidRPr="00766B66">
        <w:t xml:space="preserve"> </w:t>
      </w:r>
      <w:r w:rsidR="00A67681" w:rsidRPr="00766B66">
        <w:t>negative</w:t>
      </w:r>
      <w:r w:rsidR="00A201D7" w:rsidRPr="00766B66">
        <w:t xml:space="preserve"> demand shock for the UK</w:t>
      </w:r>
    </w:p>
    <w:p w14:paraId="170826FE" w14:textId="125F9FE3" w:rsidR="00F704FA" w:rsidRPr="00766B66" w:rsidRDefault="00D87F17" w:rsidP="00F23A39">
      <w:r w:rsidRPr="00766B66">
        <w:t xml:space="preserve">The near-term UK growth outlook already looked challenging </w:t>
      </w:r>
      <w:r w:rsidR="00111F3A">
        <w:t xml:space="preserve">– </w:t>
      </w:r>
      <w:r w:rsidR="00F704FA" w:rsidRPr="00766B66">
        <w:t xml:space="preserve">recent US tariff announcements have added to the headwinds. Higher US tariffs will directly drag on roughly 6% of total UK exports. Tariffs will also indirectly weaken demand for UK exports by weighing on US growth and demand from the rest of the world. Our </w:t>
      </w:r>
      <w:hyperlink r:id="rId18" w:history="1">
        <w:r w:rsidR="00F704FA" w:rsidRPr="00756584">
          <w:rPr>
            <w:rStyle w:val="Hyperlink"/>
          </w:rPr>
          <w:t>past research</w:t>
        </w:r>
      </w:hyperlink>
      <w:r w:rsidR="00F704FA" w:rsidRPr="00766B66">
        <w:t xml:space="preserve"> has also shown that a prolonged period of trade policy </w:t>
      </w:r>
      <w:r w:rsidR="00A67681" w:rsidRPr="00766B66">
        <w:t xml:space="preserve">uncertainty </w:t>
      </w:r>
      <w:r w:rsidR="00F704FA" w:rsidRPr="00766B66">
        <w:t xml:space="preserve">will </w:t>
      </w:r>
      <w:r w:rsidR="00111F3A">
        <w:t>harm</w:t>
      </w:r>
      <w:r w:rsidR="00F704FA" w:rsidRPr="00766B66">
        <w:t xml:space="preserve"> UK business investment, which is already under pressure from weak profitability and the squeeze from higher labour costs. As a result, </w:t>
      </w:r>
      <w:hyperlink r:id="rId19" w:history="1">
        <w:r w:rsidR="00B8148B" w:rsidRPr="00766B66">
          <w:rPr>
            <w:rStyle w:val="Hyperlink"/>
          </w:rPr>
          <w:t>we now expect much weaker UK GDP growth over the next few years</w:t>
        </w:r>
      </w:hyperlink>
      <w:r w:rsidR="00B8148B" w:rsidRPr="00766B66">
        <w:t xml:space="preserve"> (</w:t>
      </w:r>
      <w:r w:rsidR="00553F62" w:rsidRPr="008F60B9">
        <w:rPr>
          <w:b/>
          <w:color w:val="003469"/>
        </w:rPr>
        <w:fldChar w:fldCharType="begin"/>
      </w:r>
      <w:r w:rsidR="008F60B9" w:rsidRPr="008F60B9">
        <w:rPr>
          <w:b/>
          <w:color w:val="003469"/>
        </w:rPr>
        <w:instrText xml:space="preserve">REF _Ref196301540 \h \* Charformat </w:instrText>
      </w:r>
      <w:r w:rsidR="008F60B9" w:rsidRPr="008F60B9">
        <w:rPr>
          <w:b/>
          <w:color w:val="003469"/>
        </w:rPr>
      </w:r>
      <w:r w:rsidR="00553F62" w:rsidRPr="008F60B9">
        <w:rPr>
          <w:b/>
          <w:color w:val="003469"/>
        </w:rPr>
        <w:fldChar w:fldCharType="separate"/>
      </w:r>
      <w:r w:rsidR="008F60B9" w:rsidRPr="008F60B9">
        <w:rPr>
          <w:b/>
          <w:color w:val="003469"/>
        </w:rPr>
        <w:t>Chart 1</w:t>
      </w:r>
      <w:r w:rsidR="00553F62" w:rsidRPr="008F60B9">
        <w:rPr>
          <w:b/>
          <w:color w:val="003469"/>
        </w:rPr>
        <w:fldChar w:fldCharType="end"/>
      </w:r>
      <w:r w:rsidR="00B8148B" w:rsidRPr="00766B66">
        <w:t>).</w:t>
      </w:r>
    </w:p>
    <w:p w14:paraId="10C647B5" w14:textId="166C1A73" w:rsidR="00111F3A" w:rsidRDefault="008C6057" w:rsidP="00754211">
      <w:r w:rsidRPr="00766B66">
        <w:t xml:space="preserve">Financial markets have become markedly more dovish over recent months, largely based on the belief that much weaker growth prospects will allow the MPC to cut Bank Rate more aggressively to shore up demand without compromising its inflation mandate. </w:t>
      </w:r>
      <w:r w:rsidR="00865C56" w:rsidRPr="00766B66">
        <w:t>As a result, the MPC's new forecast will be based on market interest rate expectations that are around 45bps lower by the end of this year than when the MPC presented its previous forecast in February (</w:t>
      </w:r>
      <w:r w:rsidR="00553F62" w:rsidRPr="008F60B9">
        <w:rPr>
          <w:b/>
          <w:color w:val="003469"/>
        </w:rPr>
        <w:fldChar w:fldCharType="begin"/>
      </w:r>
      <w:r w:rsidR="008F60B9" w:rsidRPr="008F60B9">
        <w:rPr>
          <w:b/>
          <w:color w:val="003469"/>
        </w:rPr>
        <w:instrText xml:space="preserve">REF _Ref196749894 \h \* Charformat </w:instrText>
      </w:r>
      <w:r w:rsidR="008F60B9" w:rsidRPr="008F60B9">
        <w:rPr>
          <w:b/>
          <w:color w:val="003469"/>
        </w:rPr>
      </w:r>
      <w:r w:rsidR="00553F62" w:rsidRPr="008F60B9">
        <w:rPr>
          <w:b/>
          <w:color w:val="003469"/>
        </w:rPr>
        <w:fldChar w:fldCharType="separate"/>
      </w:r>
      <w:r w:rsidR="008F60B9" w:rsidRPr="008F60B9">
        <w:rPr>
          <w:b/>
          <w:color w:val="003469"/>
        </w:rPr>
        <w:t>Chart 2</w:t>
      </w:r>
      <w:r w:rsidR="00553F62" w:rsidRPr="008F60B9">
        <w:rPr>
          <w:b/>
          <w:color w:val="003469"/>
        </w:rPr>
        <w:fldChar w:fldCharType="end"/>
      </w:r>
      <w:r w:rsidR="00865C56" w:rsidRPr="00766B66">
        <w:t>).</w:t>
      </w:r>
      <w:r w:rsidR="00EA3FDC" w:rsidRPr="00766B66">
        <w:t xml:space="preserve"> </w:t>
      </w:r>
    </w:p>
    <w:p w14:paraId="425AA02D" w14:textId="39F414FA" w:rsidR="00C14F8C" w:rsidRPr="00766B66" w:rsidRDefault="00C14F8C" w:rsidP="009A6809">
      <w:pPr>
        <w:pStyle w:val="ExhibitTitle"/>
      </w:pPr>
      <w:bookmarkStart w:id="3" w:name="_Ref196749894"/>
      <w:r w:rsidRPr="00766B66">
        <w:t xml:space="preserve">Chart </w:t>
      </w:r>
      <w:r w:rsidRPr="00766B66">
        <w:fldChar w:fldCharType="begin"/>
      </w:r>
      <w:r w:rsidR="00644065">
        <w:instrText>SEQ CHART</w:instrText>
      </w:r>
      <w:r w:rsidRPr="00766B66">
        <w:fldChar w:fldCharType="separate"/>
      </w:r>
      <w:r w:rsidR="00644065">
        <w:rPr>
          <w:noProof/>
        </w:rPr>
        <w:t>2</w:t>
      </w:r>
      <w:r w:rsidRPr="00766B66">
        <w:fldChar w:fldCharType="end"/>
      </w:r>
      <w:bookmarkEnd w:id="3"/>
      <w:r w:rsidRPr="00766B66">
        <w:t xml:space="preserve">: </w:t>
      </w:r>
      <w:r w:rsidR="009C6C3B" w:rsidRPr="00766B66">
        <w:t>Markets have become much more dovish since the MPC's last forecast in February</w:t>
      </w:r>
    </w:p>
    <w:p w14:paraId="53017858" w14:textId="1CC73C14" w:rsidR="00644065" w:rsidRDefault="00644065" w:rsidP="009A6809">
      <w:pPr>
        <w:spacing w:after="0"/>
        <w:rPr>
          <w:noProof/>
        </w:rPr>
      </w:pPr>
      <w:r>
        <w:rPr>
          <w:noProof/>
        </w:rPr>
        <w:drawing>
          <wp:inline distT="0" distB="0" distL="0" distR="0" wp14:anchorId="2258876F" wp14:editId="75A2FBEC">
            <wp:extent cx="3250933" cy="2552005"/>
            <wp:effectExtent l="0" t="0" r="6985" b="1270"/>
            <wp:docPr id="3876607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60770" name=""/>
                    <pic:cNvPicPr/>
                  </pic:nvPicPr>
                  <pic:blipFill>
                    <a:blip r:embed="rId20">
                      <a:extLst>
                        <a:ext uri="{96DAC541-7B7A-43D3-8B79-37D633B846F1}">
                          <asvg:svgBlip xmlns:asvg="http://schemas.microsoft.com/office/drawing/2016/SVG/main" r:embed="rId21"/>
                        </a:ext>
                      </a:extLst>
                    </a:blip>
                    <a:srcRect b="1799"/>
                    <a:stretch>
                      <a:fillRect/>
                    </a:stretch>
                  </pic:blipFill>
                  <pic:spPr>
                    <a:xfrm>
                      <a:off x="0" y="0"/>
                      <a:ext cx="3250933" cy="2552005"/>
                    </a:xfrm>
                    <a:prstGeom prst="rect">
                      <a:avLst/>
                    </a:prstGeom>
                  </pic:spPr>
                </pic:pic>
              </a:graphicData>
            </a:graphic>
          </wp:inline>
        </w:drawing>
      </w:r>
    </w:p>
    <w:p w14:paraId="414B5BD5" w14:textId="67C1AD30" w:rsidR="00C14F8C" w:rsidRPr="00766B66" w:rsidRDefault="00644065" w:rsidP="009A6809">
      <w:pPr>
        <w:pStyle w:val="ExhibitSource"/>
      </w:pPr>
      <w:r>
        <w:t>Source: Haver Analytics</w:t>
      </w:r>
    </w:p>
    <w:p w14:paraId="769F3CD1" w14:textId="77777777" w:rsidR="00111F3A" w:rsidRPr="00766B66" w:rsidRDefault="00111F3A" w:rsidP="00111F3A">
      <w:r w:rsidRPr="00766B66">
        <w:t>Favourable historical revisions and a much stronger-than-expected Q1 mean the MPC's new GDP projection will start from a higher level. Meanwhile, the lower conditioning path for Bank Rate should mitigate some of the hit to the MPC's growth forecast from weaker domestic demand, particularly in the medium term.</w:t>
      </w:r>
    </w:p>
    <w:p w14:paraId="12645B05" w14:textId="781096CC" w:rsidR="00DD7972" w:rsidRPr="00766B66" w:rsidRDefault="00E84CF0" w:rsidP="00AA3509">
      <w:r w:rsidRPr="00766B66">
        <w:t>The market response to recent tariff announcements also points to slightly lower inflation in the near-term.</w:t>
      </w:r>
      <w:r w:rsidR="00DD7972" w:rsidRPr="00766B66">
        <w:t xml:space="preserve"> The dollar has weakened against most currencies, including sterling, which will lower the prices of dollar-denominated imports. Against the backdrop of weaker global growth, there has also been a repricing in commodity markets. Oil and to a less</w:t>
      </w:r>
      <w:r w:rsidR="00964412" w:rsidRPr="00766B66">
        <w:t>er</w:t>
      </w:r>
      <w:r w:rsidR="00DD7972" w:rsidRPr="00766B66">
        <w:t xml:space="preserve"> extent European gas and electricity futures prices have fallen in recent weeks (</w:t>
      </w:r>
      <w:r w:rsidR="00553F62" w:rsidRPr="008F60B9">
        <w:rPr>
          <w:b/>
          <w:color w:val="003469"/>
        </w:rPr>
        <w:fldChar w:fldCharType="begin"/>
      </w:r>
      <w:r w:rsidR="008F60B9" w:rsidRPr="008F60B9">
        <w:rPr>
          <w:b/>
          <w:color w:val="003469"/>
        </w:rPr>
        <w:instrText xml:space="preserve">REF _Ref196749895 \h \* Charformat </w:instrText>
      </w:r>
      <w:r w:rsidR="008F60B9" w:rsidRPr="008F60B9">
        <w:rPr>
          <w:b/>
          <w:color w:val="003469"/>
        </w:rPr>
      </w:r>
      <w:r w:rsidR="00553F62" w:rsidRPr="008F60B9">
        <w:rPr>
          <w:b/>
          <w:color w:val="003469"/>
        </w:rPr>
        <w:fldChar w:fldCharType="separate"/>
      </w:r>
      <w:r w:rsidR="008F60B9" w:rsidRPr="008F60B9">
        <w:rPr>
          <w:b/>
          <w:color w:val="003469"/>
        </w:rPr>
        <w:t>Chart 3</w:t>
      </w:r>
      <w:r w:rsidR="00553F62" w:rsidRPr="008F60B9">
        <w:rPr>
          <w:b/>
          <w:color w:val="003469"/>
        </w:rPr>
        <w:fldChar w:fldCharType="end"/>
      </w:r>
      <w:r w:rsidR="00DD7972" w:rsidRPr="00766B66">
        <w:t xml:space="preserve">). This will </w:t>
      </w:r>
      <w:r w:rsidR="00111F3A">
        <w:t>pull down</w:t>
      </w:r>
      <w:r w:rsidR="00DD7972" w:rsidRPr="00766B66">
        <w:t xml:space="preserve"> near-term UK petrol and domestic energy prices, and put some downward pressure on the MPC's headline inflation forecast in 2025 and 2026.</w:t>
      </w:r>
    </w:p>
    <w:p w14:paraId="742F4609" w14:textId="7DE32601" w:rsidR="00DD7972" w:rsidRPr="00766B66" w:rsidRDefault="00DD7972" w:rsidP="009A6809">
      <w:pPr>
        <w:pStyle w:val="ExhibitTitle"/>
      </w:pPr>
      <w:bookmarkStart w:id="4" w:name="_Ref196749895"/>
      <w:r w:rsidRPr="00766B66">
        <w:lastRenderedPageBreak/>
        <w:t xml:space="preserve">Chart </w:t>
      </w:r>
      <w:r w:rsidRPr="00766B66">
        <w:fldChar w:fldCharType="begin"/>
      </w:r>
      <w:r w:rsidR="00644065">
        <w:instrText>SEQ CHART</w:instrText>
      </w:r>
      <w:r w:rsidRPr="00766B66">
        <w:fldChar w:fldCharType="separate"/>
      </w:r>
      <w:r w:rsidR="00644065">
        <w:rPr>
          <w:noProof/>
        </w:rPr>
        <w:t>3</w:t>
      </w:r>
      <w:r w:rsidRPr="00766B66">
        <w:fldChar w:fldCharType="end"/>
      </w:r>
      <w:bookmarkEnd w:id="4"/>
      <w:r w:rsidRPr="00766B66">
        <w:t>: The MPC's new forecasts will assume a weaker dollar and lower oil and gas prices</w:t>
      </w:r>
    </w:p>
    <w:p w14:paraId="71EC75B6" w14:textId="3E8FBB81" w:rsidR="00644065" w:rsidRDefault="00644065" w:rsidP="009A6809">
      <w:pPr>
        <w:spacing w:after="0"/>
        <w:rPr>
          <w:noProof/>
        </w:rPr>
      </w:pPr>
      <w:r>
        <w:rPr>
          <w:noProof/>
        </w:rPr>
        <w:drawing>
          <wp:inline distT="0" distB="0" distL="0" distR="0" wp14:anchorId="2B1928B8" wp14:editId="1E440B75">
            <wp:extent cx="3250933" cy="2541433"/>
            <wp:effectExtent l="0" t="0" r="6985" b="0"/>
            <wp:docPr id="84065676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56762" name=""/>
                    <pic:cNvPicPr/>
                  </pic:nvPicPr>
                  <pic:blipFill>
                    <a:blip r:embed="rId22">
                      <a:extLst>
                        <a:ext uri="{96DAC541-7B7A-43D3-8B79-37D633B846F1}">
                          <asvg:svgBlip xmlns:asvg="http://schemas.microsoft.com/office/drawing/2016/SVG/main" r:embed="rId23"/>
                        </a:ext>
                      </a:extLst>
                    </a:blip>
                    <a:srcRect b="2283"/>
                    <a:stretch>
                      <a:fillRect/>
                    </a:stretch>
                  </pic:blipFill>
                  <pic:spPr>
                    <a:xfrm>
                      <a:off x="0" y="0"/>
                      <a:ext cx="3250933" cy="2541433"/>
                    </a:xfrm>
                    <a:prstGeom prst="rect">
                      <a:avLst/>
                    </a:prstGeom>
                  </pic:spPr>
                </pic:pic>
              </a:graphicData>
            </a:graphic>
          </wp:inline>
        </w:drawing>
      </w:r>
    </w:p>
    <w:p w14:paraId="5BA78178" w14:textId="1E6D109E" w:rsidR="00AA3509" w:rsidRPr="00766B66" w:rsidRDefault="00644065" w:rsidP="009A6809">
      <w:pPr>
        <w:pStyle w:val="ExhibitSource"/>
      </w:pPr>
      <w:r>
        <w:t>Source: Haver Analytics</w:t>
      </w:r>
    </w:p>
    <w:p w14:paraId="72F64E89" w14:textId="0D5A1CCD" w:rsidR="0029186D" w:rsidRPr="00766B66" w:rsidRDefault="00DD7972" w:rsidP="009A6809">
      <w:pPr>
        <w:pStyle w:val="Heading3"/>
      </w:pPr>
      <w:r w:rsidRPr="00766B66">
        <w:t>B</w:t>
      </w:r>
      <w:r w:rsidR="00D3492B" w:rsidRPr="00766B66">
        <w:t>ut c</w:t>
      </w:r>
      <w:r w:rsidR="00CD393C" w:rsidRPr="00766B66">
        <w:t xml:space="preserve">oncerns </w:t>
      </w:r>
      <w:r w:rsidR="006174C8" w:rsidRPr="00766B66">
        <w:t xml:space="preserve">about </w:t>
      </w:r>
      <w:r w:rsidR="00D3492B" w:rsidRPr="00766B66">
        <w:t>supply</w:t>
      </w:r>
      <w:r w:rsidR="006174C8" w:rsidRPr="00766B66">
        <w:t xml:space="preserve"> weakness </w:t>
      </w:r>
      <w:r w:rsidR="00D3492B" w:rsidRPr="00766B66">
        <w:t xml:space="preserve">will </w:t>
      </w:r>
      <w:r w:rsidR="006174C8" w:rsidRPr="00766B66">
        <w:t>linger</w:t>
      </w:r>
    </w:p>
    <w:p w14:paraId="33BB2024" w14:textId="45B0B30F" w:rsidR="005A7B4A" w:rsidRPr="00766B66" w:rsidRDefault="00810076" w:rsidP="00A67681">
      <w:r w:rsidRPr="00766B66">
        <w:t xml:space="preserve">We've established that the tariff announcements are </w:t>
      </w:r>
      <w:r w:rsidR="006854C2" w:rsidRPr="00766B66">
        <w:t xml:space="preserve">largely </w:t>
      </w:r>
      <w:r w:rsidRPr="00766B66">
        <w:t xml:space="preserve">a </w:t>
      </w:r>
      <w:r w:rsidR="00A67681" w:rsidRPr="00766B66">
        <w:t>negative</w:t>
      </w:r>
      <w:r w:rsidRPr="00766B66">
        <w:t xml:space="preserve"> demand shock. However, </w:t>
      </w:r>
      <w:r w:rsidR="00CA3AB2" w:rsidRPr="00766B66">
        <w:t>the</w:t>
      </w:r>
      <w:r w:rsidRPr="00766B66">
        <w:t xml:space="preserve"> exact scale </w:t>
      </w:r>
      <w:r w:rsidR="00111F3A">
        <w:t xml:space="preserve">of the shock </w:t>
      </w:r>
      <w:r w:rsidRPr="00766B66">
        <w:t xml:space="preserve">is uncertain, as is how the MPC will weigh this up against existing </w:t>
      </w:r>
      <w:r w:rsidR="00960A1C" w:rsidRPr="00766B66">
        <w:t>worries</w:t>
      </w:r>
      <w:r w:rsidRPr="00766B66">
        <w:t xml:space="preserve"> over supply. </w:t>
      </w:r>
      <w:r w:rsidR="009F43BE" w:rsidRPr="00766B66">
        <w:t xml:space="preserve">The MPC's forecast of this area will be more judgemental than </w:t>
      </w:r>
      <w:r w:rsidR="00111F3A">
        <w:t>mechanistic</w:t>
      </w:r>
      <w:r w:rsidR="009F43BE" w:rsidRPr="00766B66">
        <w:t xml:space="preserve">, but there have been few recent signs of progress </w:t>
      </w:r>
      <w:r w:rsidR="005751B6" w:rsidRPr="00766B66">
        <w:t xml:space="preserve">in the data </w:t>
      </w:r>
      <w:r w:rsidR="00960A1C" w:rsidRPr="00766B66">
        <w:t xml:space="preserve">on factors that could quell the committee's concerns about supply. </w:t>
      </w:r>
      <w:r w:rsidR="00D34B92" w:rsidRPr="00766B66">
        <w:t xml:space="preserve">The MPC's favoured measure of underlying inflationary </w:t>
      </w:r>
      <w:r w:rsidR="0059348C" w:rsidRPr="00766B66">
        <w:t xml:space="preserve">pressure, which excludes indexed and volatile components, rent, and foreign holidays from services inflation, </w:t>
      </w:r>
      <w:r w:rsidR="00EB6B69" w:rsidRPr="00766B66">
        <w:t>has st</w:t>
      </w:r>
      <w:r w:rsidR="00FA51F1" w:rsidRPr="00766B66">
        <w:t>opped falling in recent months</w:t>
      </w:r>
      <w:r w:rsidR="00E17785" w:rsidRPr="00766B66">
        <w:t xml:space="preserve"> (</w:t>
      </w:r>
      <w:r w:rsidR="0005477B" w:rsidRPr="008F60B9">
        <w:rPr>
          <w:b/>
          <w:color w:val="003469"/>
        </w:rPr>
        <w:fldChar w:fldCharType="begin"/>
      </w:r>
      <w:r w:rsidR="008F60B9" w:rsidRPr="008F60B9">
        <w:rPr>
          <w:b/>
          <w:color w:val="003469"/>
        </w:rPr>
        <w:instrText xml:space="preserve">REF _Ref196725265 \h \* Charformat </w:instrText>
      </w:r>
      <w:r w:rsidR="008F60B9" w:rsidRPr="008F60B9">
        <w:rPr>
          <w:b/>
          <w:color w:val="003469"/>
        </w:rPr>
      </w:r>
      <w:r w:rsidR="0005477B" w:rsidRPr="008F60B9">
        <w:rPr>
          <w:b/>
          <w:color w:val="003469"/>
        </w:rPr>
        <w:fldChar w:fldCharType="separate"/>
      </w:r>
      <w:r w:rsidR="008F60B9" w:rsidRPr="008F60B9">
        <w:rPr>
          <w:b/>
          <w:color w:val="003469"/>
        </w:rPr>
        <w:t>Chart 4</w:t>
      </w:r>
      <w:r w:rsidR="0005477B" w:rsidRPr="008F60B9">
        <w:rPr>
          <w:b/>
          <w:color w:val="003469"/>
        </w:rPr>
        <w:fldChar w:fldCharType="end"/>
      </w:r>
      <w:r w:rsidR="00E34603" w:rsidRPr="00766B66">
        <w:t>)</w:t>
      </w:r>
      <w:r w:rsidR="0059348C" w:rsidRPr="00766B66">
        <w:t>.</w:t>
      </w:r>
      <w:r w:rsidR="00E34603" w:rsidRPr="00766B66">
        <w:t xml:space="preserve"> </w:t>
      </w:r>
      <w:r w:rsidR="00A67681" w:rsidRPr="00766B66">
        <w:t>Private sector regular pay growth – the MPC's preferred measure of pay growth – has been slightly weaker than the MPC expected in recent months</w:t>
      </w:r>
      <w:r w:rsidR="00FB2ADA">
        <w:t>,</w:t>
      </w:r>
      <w:r w:rsidR="00A67681" w:rsidRPr="00766B66">
        <w:t xml:space="preserve"> but still remains </w:t>
      </w:r>
      <w:r w:rsidR="005A7403" w:rsidRPr="00766B66">
        <w:t xml:space="preserve">well above a pace that would be consistent with </w:t>
      </w:r>
      <w:r w:rsidR="00D11A43" w:rsidRPr="00766B66">
        <w:t xml:space="preserve">sustainably </w:t>
      </w:r>
      <w:r w:rsidR="005A7403" w:rsidRPr="00766B66">
        <w:t xml:space="preserve">meeting the </w:t>
      </w:r>
      <w:r w:rsidR="00D11A43" w:rsidRPr="00766B66">
        <w:t xml:space="preserve">committee's </w:t>
      </w:r>
      <w:r w:rsidR="005A7403" w:rsidRPr="00766B66">
        <w:t xml:space="preserve">2% </w:t>
      </w:r>
      <w:r w:rsidR="00D11A43" w:rsidRPr="00766B66">
        <w:t>inflation target in the medium term.</w:t>
      </w:r>
    </w:p>
    <w:p w14:paraId="28458728" w14:textId="5BB3B7BE" w:rsidR="00705A3B" w:rsidRPr="00766B66" w:rsidRDefault="00705A3B" w:rsidP="009A6809">
      <w:pPr>
        <w:pStyle w:val="ExhibitTitle"/>
      </w:pPr>
      <w:bookmarkStart w:id="5" w:name="_Ref196725265"/>
      <w:r w:rsidRPr="00766B66">
        <w:t xml:space="preserve">Chart </w:t>
      </w:r>
      <w:r w:rsidRPr="00766B66">
        <w:fldChar w:fldCharType="begin"/>
      </w:r>
      <w:r w:rsidR="00962E72" w:rsidRPr="00766B66">
        <w:instrText>SEQ CHART</w:instrText>
      </w:r>
      <w:r w:rsidRPr="00766B66">
        <w:fldChar w:fldCharType="separate"/>
      </w:r>
      <w:r w:rsidR="00644065">
        <w:rPr>
          <w:noProof/>
        </w:rPr>
        <w:t>4</w:t>
      </w:r>
      <w:r w:rsidRPr="00766B66">
        <w:fldChar w:fldCharType="end"/>
      </w:r>
      <w:bookmarkEnd w:id="5"/>
      <w:r w:rsidRPr="00766B66">
        <w:t xml:space="preserve">: </w:t>
      </w:r>
      <w:r w:rsidR="000365B9" w:rsidRPr="00766B66">
        <w:t xml:space="preserve">The MPC's favoured measures of underlying </w:t>
      </w:r>
      <w:r w:rsidR="000D58C9" w:rsidRPr="00766B66">
        <w:t xml:space="preserve">inflationary </w:t>
      </w:r>
      <w:r w:rsidR="000365B9" w:rsidRPr="00766B66">
        <w:t>pressures show little progress</w:t>
      </w:r>
    </w:p>
    <w:p w14:paraId="66A9B3C5" w14:textId="38CB09BE" w:rsidR="00962E72" w:rsidRPr="00766B66" w:rsidRDefault="00962E72" w:rsidP="009A6809">
      <w:pPr>
        <w:spacing w:after="0"/>
      </w:pPr>
      <w:r w:rsidRPr="00766B66">
        <w:rPr>
          <w:noProof/>
        </w:rPr>
        <w:drawing>
          <wp:inline distT="0" distB="0" distL="0" distR="0" wp14:anchorId="60418B93" wp14:editId="292A81F3">
            <wp:extent cx="3250933" cy="2552005"/>
            <wp:effectExtent l="0" t="0" r="6985" b="1270"/>
            <wp:docPr id="133204649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46499" name=""/>
                    <pic:cNvPicPr/>
                  </pic:nvPicPr>
                  <pic:blipFill>
                    <a:blip r:embed="rId24">
                      <a:extLst>
                        <a:ext uri="{96DAC541-7B7A-43D3-8B79-37D633B846F1}">
                          <asvg:svgBlip xmlns:asvg="http://schemas.microsoft.com/office/drawing/2016/SVG/main" r:embed="rId25"/>
                        </a:ext>
                      </a:extLst>
                    </a:blip>
                    <a:srcRect b="1799"/>
                    <a:stretch>
                      <a:fillRect/>
                    </a:stretch>
                  </pic:blipFill>
                  <pic:spPr>
                    <a:xfrm>
                      <a:off x="0" y="0"/>
                      <a:ext cx="3250933" cy="2552005"/>
                    </a:xfrm>
                    <a:prstGeom prst="rect">
                      <a:avLst/>
                    </a:prstGeom>
                  </pic:spPr>
                </pic:pic>
              </a:graphicData>
            </a:graphic>
          </wp:inline>
        </w:drawing>
      </w:r>
    </w:p>
    <w:p w14:paraId="07B51FE5" w14:textId="530CAB9C" w:rsidR="00CA3AB2" w:rsidRPr="00766B66" w:rsidRDefault="00962E72" w:rsidP="009A6809">
      <w:pPr>
        <w:pStyle w:val="ExhibitSource"/>
      </w:pPr>
      <w:r w:rsidRPr="00766B66">
        <w:t>Source: Oxford Economics calculations using data from Haver Analytics</w:t>
      </w:r>
    </w:p>
    <w:p w14:paraId="303481C9" w14:textId="59F956E2" w:rsidR="00C64C11" w:rsidRPr="00766B66" w:rsidRDefault="00C64C11" w:rsidP="009A6809">
      <w:pPr>
        <w:pStyle w:val="Heading3"/>
      </w:pPr>
      <w:r w:rsidRPr="00766B66">
        <w:t>May cut is a done deal and the MPC could signal a less cautious approach ahead</w:t>
      </w:r>
    </w:p>
    <w:p w14:paraId="261B49FE" w14:textId="37BEEFE7" w:rsidR="00906B6F" w:rsidRPr="00766B66" w:rsidRDefault="00F505D6" w:rsidP="00F23A39">
      <w:r w:rsidRPr="00766B66">
        <w:t>Prior to the increase in US tariffs</w:t>
      </w:r>
      <w:r w:rsidR="002506B9" w:rsidRPr="00766B66">
        <w:t xml:space="preserve">, some committee members voiced concerns that weak potential output may mean that there's little spare capacity in the economy, which risks </w:t>
      </w:r>
      <w:r w:rsidR="00B22EA3">
        <w:t>the persistence in wage- and price-setting becoming more structural.</w:t>
      </w:r>
      <w:r w:rsidR="002506B9" w:rsidRPr="00766B66">
        <w:t xml:space="preserve"> </w:t>
      </w:r>
      <w:r w:rsidR="005D01F7" w:rsidRPr="00766B66">
        <w:t xml:space="preserve">We recently published </w:t>
      </w:r>
      <w:r w:rsidR="00906B6F" w:rsidRPr="00766B66">
        <w:t>a</w:t>
      </w:r>
      <w:r w:rsidR="005D01F7" w:rsidRPr="00766B66">
        <w:t xml:space="preserve"> </w:t>
      </w:r>
      <w:hyperlink r:id="rId26" w:history="1">
        <w:r w:rsidR="005D01F7" w:rsidRPr="00766B66">
          <w:rPr>
            <w:rStyle w:val="Hyperlink"/>
          </w:rPr>
          <w:t>Research Briefing</w:t>
        </w:r>
      </w:hyperlink>
      <w:r w:rsidR="005D01F7" w:rsidRPr="00766B66">
        <w:t xml:space="preserve"> outlining why we think some of these concerns may be misplaced</w:t>
      </w:r>
      <w:r w:rsidR="00906B6F" w:rsidRPr="00766B66">
        <w:t xml:space="preserve">. There are some early signs that a majority of committee members are </w:t>
      </w:r>
      <w:r w:rsidR="00906B6F" w:rsidRPr="00766B66">
        <w:lastRenderedPageBreak/>
        <w:t xml:space="preserve">coming round to </w:t>
      </w:r>
      <w:r w:rsidR="00FB2ADA">
        <w:t>our</w:t>
      </w:r>
      <w:r w:rsidR="00FB2ADA" w:rsidRPr="00766B66">
        <w:t xml:space="preserve"> </w:t>
      </w:r>
      <w:r w:rsidR="00906B6F" w:rsidRPr="00766B66">
        <w:t>view, particularly in light of recent US tariff announcements, and are open to taking a more proactive approach to cutting.</w:t>
      </w:r>
    </w:p>
    <w:p w14:paraId="51897FBE" w14:textId="4A1FF0EF" w:rsidR="00CE5A47" w:rsidRPr="00766B66" w:rsidRDefault="00315368" w:rsidP="00F23A39">
      <w:r w:rsidRPr="00766B66">
        <w:t xml:space="preserve">Over the past week, </w:t>
      </w:r>
      <w:r w:rsidR="0098656F" w:rsidRPr="00766B66">
        <w:t>BoE Governor</w:t>
      </w:r>
      <w:r w:rsidR="00223135" w:rsidRPr="00766B66">
        <w:t xml:space="preserve"> Andrew Bailey</w:t>
      </w:r>
      <w:r w:rsidR="0098656F" w:rsidRPr="00766B66">
        <w:t>, who is a reliable bellw</w:t>
      </w:r>
      <w:r w:rsidR="00223135" w:rsidRPr="00766B66">
        <w:t xml:space="preserve">ether of MPC sentiment, </w:t>
      </w:r>
      <w:r w:rsidR="005E4064" w:rsidRPr="00766B66">
        <w:t xml:space="preserve">has </w:t>
      </w:r>
      <w:r w:rsidR="00151908" w:rsidRPr="00766B66">
        <w:t xml:space="preserve">placed particular emphasis on </w:t>
      </w:r>
      <w:r w:rsidR="008F7C7B" w:rsidRPr="00766B66">
        <w:t>the risk to growth from higher tariffs</w:t>
      </w:r>
      <w:r w:rsidR="00A46625" w:rsidRPr="00766B66">
        <w:t xml:space="preserve"> (</w:t>
      </w:r>
      <w:r w:rsidR="0005477B" w:rsidRPr="008F60B9">
        <w:rPr>
          <w:b/>
          <w:color w:val="003469"/>
        </w:rPr>
        <w:fldChar w:fldCharType="begin"/>
      </w:r>
      <w:r w:rsidR="008F60B9" w:rsidRPr="008F60B9">
        <w:rPr>
          <w:b/>
          <w:color w:val="003469"/>
        </w:rPr>
        <w:instrText xml:space="preserve">REF _Ref196725266 \h \* Charformat </w:instrText>
      </w:r>
      <w:r w:rsidR="008F60B9" w:rsidRPr="008F60B9">
        <w:rPr>
          <w:b/>
          <w:color w:val="003469"/>
        </w:rPr>
      </w:r>
      <w:r w:rsidR="0005477B" w:rsidRPr="008F60B9">
        <w:rPr>
          <w:b/>
          <w:color w:val="003469"/>
        </w:rPr>
        <w:fldChar w:fldCharType="separate"/>
      </w:r>
      <w:r w:rsidR="008F60B9" w:rsidRPr="008F60B9">
        <w:rPr>
          <w:b/>
          <w:color w:val="003469"/>
        </w:rPr>
        <w:t>Table 1</w:t>
      </w:r>
      <w:r w:rsidR="0005477B" w:rsidRPr="008F60B9">
        <w:rPr>
          <w:b/>
          <w:color w:val="003469"/>
        </w:rPr>
        <w:fldChar w:fldCharType="end"/>
      </w:r>
      <w:r w:rsidR="00C12C5D" w:rsidRPr="00766B66">
        <w:t xml:space="preserve"> </w:t>
      </w:r>
      <w:r w:rsidR="00EE2938" w:rsidRPr="00766B66">
        <w:t xml:space="preserve">shows our analysis of recent comments by MPC members). </w:t>
      </w:r>
      <w:r w:rsidR="000A2410" w:rsidRPr="00766B66">
        <w:t xml:space="preserve">Meanwhile, other committee members </w:t>
      </w:r>
      <w:r w:rsidR="00341C4F" w:rsidRPr="00766B66">
        <w:t>who</w:t>
      </w:r>
      <w:r w:rsidR="000A2410" w:rsidRPr="00766B66">
        <w:t xml:space="preserve"> have previously been more concerned about </w:t>
      </w:r>
      <w:r w:rsidR="0004751D" w:rsidRPr="00766B66">
        <w:t xml:space="preserve">the weakness of supply, such as Megan Greene, have suggested that </w:t>
      </w:r>
      <w:r w:rsidR="006A6F55" w:rsidRPr="00766B66">
        <w:t xml:space="preserve">the balance of risks </w:t>
      </w:r>
      <w:r w:rsidR="008D5F2B" w:rsidRPr="00766B66">
        <w:t>has</w:t>
      </w:r>
      <w:r w:rsidR="006A6F55" w:rsidRPr="00766B66">
        <w:t xml:space="preserve"> tilt</w:t>
      </w:r>
      <w:r w:rsidR="008D5F2B" w:rsidRPr="00766B66">
        <w:t>ed</w:t>
      </w:r>
      <w:r w:rsidR="006A6F55" w:rsidRPr="00766B66">
        <w:t xml:space="preserve"> towards the disinflationary side.</w:t>
      </w:r>
    </w:p>
    <w:p w14:paraId="411CA569" w14:textId="43AF0CD9" w:rsidR="00F25D8B" w:rsidRPr="00766B66" w:rsidRDefault="00F25D8B" w:rsidP="009A6809">
      <w:pPr>
        <w:pStyle w:val="ExhibitTitle"/>
      </w:pPr>
      <w:bookmarkStart w:id="6" w:name="_Ref196725266"/>
      <w:r w:rsidRPr="00766B66">
        <w:t xml:space="preserve">Table </w:t>
      </w:r>
      <w:r w:rsidRPr="00766B66">
        <w:fldChar w:fldCharType="begin"/>
      </w:r>
      <w:r w:rsidR="00A4727E" w:rsidRPr="00766B66">
        <w:instrText>SEQ TABLE</w:instrText>
      </w:r>
      <w:r w:rsidRPr="00766B66">
        <w:fldChar w:fldCharType="separate"/>
      </w:r>
      <w:r w:rsidR="00644065">
        <w:rPr>
          <w:noProof/>
        </w:rPr>
        <w:t>1</w:t>
      </w:r>
      <w:r w:rsidRPr="00766B66">
        <w:fldChar w:fldCharType="end"/>
      </w:r>
      <w:bookmarkEnd w:id="6"/>
      <w:r w:rsidRPr="00766B66">
        <w:t xml:space="preserve">: </w:t>
      </w:r>
      <w:r w:rsidR="00E232A5" w:rsidRPr="00766B66">
        <w:t>Key comments by MPC members since the March meeting</w:t>
      </w:r>
    </w:p>
    <w:tbl>
      <w:tblPr>
        <w:tblStyle w:val="TableGridHeader"/>
        <w:tblW w:w="5000" w:type="pct"/>
        <w:tblLook w:val="04A0" w:firstRow="1" w:lastRow="0" w:firstColumn="1" w:lastColumn="0" w:noHBand="0" w:noVBand="1"/>
      </w:tblPr>
      <w:tblGrid>
        <w:gridCol w:w="1257"/>
        <w:gridCol w:w="977"/>
        <w:gridCol w:w="7246"/>
      </w:tblGrid>
      <w:tr w:rsidR="005F4D6D" w:rsidRPr="00766B66" w14:paraId="3AF1CD2B" w14:textId="77777777" w:rsidTr="00073E77">
        <w:trPr>
          <w:cnfStyle w:val="100000000000" w:firstRow="1" w:lastRow="0" w:firstColumn="0" w:lastColumn="0" w:oddVBand="0" w:evenVBand="0" w:oddHBand="0" w:evenHBand="0" w:firstRowFirstColumn="0" w:firstRowLastColumn="0" w:lastRowFirstColumn="0" w:lastRowLastColumn="0"/>
          <w:tblHeader/>
        </w:trPr>
        <w:tc>
          <w:tcPr>
            <w:tcW w:w="1257" w:type="dxa"/>
          </w:tcPr>
          <w:p w14:paraId="4A240DF4" w14:textId="7F047601" w:rsidR="005F4D6D" w:rsidRPr="00766B66" w:rsidRDefault="00777DD9" w:rsidP="00F25D8B">
            <w:pPr>
              <w:pStyle w:val="TableHeader"/>
            </w:pPr>
            <w:r w:rsidRPr="00766B66">
              <w:t>Speaker and link</w:t>
            </w:r>
          </w:p>
        </w:tc>
        <w:tc>
          <w:tcPr>
            <w:tcW w:w="977" w:type="dxa"/>
          </w:tcPr>
          <w:p w14:paraId="6438383C" w14:textId="1A389D00" w:rsidR="005F4D6D" w:rsidRPr="00766B66" w:rsidRDefault="00777DD9" w:rsidP="00F25D8B">
            <w:pPr>
              <w:pStyle w:val="TableHeader"/>
            </w:pPr>
            <w:r w:rsidRPr="00766B66">
              <w:t>Date</w:t>
            </w:r>
          </w:p>
        </w:tc>
        <w:tc>
          <w:tcPr>
            <w:tcW w:w="7246" w:type="dxa"/>
          </w:tcPr>
          <w:p w14:paraId="5BD23388" w14:textId="32E654B0" w:rsidR="005F4D6D" w:rsidRPr="00766B66" w:rsidRDefault="00777DD9" w:rsidP="00F25D8B">
            <w:pPr>
              <w:pStyle w:val="TableHeader"/>
            </w:pPr>
            <w:r w:rsidRPr="00766B66">
              <w:t>Key takeaway</w:t>
            </w:r>
          </w:p>
        </w:tc>
      </w:tr>
      <w:tr w:rsidR="005F4D6D" w:rsidRPr="00766B66" w14:paraId="6A9082C7" w14:textId="77777777" w:rsidTr="00073E77">
        <w:tc>
          <w:tcPr>
            <w:tcW w:w="1257" w:type="dxa"/>
          </w:tcPr>
          <w:p w14:paraId="6958CC53" w14:textId="4839E2E1" w:rsidR="005F4D6D" w:rsidRPr="00766B66" w:rsidRDefault="006E07D4" w:rsidP="00F25D8B">
            <w:pPr>
              <w:pStyle w:val="TableData"/>
            </w:pPr>
            <w:hyperlink r:id="rId27" w:history="1">
              <w:r w:rsidR="00073E77" w:rsidRPr="00766B66">
                <w:rPr>
                  <w:rStyle w:val="Hyperlink"/>
                  <w:rFonts w:eastAsiaTheme="minorHAnsi"/>
                  <w:lang w:eastAsia="en-US"/>
                </w:rPr>
                <w:t>Greene</w:t>
              </w:r>
            </w:hyperlink>
          </w:p>
        </w:tc>
        <w:tc>
          <w:tcPr>
            <w:tcW w:w="977" w:type="dxa"/>
          </w:tcPr>
          <w:p w14:paraId="0EA386F7" w14:textId="73A834A2" w:rsidR="005F4D6D" w:rsidRPr="00766B66" w:rsidRDefault="00750481" w:rsidP="00F25D8B">
            <w:pPr>
              <w:pStyle w:val="TableData"/>
            </w:pPr>
            <w:r w:rsidRPr="00766B66">
              <w:t>April 25</w:t>
            </w:r>
          </w:p>
        </w:tc>
        <w:tc>
          <w:tcPr>
            <w:tcW w:w="7246" w:type="dxa"/>
          </w:tcPr>
          <w:p w14:paraId="327D5A0B" w14:textId="4447713E" w:rsidR="005F4D6D" w:rsidRPr="00766B66" w:rsidRDefault="00750481" w:rsidP="00F25D8B">
            <w:pPr>
              <w:pStyle w:val="TableData"/>
            </w:pPr>
            <w:r w:rsidRPr="00766B66">
              <w:t xml:space="preserve">In a discussion with the Atlantic Council think tank, </w:t>
            </w:r>
            <w:r w:rsidR="00440597" w:rsidRPr="00766B66">
              <w:t xml:space="preserve">Greene </w:t>
            </w:r>
            <w:r w:rsidR="0014762D" w:rsidRPr="00766B66">
              <w:t xml:space="preserve">reiterated her long-held concerns </w:t>
            </w:r>
            <w:r w:rsidR="0044110D" w:rsidRPr="00766B66">
              <w:t xml:space="preserve">about weak productivity and supply constraints on the economy. </w:t>
            </w:r>
            <w:r w:rsidR="00933173" w:rsidRPr="00766B66">
              <w:t xml:space="preserve">However, </w:t>
            </w:r>
            <w:r w:rsidR="00923120" w:rsidRPr="00766B66">
              <w:t xml:space="preserve">she also noted that recent tariff announcements have shifted her outlook to a degree, </w:t>
            </w:r>
            <w:r w:rsidR="00BB73E8" w:rsidRPr="00766B66">
              <w:t>saying "In my mind, the risk space has changed a little bit. So I think the risk is now on the disinflationary side. So I think that tariffs on the UK would, on net, be more disinflationary than they are inflationary".</w:t>
            </w:r>
          </w:p>
        </w:tc>
      </w:tr>
      <w:tr w:rsidR="00073E77" w:rsidRPr="00766B66" w14:paraId="17D53037" w14:textId="77777777" w:rsidTr="00073E77">
        <w:tc>
          <w:tcPr>
            <w:tcW w:w="1257" w:type="dxa"/>
          </w:tcPr>
          <w:p w14:paraId="44F5EF6C" w14:textId="74199BD9" w:rsidR="00073E77" w:rsidRPr="00766B66" w:rsidRDefault="006E07D4" w:rsidP="00073E77">
            <w:pPr>
              <w:pStyle w:val="TableData"/>
            </w:pPr>
            <w:hyperlink r:id="rId28" w:history="1">
              <w:r w:rsidR="00073E77" w:rsidRPr="00766B66">
                <w:rPr>
                  <w:rStyle w:val="Hyperlink"/>
                  <w:lang w:eastAsia="en-US"/>
                </w:rPr>
                <w:t>Bailey</w:t>
              </w:r>
            </w:hyperlink>
          </w:p>
        </w:tc>
        <w:tc>
          <w:tcPr>
            <w:tcW w:w="977" w:type="dxa"/>
          </w:tcPr>
          <w:p w14:paraId="29EEE7FD" w14:textId="615E1441" w:rsidR="00073E77" w:rsidRPr="00766B66" w:rsidRDefault="00073E77" w:rsidP="00073E77">
            <w:pPr>
              <w:pStyle w:val="TableData"/>
            </w:pPr>
            <w:r w:rsidRPr="00766B66">
              <w:t>April 23</w:t>
            </w:r>
          </w:p>
        </w:tc>
        <w:tc>
          <w:tcPr>
            <w:tcW w:w="7246" w:type="dxa"/>
          </w:tcPr>
          <w:p w14:paraId="4D46A203" w14:textId="6FF9395C" w:rsidR="00073E77" w:rsidRPr="00766B66" w:rsidRDefault="00073E77" w:rsidP="00073E77">
            <w:pPr>
              <w:pStyle w:val="TableData"/>
            </w:pPr>
            <w:r w:rsidRPr="00766B66">
              <w:t xml:space="preserve">Speaking at an Institute of International Finance event in Washington, the Governor placed particular emphasis on the potential hit to growth, saying that the committee "have to take very seriously the risk to growth". In a later </w:t>
            </w:r>
            <w:hyperlink r:id="rId29" w:history="1">
              <w:r w:rsidRPr="00766B66">
                <w:rPr>
                  <w:rStyle w:val="Hyperlink"/>
                  <w:lang w:eastAsia="en-US"/>
                </w:rPr>
                <w:t>interview</w:t>
              </w:r>
            </w:hyperlink>
            <w:r w:rsidRPr="00766B66">
              <w:t>, Bailey doubled down on this message, remarking that "we are certainly quite focused on the growth shock".</w:t>
            </w:r>
          </w:p>
        </w:tc>
      </w:tr>
      <w:tr w:rsidR="00073E77" w:rsidRPr="00766B66" w14:paraId="4840EE3A" w14:textId="77777777" w:rsidTr="00073E77">
        <w:tc>
          <w:tcPr>
            <w:tcW w:w="1257" w:type="dxa"/>
          </w:tcPr>
          <w:p w14:paraId="68A762E1" w14:textId="5D1CC198" w:rsidR="00073E77" w:rsidRPr="00766B66" w:rsidRDefault="006E07D4" w:rsidP="00073E77">
            <w:pPr>
              <w:pStyle w:val="TableData"/>
            </w:pPr>
            <w:hyperlink r:id="rId30" w:history="1">
              <w:r w:rsidR="00073E77" w:rsidRPr="00766B66">
                <w:rPr>
                  <w:rStyle w:val="Hyperlink"/>
                  <w:rFonts w:eastAsiaTheme="minorHAnsi"/>
                  <w:lang w:eastAsia="en-US"/>
                </w:rPr>
                <w:t>Breeden</w:t>
              </w:r>
            </w:hyperlink>
          </w:p>
        </w:tc>
        <w:tc>
          <w:tcPr>
            <w:tcW w:w="977" w:type="dxa"/>
          </w:tcPr>
          <w:p w14:paraId="788934B7" w14:textId="45DEFEB5" w:rsidR="00073E77" w:rsidRPr="00766B66" w:rsidRDefault="00073E77" w:rsidP="00073E77">
            <w:pPr>
              <w:pStyle w:val="TableData"/>
            </w:pPr>
            <w:r w:rsidRPr="00766B66">
              <w:t>April 10</w:t>
            </w:r>
          </w:p>
        </w:tc>
        <w:tc>
          <w:tcPr>
            <w:tcW w:w="7246" w:type="dxa"/>
          </w:tcPr>
          <w:p w14:paraId="42B84EA9" w14:textId="7ACA7716" w:rsidR="00073E77" w:rsidRPr="00766B66" w:rsidRDefault="009E5327" w:rsidP="00241B67">
            <w:pPr>
              <w:pStyle w:val="TableData"/>
            </w:pPr>
            <w:r w:rsidRPr="00766B66">
              <w:t>During an online panel</w:t>
            </w:r>
            <w:r w:rsidR="00141C31" w:rsidRPr="00766B66">
              <w:t xml:space="preserve">, Breeden said that "if nothing else, </w:t>
            </w:r>
            <w:r w:rsidR="00B128AD" w:rsidRPr="00766B66">
              <w:t>the chilling effect of trade policy uncertainty on firms and consumers is clear". She added "</w:t>
            </w:r>
            <w:r w:rsidR="00241B67" w:rsidRPr="00766B66">
              <w:t xml:space="preserve">I would expect tariffs to lower economic activity as barriers to trade inherently weigh on global demand". </w:t>
            </w:r>
            <w:r w:rsidR="0017461D" w:rsidRPr="00766B66">
              <w:t xml:space="preserve">Breeden </w:t>
            </w:r>
            <w:r w:rsidR="00A25FE0" w:rsidRPr="00766B66">
              <w:t>was less willing to offer a steer on the implications for inflation</w:t>
            </w:r>
            <w:r w:rsidR="00584678" w:rsidRPr="00766B66">
              <w:t>, saying that "the answer on inflation is not clear-cut"</w:t>
            </w:r>
            <w:r w:rsidR="001560A5" w:rsidRPr="00766B66">
              <w:t>, though she did single out the exchange rate as a "key determinant" to her view.</w:t>
            </w:r>
          </w:p>
        </w:tc>
      </w:tr>
      <w:tr w:rsidR="00073E77" w:rsidRPr="00766B66" w14:paraId="27CD8FD7" w14:textId="77777777" w:rsidTr="00073E77">
        <w:tc>
          <w:tcPr>
            <w:tcW w:w="1257" w:type="dxa"/>
          </w:tcPr>
          <w:p w14:paraId="7E00118A" w14:textId="17F99FF9" w:rsidR="00073E77" w:rsidRPr="00766B66" w:rsidRDefault="006E07D4" w:rsidP="00073E77">
            <w:pPr>
              <w:pStyle w:val="TableData"/>
            </w:pPr>
            <w:hyperlink r:id="rId31" w:history="1">
              <w:r w:rsidR="00073E77" w:rsidRPr="00766B66">
                <w:rPr>
                  <w:rStyle w:val="Hyperlink"/>
                  <w:rFonts w:eastAsiaTheme="minorHAnsi"/>
                  <w:lang w:eastAsia="en-US"/>
                </w:rPr>
                <w:t>Lombardelli</w:t>
              </w:r>
            </w:hyperlink>
          </w:p>
        </w:tc>
        <w:tc>
          <w:tcPr>
            <w:tcW w:w="977" w:type="dxa"/>
          </w:tcPr>
          <w:p w14:paraId="63ADDF9B" w14:textId="407C0180" w:rsidR="00073E77" w:rsidRPr="00766B66" w:rsidRDefault="00073E77" w:rsidP="00073E77">
            <w:pPr>
              <w:pStyle w:val="TableData"/>
            </w:pPr>
            <w:r w:rsidRPr="00766B66">
              <w:t>April 8</w:t>
            </w:r>
          </w:p>
        </w:tc>
        <w:tc>
          <w:tcPr>
            <w:tcW w:w="7246" w:type="dxa"/>
          </w:tcPr>
          <w:p w14:paraId="20681C8B" w14:textId="433D97AF" w:rsidR="00073E77" w:rsidRPr="00766B66" w:rsidRDefault="00A87A0F" w:rsidP="00073E77">
            <w:pPr>
              <w:pStyle w:val="TableData"/>
            </w:pPr>
            <w:r w:rsidRPr="00766B66">
              <w:t>Similar to Breeden</w:t>
            </w:r>
            <w:r w:rsidR="00A0146E" w:rsidRPr="00766B66">
              <w:t xml:space="preserve">, Lombardelli has been </w:t>
            </w:r>
            <w:r w:rsidR="001A26D9" w:rsidRPr="00766B66">
              <w:t xml:space="preserve">more willing to comment on the negative growth implications </w:t>
            </w:r>
            <w:r w:rsidR="00A75C45" w:rsidRPr="00766B66">
              <w:t xml:space="preserve">of US tariffs but not on the impact on inflation. </w:t>
            </w:r>
            <w:r w:rsidR="00AC1C4E" w:rsidRPr="00766B66">
              <w:t xml:space="preserve">Speaking during a panel discussion at a Resolution Foundation event, Lombardelli said </w:t>
            </w:r>
            <w:r w:rsidR="007A192A" w:rsidRPr="00766B66">
              <w:t>"we know the tariffs are likely to depress activity overall, the direction is relatively clear. On inflation</w:t>
            </w:r>
            <w:r w:rsidR="00BF6202" w:rsidRPr="00766B66">
              <w:t xml:space="preserve">, it depends a lot more </w:t>
            </w:r>
            <w:r w:rsidR="007A192A" w:rsidRPr="00766B66">
              <w:t>"</w:t>
            </w:r>
            <w:r w:rsidR="00BF6202" w:rsidRPr="00766B66">
              <w:t>on the circumstances of actually how other countries respond".</w:t>
            </w:r>
          </w:p>
        </w:tc>
      </w:tr>
    </w:tbl>
    <w:p w14:paraId="4EDB3243" w14:textId="56F4EACE" w:rsidR="00F25D8B" w:rsidRPr="00766B66" w:rsidRDefault="00F25D8B" w:rsidP="009A6809">
      <w:pPr>
        <w:pStyle w:val="ExhibitSource"/>
      </w:pPr>
      <w:r w:rsidRPr="00766B66">
        <w:t>Source: Oxford Economics</w:t>
      </w:r>
    </w:p>
    <w:p w14:paraId="0FE5D435" w14:textId="548FD190" w:rsidR="00906B6F" w:rsidRPr="00766B66" w:rsidRDefault="00906B6F" w:rsidP="00906B6F">
      <w:r w:rsidRPr="00766B66">
        <w:t xml:space="preserve">Key to </w:t>
      </w:r>
      <w:r w:rsidR="00EB6294">
        <w:t xml:space="preserve">the </w:t>
      </w:r>
      <w:r w:rsidR="00FF39F5" w:rsidRPr="00766B66">
        <w:t>MPC's</w:t>
      </w:r>
      <w:r w:rsidRPr="00766B66">
        <w:t xml:space="preserve"> communication</w:t>
      </w:r>
      <w:r w:rsidR="00EB6294">
        <w:t>s</w:t>
      </w:r>
      <w:r w:rsidRPr="00766B66">
        <w:t xml:space="preserve"> will be a recasting of the </w:t>
      </w:r>
      <w:r w:rsidR="00FF39F5" w:rsidRPr="00766B66">
        <w:t>committee's</w:t>
      </w:r>
      <w:r w:rsidRPr="00766B66">
        <w:t xml:space="preserve"> inflation scenarios. In the minutes from </w:t>
      </w:r>
      <w:r w:rsidR="00EB6294">
        <w:t xml:space="preserve">the </w:t>
      </w:r>
      <w:r w:rsidRPr="00766B66">
        <w:t xml:space="preserve">March meeting, the committee signalled that the scenarios will be replaced in May and will build on recent discussions around the balance of supply and demand. We suspect the MPC will incorporate </w:t>
      </w:r>
      <w:r w:rsidR="00EB6294">
        <w:t>a range of</w:t>
      </w:r>
      <w:r w:rsidR="00EB6294" w:rsidRPr="00766B66">
        <w:t xml:space="preserve"> </w:t>
      </w:r>
      <w:r w:rsidRPr="00766B66">
        <w:t xml:space="preserve">US trade policy </w:t>
      </w:r>
      <w:r w:rsidR="00EB6294" w:rsidRPr="00766B66">
        <w:t xml:space="preserve">impacts </w:t>
      </w:r>
      <w:r w:rsidRPr="00766B66">
        <w:t xml:space="preserve">as part of the narratives. A more dovish scenario is likely to lean on the </w:t>
      </w:r>
      <w:r w:rsidR="00EB6294">
        <w:t>view</w:t>
      </w:r>
      <w:r w:rsidR="00EB6294" w:rsidRPr="00766B66">
        <w:t xml:space="preserve"> </w:t>
      </w:r>
      <w:r w:rsidRPr="00766B66">
        <w:t>that the negative shock to demand shock will dominate and result in inflation dissipating quickly. Meanwhile, a more hawkish scenario may suggest that trade frictions could exacerbate structural factors that are weighing on potential output, which risks greater persistence in wage- and price-setting.</w:t>
      </w:r>
    </w:p>
    <w:p w14:paraId="6036D9AD" w14:textId="40F7BE9E" w:rsidR="00040238" w:rsidRPr="00766B66" w:rsidRDefault="00906B6F" w:rsidP="00BA590D">
      <w:r w:rsidRPr="00766B66">
        <w:t xml:space="preserve">How the MPC positions its central forecast relative to the scenarios will </w:t>
      </w:r>
      <w:r w:rsidR="00EB6294">
        <w:t>indicate</w:t>
      </w:r>
      <w:r w:rsidRPr="00766B66">
        <w:t xml:space="preserve"> how it views the balance of risks. Similarly, where the MPC expects inflation to settle in the final year of its forecast based on market interest rate expectations</w:t>
      </w:r>
      <w:r w:rsidR="0095224B" w:rsidRPr="00766B66">
        <w:t xml:space="preserve"> and the skew of this forecast</w:t>
      </w:r>
      <w:r w:rsidR="00E111C8" w:rsidRPr="00766B66">
        <w:t>,</w:t>
      </w:r>
      <w:r w:rsidRPr="00766B66">
        <w:t xml:space="preserve"> will give a good guide to how it views current market pricing.</w:t>
      </w:r>
      <w:r w:rsidR="00803BDD" w:rsidRPr="00766B66">
        <w:t xml:space="preserve"> </w:t>
      </w:r>
      <w:r w:rsidR="00BA590D" w:rsidRPr="00766B66">
        <w:t xml:space="preserve">We suspect the MPC may also </w:t>
      </w:r>
      <w:r w:rsidR="00E111C8" w:rsidRPr="00766B66">
        <w:t>drop its reference to undertaking a "gradual" approach to loosening policy from the minutes</w:t>
      </w:r>
      <w:r w:rsidR="00BA590D" w:rsidRPr="00766B66">
        <w:t xml:space="preserve"> (</w:t>
      </w:r>
      <w:r w:rsidR="00EA2CA7" w:rsidRPr="008F60B9">
        <w:rPr>
          <w:b/>
          <w:color w:val="003469"/>
        </w:rPr>
        <w:fldChar w:fldCharType="begin"/>
      </w:r>
      <w:r w:rsidR="008F60B9" w:rsidRPr="008F60B9">
        <w:rPr>
          <w:b/>
          <w:color w:val="003469"/>
        </w:rPr>
        <w:instrText xml:space="preserve">REF _Ref196835387 \h \* Charformat </w:instrText>
      </w:r>
      <w:r w:rsidR="008F60B9" w:rsidRPr="008F60B9">
        <w:rPr>
          <w:b/>
          <w:color w:val="003469"/>
        </w:rPr>
      </w:r>
      <w:r w:rsidR="00EA2CA7" w:rsidRPr="008F60B9">
        <w:rPr>
          <w:b/>
          <w:color w:val="003469"/>
        </w:rPr>
        <w:fldChar w:fldCharType="separate"/>
      </w:r>
      <w:r w:rsidR="008F60B9" w:rsidRPr="008F60B9">
        <w:rPr>
          <w:b/>
          <w:color w:val="003469"/>
        </w:rPr>
        <w:t>Chart 5</w:t>
      </w:r>
      <w:r w:rsidR="00EA2CA7" w:rsidRPr="008F60B9">
        <w:rPr>
          <w:b/>
          <w:color w:val="003469"/>
        </w:rPr>
        <w:fldChar w:fldCharType="end"/>
      </w:r>
      <w:r w:rsidR="00BA590D" w:rsidRPr="00766B66">
        <w:t xml:space="preserve">). This </w:t>
      </w:r>
      <w:r w:rsidR="00040238" w:rsidRPr="00766B66">
        <w:t xml:space="preserve">would </w:t>
      </w:r>
      <w:r w:rsidR="00BA590D" w:rsidRPr="00766B66">
        <w:t>reflect the committee</w:t>
      </w:r>
      <w:r w:rsidR="00040238" w:rsidRPr="00766B66">
        <w:t>'s</w:t>
      </w:r>
      <w:r w:rsidR="00BA590D" w:rsidRPr="00766B66">
        <w:t xml:space="preserve"> </w:t>
      </w:r>
      <w:r w:rsidR="00040238" w:rsidRPr="00766B66">
        <w:t>openness to adopting a faster pace of cuts should the downward pressure on growth and inflation from US tariffs prove sufficiently large.</w:t>
      </w:r>
    </w:p>
    <w:p w14:paraId="355AC734" w14:textId="77777777" w:rsidR="00A67681" w:rsidRPr="00766B66" w:rsidRDefault="00A67681" w:rsidP="00906B6F"/>
    <w:p w14:paraId="2235B834" w14:textId="220F2BE2" w:rsidR="0051064D" w:rsidRPr="00766B66" w:rsidRDefault="0051064D" w:rsidP="009A6809">
      <w:pPr>
        <w:pStyle w:val="ExhibitTitle"/>
      </w:pPr>
      <w:bookmarkStart w:id="7" w:name="_Ref196835387"/>
      <w:r w:rsidRPr="00766B66">
        <w:lastRenderedPageBreak/>
        <w:t xml:space="preserve">Chart </w:t>
      </w:r>
      <w:r w:rsidRPr="00766B66">
        <w:fldChar w:fldCharType="begin"/>
      </w:r>
      <w:r w:rsidR="00EA2CA7" w:rsidRPr="00766B66">
        <w:instrText>SEQ CHART</w:instrText>
      </w:r>
      <w:r w:rsidRPr="00766B66">
        <w:fldChar w:fldCharType="separate"/>
      </w:r>
      <w:r w:rsidR="00644065">
        <w:rPr>
          <w:noProof/>
        </w:rPr>
        <w:t>5</w:t>
      </w:r>
      <w:r w:rsidRPr="00766B66">
        <w:fldChar w:fldCharType="end"/>
      </w:r>
      <w:bookmarkEnd w:id="7"/>
      <w:r w:rsidRPr="00766B66">
        <w:t xml:space="preserve">: </w:t>
      </w:r>
      <w:r w:rsidR="00F45454" w:rsidRPr="00766B66">
        <w:t xml:space="preserve">We think the MPC may drop </w:t>
      </w:r>
      <w:r w:rsidR="00642B50" w:rsidRPr="00766B66">
        <w:t>its</w:t>
      </w:r>
      <w:r w:rsidR="00F45454" w:rsidRPr="00766B66">
        <w:t xml:space="preserve"> reference to gradualism in the minutes</w:t>
      </w:r>
    </w:p>
    <w:p w14:paraId="61B43FDB" w14:textId="0D45C369" w:rsidR="0051064D" w:rsidRPr="00766B66" w:rsidRDefault="0051064D" w:rsidP="009A6809">
      <w:pPr>
        <w:spacing w:after="0"/>
      </w:pPr>
      <w:r w:rsidRPr="00766B66">
        <w:rPr>
          <w:noProof/>
        </w:rPr>
        <w:drawing>
          <wp:inline distT="0" distB="0" distL="0" distR="0" wp14:anchorId="486643B3" wp14:editId="3ABA5AF7">
            <wp:extent cx="3250933" cy="2566074"/>
            <wp:effectExtent l="0" t="0" r="6985" b="5715"/>
            <wp:docPr id="19603658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65842" name=""/>
                    <pic:cNvPicPr/>
                  </pic:nvPicPr>
                  <pic:blipFill>
                    <a:blip r:embed="rId32">
                      <a:extLst>
                        <a:ext uri="{96DAC541-7B7A-43D3-8B79-37D633B846F1}">
                          <asvg:svgBlip xmlns:asvg="http://schemas.microsoft.com/office/drawing/2016/SVG/main" r:embed="rId33"/>
                        </a:ext>
                      </a:extLst>
                    </a:blip>
                    <a:srcRect b="1258"/>
                    <a:stretch>
                      <a:fillRect/>
                    </a:stretch>
                  </pic:blipFill>
                  <pic:spPr>
                    <a:xfrm>
                      <a:off x="0" y="0"/>
                      <a:ext cx="3250933" cy="2566074"/>
                    </a:xfrm>
                    <a:prstGeom prst="rect">
                      <a:avLst/>
                    </a:prstGeom>
                  </pic:spPr>
                </pic:pic>
              </a:graphicData>
            </a:graphic>
          </wp:inline>
        </w:drawing>
      </w:r>
    </w:p>
    <w:p w14:paraId="4579491F" w14:textId="3E954116" w:rsidR="0051064D" w:rsidRPr="00766B66" w:rsidRDefault="0051064D" w:rsidP="009A6809">
      <w:pPr>
        <w:pStyle w:val="ExhibitSource"/>
      </w:pPr>
      <w:r w:rsidRPr="00766B66">
        <w:t>Source: Oxford Economics</w:t>
      </w:r>
    </w:p>
    <w:p w14:paraId="48272CD2" w14:textId="0E78A5B2" w:rsidR="0051064D" w:rsidRPr="00766B66" w:rsidRDefault="0051064D" w:rsidP="00906B6F"/>
    <w:sectPr w:rsidR="0051064D" w:rsidRPr="00766B66" w:rsidSect="009E09E8">
      <w:pgSz w:w="11906" w:h="16838"/>
      <w:pgMar w:top="1417" w:right="1276" w:bottom="81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FD636" w14:textId="77777777" w:rsidR="002A01DE" w:rsidRDefault="002A01DE" w:rsidP="00F23A39">
      <w:pPr>
        <w:spacing w:before="0" w:after="0"/>
      </w:pPr>
      <w:r>
        <w:separator/>
      </w:r>
    </w:p>
  </w:endnote>
  <w:endnote w:type="continuationSeparator" w:id="0">
    <w:p w14:paraId="7B7AC17E" w14:textId="77777777" w:rsidR="002A01DE" w:rsidRDefault="002A01DE" w:rsidP="00F23A3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AA9B6" w14:textId="77777777" w:rsidR="006E07D4" w:rsidRDefault="006E07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15AE5" w14:textId="5870DA62" w:rsidR="00F23A39" w:rsidRPr="00F23A39" w:rsidRDefault="00F23A39" w:rsidP="00F23A39">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Edward Allenby - eallenby@oxfordeconomics.com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A68AA" w14:textId="362375F3" w:rsidR="00F23A39" w:rsidRDefault="00F23A39" w:rsidP="00F23A39">
    <w:pPr>
      <w:pStyle w:val="Author"/>
    </w:pPr>
    <w:r>
      <w:t>Edward Allenby</w:t>
    </w:r>
    <w:r w:rsidR="009A6809">
      <w:t xml:space="preserve"> - </w:t>
    </w:r>
    <w:r>
      <w:t>UK Economist</w:t>
    </w:r>
    <w:r w:rsidR="009A6809">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5EDEE" w14:textId="77777777" w:rsidR="002A01DE" w:rsidRDefault="002A01DE" w:rsidP="00F23A39">
      <w:pPr>
        <w:spacing w:before="0" w:after="0"/>
      </w:pPr>
      <w:r>
        <w:separator/>
      </w:r>
    </w:p>
  </w:footnote>
  <w:footnote w:type="continuationSeparator" w:id="0">
    <w:p w14:paraId="18F74F1B" w14:textId="77777777" w:rsidR="002A01DE" w:rsidRDefault="002A01DE" w:rsidP="00F23A3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8D16E" w14:textId="77777777" w:rsidR="00F23A39" w:rsidRDefault="00F23A39">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A59B2" w14:textId="22A41D75" w:rsidR="00F23A39" w:rsidRDefault="00F23A39" w:rsidP="00F23A39">
    <w:pPr>
      <w:pStyle w:val="Headline"/>
      <w:spacing w:before="120"/>
      <w:ind w:right="-1000"/>
    </w:pPr>
    <w:bookmarkStart w:id="1" w:name="_Hlk195521254"/>
    <w:bookmarkStart w:id="2" w:name="_Hlk195521255"/>
    <w:r w:rsidRPr="00F23A39">
      <w:rPr>
        <w:noProof/>
      </w:rPr>
      <w:drawing>
        <wp:anchor distT="0" distB="0" distL="114300" distR="114300" simplePos="0" relativeHeight="251658239" behindDoc="1" locked="1" layoutInCell="1" allowOverlap="1" wp14:anchorId="5EEEF1DA" wp14:editId="4EFAA2AE">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1F430B">
      <w:t xml:space="preserve">MPC Preview – </w:t>
    </w:r>
    <w:r w:rsidR="00C4257D">
      <w:t xml:space="preserve">tariffs </w:t>
    </w:r>
    <w:bookmarkEnd w:id="1"/>
    <w:bookmarkEnd w:id="2"/>
    <w:r w:rsidR="00F6126B">
      <w:t>could prompt</w:t>
    </w:r>
    <w:r w:rsidR="002530E9">
      <w:t xml:space="preserve"> a less cautious approach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550C0" w14:textId="5126B224" w:rsidR="00F23A39" w:rsidRDefault="00F23A39" w:rsidP="00F23A39">
    <w:r w:rsidRPr="00F23A39">
      <w:rPr>
        <w:noProof/>
      </w:rPr>
      <w:drawing>
        <wp:anchor distT="0" distB="0" distL="114300" distR="114300" simplePos="0" relativeHeight="251659264" behindDoc="1" locked="1" layoutInCell="1" allowOverlap="1" wp14:anchorId="548CFECC" wp14:editId="0D45D252">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507453712"/>
      <w:lock w:val="sdtLocked"/>
      <w:placeholder>
        <w:docPart w:val="DefaultPlaceholder_-1854013437"/>
      </w:placeholder>
      <w:date w:fullDate="2025-05-01T00:00:00Z">
        <w:dateFormat w:val="d MMMM yyyy"/>
        <w:lid w:val="en-GB"/>
        <w:storeMappedDataAs w:val="dateTime"/>
        <w:calendar w:val="gregorian"/>
      </w:date>
    </w:sdtPr>
    <w:sdtEndPr/>
    <w:sdtContent>
      <w:p w14:paraId="0A7CB1E8" w14:textId="33BED48D" w:rsidR="00F23A39" w:rsidRPr="00F23A39" w:rsidRDefault="00C4257D" w:rsidP="00F23A39">
        <w:pPr>
          <w:pStyle w:val="PublishDate"/>
          <w:framePr w:w="2835" w:h="340" w:hRule="exact" w:hSpace="180" w:wrap="around" w:vAnchor="page" w:hAnchor="page" w:x="7801" w:y="601" w:anchorLock="1"/>
        </w:pPr>
        <w:r>
          <w:t>1</w:t>
        </w:r>
        <w:r w:rsidR="00F23A39">
          <w:t xml:space="preserve"> </w:t>
        </w:r>
        <w:r>
          <w:t>May</w:t>
        </w:r>
        <w:r w:rsidR="00F23A39">
          <w:t xml:space="preserve"> 2025</w:t>
        </w:r>
      </w:p>
    </w:sdtContent>
  </w:sdt>
  <w:p w14:paraId="6A05C7F3" w14:textId="7FC2AD6D" w:rsidR="00F23A39" w:rsidRDefault="00F23A39" w:rsidP="00F23A39">
    <w:pPr>
      <w:pStyle w:val="ProductDescription"/>
      <w:framePr w:w="11339" w:h="1474" w:hRule="exact" w:hSpace="180" w:wrap="around" w:vAnchor="page" w:hAnchor="page" w:x="401" w:y="1141" w:anchorLock="1"/>
      <w:spacing w:after="200"/>
    </w:pPr>
    <w:r>
      <w:t>Research Briefing | UK</w:t>
    </w:r>
  </w:p>
  <w:p w14:paraId="5F922490" w14:textId="1598C29B" w:rsidR="00F23A39" w:rsidRDefault="001F46BB" w:rsidP="001F46BB">
    <w:pPr>
      <w:pStyle w:val="Headline"/>
      <w:framePr w:w="11339" w:h="1474" w:hRule="exact" w:hSpace="180" w:wrap="around" w:vAnchor="page" w:hAnchor="page" w:x="401" w:y="1141" w:anchorLock="1"/>
      <w:spacing w:line="200" w:lineRule="auto"/>
    </w:pPr>
    <w:r w:rsidRPr="001F46BB">
      <w:t>MPC Preview – tariffs could prompt a less cautious approach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39"/>
    <w:rsid w:val="00002D51"/>
    <w:rsid w:val="00005702"/>
    <w:rsid w:val="00005A76"/>
    <w:rsid w:val="0000680A"/>
    <w:rsid w:val="00006B6B"/>
    <w:rsid w:val="0002447D"/>
    <w:rsid w:val="000268DD"/>
    <w:rsid w:val="00026BD7"/>
    <w:rsid w:val="000307C1"/>
    <w:rsid w:val="0003144C"/>
    <w:rsid w:val="000365B9"/>
    <w:rsid w:val="00040238"/>
    <w:rsid w:val="00040690"/>
    <w:rsid w:val="0004343A"/>
    <w:rsid w:val="00044E26"/>
    <w:rsid w:val="00045243"/>
    <w:rsid w:val="0004751D"/>
    <w:rsid w:val="00053AC2"/>
    <w:rsid w:val="0005477B"/>
    <w:rsid w:val="000558D0"/>
    <w:rsid w:val="00060D84"/>
    <w:rsid w:val="0006387A"/>
    <w:rsid w:val="00073E77"/>
    <w:rsid w:val="000762CF"/>
    <w:rsid w:val="00083545"/>
    <w:rsid w:val="00086E08"/>
    <w:rsid w:val="000902B9"/>
    <w:rsid w:val="000A2410"/>
    <w:rsid w:val="000A25F9"/>
    <w:rsid w:val="000A2DDC"/>
    <w:rsid w:val="000B00C1"/>
    <w:rsid w:val="000B1CA3"/>
    <w:rsid w:val="000B586F"/>
    <w:rsid w:val="000C0F60"/>
    <w:rsid w:val="000C1F9C"/>
    <w:rsid w:val="000C4183"/>
    <w:rsid w:val="000C6AB2"/>
    <w:rsid w:val="000D136D"/>
    <w:rsid w:val="000D2158"/>
    <w:rsid w:val="000D58C9"/>
    <w:rsid w:val="000E475C"/>
    <w:rsid w:val="000E5942"/>
    <w:rsid w:val="000E683B"/>
    <w:rsid w:val="000F1B9E"/>
    <w:rsid w:val="000F3553"/>
    <w:rsid w:val="000F61B4"/>
    <w:rsid w:val="00102171"/>
    <w:rsid w:val="00102EBB"/>
    <w:rsid w:val="00110E87"/>
    <w:rsid w:val="00111F3A"/>
    <w:rsid w:val="00113984"/>
    <w:rsid w:val="00117376"/>
    <w:rsid w:val="00120052"/>
    <w:rsid w:val="00126B81"/>
    <w:rsid w:val="00133C26"/>
    <w:rsid w:val="001346B3"/>
    <w:rsid w:val="00137AC1"/>
    <w:rsid w:val="00141C31"/>
    <w:rsid w:val="001442E3"/>
    <w:rsid w:val="0014762D"/>
    <w:rsid w:val="0015047D"/>
    <w:rsid w:val="00151908"/>
    <w:rsid w:val="001560A5"/>
    <w:rsid w:val="001560F9"/>
    <w:rsid w:val="001570AF"/>
    <w:rsid w:val="00157210"/>
    <w:rsid w:val="00160700"/>
    <w:rsid w:val="00160C27"/>
    <w:rsid w:val="00162AE9"/>
    <w:rsid w:val="00163FAC"/>
    <w:rsid w:val="001678BD"/>
    <w:rsid w:val="0017461D"/>
    <w:rsid w:val="001817AC"/>
    <w:rsid w:val="001913A9"/>
    <w:rsid w:val="00191CDE"/>
    <w:rsid w:val="001925EF"/>
    <w:rsid w:val="001A26D9"/>
    <w:rsid w:val="001A7ACB"/>
    <w:rsid w:val="001B47AD"/>
    <w:rsid w:val="001B74F0"/>
    <w:rsid w:val="001B7AFD"/>
    <w:rsid w:val="001C0E42"/>
    <w:rsid w:val="001D4150"/>
    <w:rsid w:val="001E0D4C"/>
    <w:rsid w:val="001E1779"/>
    <w:rsid w:val="001F1988"/>
    <w:rsid w:val="001F31D6"/>
    <w:rsid w:val="001F3EC4"/>
    <w:rsid w:val="001F430B"/>
    <w:rsid w:val="001F46BB"/>
    <w:rsid w:val="00200AC7"/>
    <w:rsid w:val="0020104F"/>
    <w:rsid w:val="00206D77"/>
    <w:rsid w:val="002076D3"/>
    <w:rsid w:val="00212BB3"/>
    <w:rsid w:val="00213248"/>
    <w:rsid w:val="002136DA"/>
    <w:rsid w:val="00213E27"/>
    <w:rsid w:val="00223135"/>
    <w:rsid w:val="002276F6"/>
    <w:rsid w:val="002306AD"/>
    <w:rsid w:val="00233EB3"/>
    <w:rsid w:val="00234685"/>
    <w:rsid w:val="0023505D"/>
    <w:rsid w:val="00235C14"/>
    <w:rsid w:val="00240D91"/>
    <w:rsid w:val="00241B67"/>
    <w:rsid w:val="00241C32"/>
    <w:rsid w:val="00246A51"/>
    <w:rsid w:val="002506B9"/>
    <w:rsid w:val="00252182"/>
    <w:rsid w:val="002530E9"/>
    <w:rsid w:val="00260FB0"/>
    <w:rsid w:val="00264B5B"/>
    <w:rsid w:val="00266449"/>
    <w:rsid w:val="00267EE3"/>
    <w:rsid w:val="00270A04"/>
    <w:rsid w:val="00271B66"/>
    <w:rsid w:val="002734CF"/>
    <w:rsid w:val="00274EE9"/>
    <w:rsid w:val="002759F7"/>
    <w:rsid w:val="00276AF9"/>
    <w:rsid w:val="0029186D"/>
    <w:rsid w:val="0029318D"/>
    <w:rsid w:val="002942F5"/>
    <w:rsid w:val="00295314"/>
    <w:rsid w:val="0029592B"/>
    <w:rsid w:val="002968D7"/>
    <w:rsid w:val="002A01DE"/>
    <w:rsid w:val="002A1349"/>
    <w:rsid w:val="002A5A14"/>
    <w:rsid w:val="002A697A"/>
    <w:rsid w:val="002B2925"/>
    <w:rsid w:val="002B537D"/>
    <w:rsid w:val="002C34F8"/>
    <w:rsid w:val="002C729B"/>
    <w:rsid w:val="002D123D"/>
    <w:rsid w:val="002D199D"/>
    <w:rsid w:val="002D246D"/>
    <w:rsid w:val="002D7A8D"/>
    <w:rsid w:val="002E29CF"/>
    <w:rsid w:val="002E2FCD"/>
    <w:rsid w:val="002E6BE5"/>
    <w:rsid w:val="002F221A"/>
    <w:rsid w:val="002F74C0"/>
    <w:rsid w:val="00300730"/>
    <w:rsid w:val="00306464"/>
    <w:rsid w:val="00306F14"/>
    <w:rsid w:val="0030722B"/>
    <w:rsid w:val="003103FD"/>
    <w:rsid w:val="00310E8D"/>
    <w:rsid w:val="00313BC5"/>
    <w:rsid w:val="00315368"/>
    <w:rsid w:val="003203D7"/>
    <w:rsid w:val="00320891"/>
    <w:rsid w:val="00325993"/>
    <w:rsid w:val="00335B4A"/>
    <w:rsid w:val="0033648D"/>
    <w:rsid w:val="00337343"/>
    <w:rsid w:val="00337711"/>
    <w:rsid w:val="003404A6"/>
    <w:rsid w:val="00341572"/>
    <w:rsid w:val="00341C4F"/>
    <w:rsid w:val="00342C56"/>
    <w:rsid w:val="0034406B"/>
    <w:rsid w:val="00346FFA"/>
    <w:rsid w:val="00351CDD"/>
    <w:rsid w:val="00351DC8"/>
    <w:rsid w:val="003537C1"/>
    <w:rsid w:val="00355509"/>
    <w:rsid w:val="00355C7E"/>
    <w:rsid w:val="00363DB1"/>
    <w:rsid w:val="00364119"/>
    <w:rsid w:val="00364223"/>
    <w:rsid w:val="00364641"/>
    <w:rsid w:val="00364AE2"/>
    <w:rsid w:val="00365AEE"/>
    <w:rsid w:val="00365CC9"/>
    <w:rsid w:val="00366D78"/>
    <w:rsid w:val="00370425"/>
    <w:rsid w:val="00371948"/>
    <w:rsid w:val="003732F8"/>
    <w:rsid w:val="00376ECE"/>
    <w:rsid w:val="00381BA1"/>
    <w:rsid w:val="00383DDF"/>
    <w:rsid w:val="00385F52"/>
    <w:rsid w:val="00392638"/>
    <w:rsid w:val="003973BF"/>
    <w:rsid w:val="003974B4"/>
    <w:rsid w:val="003A1D34"/>
    <w:rsid w:val="003A2D01"/>
    <w:rsid w:val="003A4709"/>
    <w:rsid w:val="003B2B1C"/>
    <w:rsid w:val="003B4F28"/>
    <w:rsid w:val="003C0712"/>
    <w:rsid w:val="003C6EDE"/>
    <w:rsid w:val="003D08D4"/>
    <w:rsid w:val="003D2955"/>
    <w:rsid w:val="003E10F5"/>
    <w:rsid w:val="003E1637"/>
    <w:rsid w:val="003E57C3"/>
    <w:rsid w:val="003E641B"/>
    <w:rsid w:val="003E7F81"/>
    <w:rsid w:val="003F2F66"/>
    <w:rsid w:val="004061E4"/>
    <w:rsid w:val="004072B7"/>
    <w:rsid w:val="00407A5E"/>
    <w:rsid w:val="0041035C"/>
    <w:rsid w:val="0041199C"/>
    <w:rsid w:val="00413199"/>
    <w:rsid w:val="004131FF"/>
    <w:rsid w:val="00420A00"/>
    <w:rsid w:val="00424E58"/>
    <w:rsid w:val="0042574A"/>
    <w:rsid w:val="00425C62"/>
    <w:rsid w:val="00427C96"/>
    <w:rsid w:val="004309F5"/>
    <w:rsid w:val="00433D19"/>
    <w:rsid w:val="004341D1"/>
    <w:rsid w:val="00436B88"/>
    <w:rsid w:val="00440597"/>
    <w:rsid w:val="0044110D"/>
    <w:rsid w:val="004431D1"/>
    <w:rsid w:val="00450958"/>
    <w:rsid w:val="00451491"/>
    <w:rsid w:val="004571EC"/>
    <w:rsid w:val="00463A87"/>
    <w:rsid w:val="00464526"/>
    <w:rsid w:val="00464DBB"/>
    <w:rsid w:val="00465261"/>
    <w:rsid w:val="004722BA"/>
    <w:rsid w:val="00490A70"/>
    <w:rsid w:val="00494B3D"/>
    <w:rsid w:val="0049528C"/>
    <w:rsid w:val="00497A79"/>
    <w:rsid w:val="004A07FD"/>
    <w:rsid w:val="004A288C"/>
    <w:rsid w:val="004A4883"/>
    <w:rsid w:val="004A557B"/>
    <w:rsid w:val="004A5886"/>
    <w:rsid w:val="004C1144"/>
    <w:rsid w:val="004C1EE4"/>
    <w:rsid w:val="004C5C02"/>
    <w:rsid w:val="004C5FE4"/>
    <w:rsid w:val="004C773D"/>
    <w:rsid w:val="004D0DFD"/>
    <w:rsid w:val="004D7798"/>
    <w:rsid w:val="004E13A8"/>
    <w:rsid w:val="004E2CDD"/>
    <w:rsid w:val="004E3421"/>
    <w:rsid w:val="004E652E"/>
    <w:rsid w:val="004F32AD"/>
    <w:rsid w:val="004F38BA"/>
    <w:rsid w:val="004F3F3D"/>
    <w:rsid w:val="004F48A8"/>
    <w:rsid w:val="004F4C15"/>
    <w:rsid w:val="004F4F5D"/>
    <w:rsid w:val="004F70B0"/>
    <w:rsid w:val="00500B5B"/>
    <w:rsid w:val="00501477"/>
    <w:rsid w:val="00503544"/>
    <w:rsid w:val="00505BE1"/>
    <w:rsid w:val="00506D53"/>
    <w:rsid w:val="0051064D"/>
    <w:rsid w:val="00511265"/>
    <w:rsid w:val="00512740"/>
    <w:rsid w:val="00515215"/>
    <w:rsid w:val="00520647"/>
    <w:rsid w:val="00521A7D"/>
    <w:rsid w:val="00522985"/>
    <w:rsid w:val="00522D43"/>
    <w:rsid w:val="00522E31"/>
    <w:rsid w:val="00524A00"/>
    <w:rsid w:val="005258D4"/>
    <w:rsid w:val="00527286"/>
    <w:rsid w:val="0053131E"/>
    <w:rsid w:val="0053243A"/>
    <w:rsid w:val="005347D6"/>
    <w:rsid w:val="00542195"/>
    <w:rsid w:val="00545E26"/>
    <w:rsid w:val="0054673B"/>
    <w:rsid w:val="00552A07"/>
    <w:rsid w:val="00553F62"/>
    <w:rsid w:val="00555C81"/>
    <w:rsid w:val="00561059"/>
    <w:rsid w:val="00571A96"/>
    <w:rsid w:val="005751B6"/>
    <w:rsid w:val="00576623"/>
    <w:rsid w:val="0058419F"/>
    <w:rsid w:val="005845FC"/>
    <w:rsid w:val="00584678"/>
    <w:rsid w:val="00586105"/>
    <w:rsid w:val="00590920"/>
    <w:rsid w:val="00591306"/>
    <w:rsid w:val="00592568"/>
    <w:rsid w:val="0059348C"/>
    <w:rsid w:val="00594885"/>
    <w:rsid w:val="00596FE2"/>
    <w:rsid w:val="0059721A"/>
    <w:rsid w:val="005A278A"/>
    <w:rsid w:val="005A61B5"/>
    <w:rsid w:val="005A7403"/>
    <w:rsid w:val="005A7B4A"/>
    <w:rsid w:val="005B1CA4"/>
    <w:rsid w:val="005B4F7F"/>
    <w:rsid w:val="005C0072"/>
    <w:rsid w:val="005C1D0E"/>
    <w:rsid w:val="005C1E35"/>
    <w:rsid w:val="005C4A52"/>
    <w:rsid w:val="005D01F7"/>
    <w:rsid w:val="005D1D83"/>
    <w:rsid w:val="005D276F"/>
    <w:rsid w:val="005D371C"/>
    <w:rsid w:val="005D4ABF"/>
    <w:rsid w:val="005D7C84"/>
    <w:rsid w:val="005E27A4"/>
    <w:rsid w:val="005E4064"/>
    <w:rsid w:val="005E5A64"/>
    <w:rsid w:val="005F00CD"/>
    <w:rsid w:val="005F1559"/>
    <w:rsid w:val="005F4D6D"/>
    <w:rsid w:val="005F4D9E"/>
    <w:rsid w:val="005F643C"/>
    <w:rsid w:val="0060584F"/>
    <w:rsid w:val="006134B1"/>
    <w:rsid w:val="006142B3"/>
    <w:rsid w:val="006174C8"/>
    <w:rsid w:val="006206FE"/>
    <w:rsid w:val="00625EF5"/>
    <w:rsid w:val="006310CE"/>
    <w:rsid w:val="006350E2"/>
    <w:rsid w:val="0063632E"/>
    <w:rsid w:val="00642B50"/>
    <w:rsid w:val="00644065"/>
    <w:rsid w:val="00646EE0"/>
    <w:rsid w:val="0065157E"/>
    <w:rsid w:val="006564A8"/>
    <w:rsid w:val="00663FC3"/>
    <w:rsid w:val="00665FD6"/>
    <w:rsid w:val="006713F7"/>
    <w:rsid w:val="006725B6"/>
    <w:rsid w:val="00673930"/>
    <w:rsid w:val="00673B00"/>
    <w:rsid w:val="00675A47"/>
    <w:rsid w:val="00676B9B"/>
    <w:rsid w:val="0067749A"/>
    <w:rsid w:val="006854C2"/>
    <w:rsid w:val="00686B2E"/>
    <w:rsid w:val="00687663"/>
    <w:rsid w:val="00691273"/>
    <w:rsid w:val="00691461"/>
    <w:rsid w:val="00693AA8"/>
    <w:rsid w:val="006A6F55"/>
    <w:rsid w:val="006B464C"/>
    <w:rsid w:val="006B75FC"/>
    <w:rsid w:val="006B7D3D"/>
    <w:rsid w:val="006C0846"/>
    <w:rsid w:val="006C217E"/>
    <w:rsid w:val="006C28D6"/>
    <w:rsid w:val="006C6FD0"/>
    <w:rsid w:val="006D54AB"/>
    <w:rsid w:val="006E07D4"/>
    <w:rsid w:val="006E4ED7"/>
    <w:rsid w:val="006E65DF"/>
    <w:rsid w:val="006E7E28"/>
    <w:rsid w:val="006F0C10"/>
    <w:rsid w:val="006F269D"/>
    <w:rsid w:val="006F5966"/>
    <w:rsid w:val="006F5E69"/>
    <w:rsid w:val="006F73EB"/>
    <w:rsid w:val="00701CB5"/>
    <w:rsid w:val="00703E06"/>
    <w:rsid w:val="00705A3B"/>
    <w:rsid w:val="00706B9F"/>
    <w:rsid w:val="00716CE2"/>
    <w:rsid w:val="00721D62"/>
    <w:rsid w:val="00723F5B"/>
    <w:rsid w:val="00724613"/>
    <w:rsid w:val="00725EED"/>
    <w:rsid w:val="00731C1D"/>
    <w:rsid w:val="007322E2"/>
    <w:rsid w:val="007349B4"/>
    <w:rsid w:val="00742E00"/>
    <w:rsid w:val="00742F0D"/>
    <w:rsid w:val="00743A8A"/>
    <w:rsid w:val="00745EF0"/>
    <w:rsid w:val="007503D6"/>
    <w:rsid w:val="00750481"/>
    <w:rsid w:val="00751818"/>
    <w:rsid w:val="00754211"/>
    <w:rsid w:val="00756584"/>
    <w:rsid w:val="00766087"/>
    <w:rsid w:val="00766B66"/>
    <w:rsid w:val="00772075"/>
    <w:rsid w:val="0077317F"/>
    <w:rsid w:val="00775174"/>
    <w:rsid w:val="00777DD9"/>
    <w:rsid w:val="00783AAF"/>
    <w:rsid w:val="00792992"/>
    <w:rsid w:val="00796924"/>
    <w:rsid w:val="007A192A"/>
    <w:rsid w:val="007A5B09"/>
    <w:rsid w:val="007A69A7"/>
    <w:rsid w:val="007B4B67"/>
    <w:rsid w:val="007B719A"/>
    <w:rsid w:val="007C114B"/>
    <w:rsid w:val="007C3FCF"/>
    <w:rsid w:val="007C42C0"/>
    <w:rsid w:val="007D2198"/>
    <w:rsid w:val="007E009C"/>
    <w:rsid w:val="007E1DFE"/>
    <w:rsid w:val="007F007C"/>
    <w:rsid w:val="007F1AA9"/>
    <w:rsid w:val="007F272E"/>
    <w:rsid w:val="007F3AF4"/>
    <w:rsid w:val="007F4C1D"/>
    <w:rsid w:val="00803BDD"/>
    <w:rsid w:val="00810076"/>
    <w:rsid w:val="00811363"/>
    <w:rsid w:val="008118A1"/>
    <w:rsid w:val="008217EB"/>
    <w:rsid w:val="00821E9A"/>
    <w:rsid w:val="00821FFD"/>
    <w:rsid w:val="008241C3"/>
    <w:rsid w:val="00830402"/>
    <w:rsid w:val="00830C7A"/>
    <w:rsid w:val="00831D45"/>
    <w:rsid w:val="008337C8"/>
    <w:rsid w:val="00835A35"/>
    <w:rsid w:val="00837B7A"/>
    <w:rsid w:val="00840F47"/>
    <w:rsid w:val="008415FF"/>
    <w:rsid w:val="008453AF"/>
    <w:rsid w:val="008515B7"/>
    <w:rsid w:val="00853817"/>
    <w:rsid w:val="00853FF0"/>
    <w:rsid w:val="00855328"/>
    <w:rsid w:val="00865C56"/>
    <w:rsid w:val="00873C31"/>
    <w:rsid w:val="008741EE"/>
    <w:rsid w:val="00876F95"/>
    <w:rsid w:val="00881300"/>
    <w:rsid w:val="00882313"/>
    <w:rsid w:val="00887273"/>
    <w:rsid w:val="00887D44"/>
    <w:rsid w:val="008953FB"/>
    <w:rsid w:val="00896C81"/>
    <w:rsid w:val="0089766F"/>
    <w:rsid w:val="008A01EB"/>
    <w:rsid w:val="008A10B1"/>
    <w:rsid w:val="008A2A31"/>
    <w:rsid w:val="008A4DE4"/>
    <w:rsid w:val="008B5C01"/>
    <w:rsid w:val="008C08C3"/>
    <w:rsid w:val="008C110A"/>
    <w:rsid w:val="008C2FC5"/>
    <w:rsid w:val="008C5400"/>
    <w:rsid w:val="008C6057"/>
    <w:rsid w:val="008C6905"/>
    <w:rsid w:val="008D5940"/>
    <w:rsid w:val="008D5F2B"/>
    <w:rsid w:val="008E3334"/>
    <w:rsid w:val="008E4FB7"/>
    <w:rsid w:val="008F60B9"/>
    <w:rsid w:val="008F6AFB"/>
    <w:rsid w:val="008F6C73"/>
    <w:rsid w:val="008F7C7B"/>
    <w:rsid w:val="00901D0A"/>
    <w:rsid w:val="00902BEA"/>
    <w:rsid w:val="00906B6F"/>
    <w:rsid w:val="0091084C"/>
    <w:rsid w:val="00910E66"/>
    <w:rsid w:val="00911282"/>
    <w:rsid w:val="009135C7"/>
    <w:rsid w:val="0092064A"/>
    <w:rsid w:val="0092115F"/>
    <w:rsid w:val="00923120"/>
    <w:rsid w:val="009245AA"/>
    <w:rsid w:val="00925287"/>
    <w:rsid w:val="00925FDD"/>
    <w:rsid w:val="009271BA"/>
    <w:rsid w:val="009277C9"/>
    <w:rsid w:val="009325F5"/>
    <w:rsid w:val="00933173"/>
    <w:rsid w:val="009339E3"/>
    <w:rsid w:val="00941B90"/>
    <w:rsid w:val="009467F6"/>
    <w:rsid w:val="00947C17"/>
    <w:rsid w:val="0095224B"/>
    <w:rsid w:val="00953EAE"/>
    <w:rsid w:val="00955BF5"/>
    <w:rsid w:val="00960A1C"/>
    <w:rsid w:val="009620E3"/>
    <w:rsid w:val="00962E72"/>
    <w:rsid w:val="00964412"/>
    <w:rsid w:val="009715D8"/>
    <w:rsid w:val="009715FA"/>
    <w:rsid w:val="00975ECC"/>
    <w:rsid w:val="00975F31"/>
    <w:rsid w:val="00983782"/>
    <w:rsid w:val="00983A25"/>
    <w:rsid w:val="00983D03"/>
    <w:rsid w:val="0098656F"/>
    <w:rsid w:val="00991339"/>
    <w:rsid w:val="00991488"/>
    <w:rsid w:val="009925B5"/>
    <w:rsid w:val="009A4282"/>
    <w:rsid w:val="009A5A40"/>
    <w:rsid w:val="009A6809"/>
    <w:rsid w:val="009B6990"/>
    <w:rsid w:val="009B7CFB"/>
    <w:rsid w:val="009C0662"/>
    <w:rsid w:val="009C600C"/>
    <w:rsid w:val="009C6C3B"/>
    <w:rsid w:val="009C6FC2"/>
    <w:rsid w:val="009D1356"/>
    <w:rsid w:val="009D17B1"/>
    <w:rsid w:val="009D245E"/>
    <w:rsid w:val="009D5848"/>
    <w:rsid w:val="009D7F8D"/>
    <w:rsid w:val="009E09E8"/>
    <w:rsid w:val="009E1474"/>
    <w:rsid w:val="009E40E1"/>
    <w:rsid w:val="009E4E5F"/>
    <w:rsid w:val="009E5327"/>
    <w:rsid w:val="009F43BE"/>
    <w:rsid w:val="00A0146E"/>
    <w:rsid w:val="00A01D7E"/>
    <w:rsid w:val="00A029F5"/>
    <w:rsid w:val="00A02F44"/>
    <w:rsid w:val="00A034CC"/>
    <w:rsid w:val="00A04C85"/>
    <w:rsid w:val="00A05DA0"/>
    <w:rsid w:val="00A201D7"/>
    <w:rsid w:val="00A2258E"/>
    <w:rsid w:val="00A25FE0"/>
    <w:rsid w:val="00A27645"/>
    <w:rsid w:val="00A34E42"/>
    <w:rsid w:val="00A43BD6"/>
    <w:rsid w:val="00A44871"/>
    <w:rsid w:val="00A44D8E"/>
    <w:rsid w:val="00A46625"/>
    <w:rsid w:val="00A4727E"/>
    <w:rsid w:val="00A6230E"/>
    <w:rsid w:val="00A67681"/>
    <w:rsid w:val="00A704A9"/>
    <w:rsid w:val="00A70FBC"/>
    <w:rsid w:val="00A72CFC"/>
    <w:rsid w:val="00A75B8C"/>
    <w:rsid w:val="00A75C45"/>
    <w:rsid w:val="00A77979"/>
    <w:rsid w:val="00A77BB3"/>
    <w:rsid w:val="00A86433"/>
    <w:rsid w:val="00A87A0F"/>
    <w:rsid w:val="00A90F38"/>
    <w:rsid w:val="00A924FF"/>
    <w:rsid w:val="00A92BB4"/>
    <w:rsid w:val="00AA3509"/>
    <w:rsid w:val="00AA5829"/>
    <w:rsid w:val="00AA66AE"/>
    <w:rsid w:val="00AB1055"/>
    <w:rsid w:val="00AB6153"/>
    <w:rsid w:val="00AC1C4E"/>
    <w:rsid w:val="00AC2F89"/>
    <w:rsid w:val="00AC301F"/>
    <w:rsid w:val="00AD0FCA"/>
    <w:rsid w:val="00AD27E0"/>
    <w:rsid w:val="00AD2B0F"/>
    <w:rsid w:val="00AD4BC4"/>
    <w:rsid w:val="00AE0F30"/>
    <w:rsid w:val="00AE3592"/>
    <w:rsid w:val="00AF21D6"/>
    <w:rsid w:val="00AF5045"/>
    <w:rsid w:val="00AF605E"/>
    <w:rsid w:val="00AF7140"/>
    <w:rsid w:val="00AF7504"/>
    <w:rsid w:val="00B06474"/>
    <w:rsid w:val="00B10933"/>
    <w:rsid w:val="00B128AD"/>
    <w:rsid w:val="00B15F93"/>
    <w:rsid w:val="00B16361"/>
    <w:rsid w:val="00B20CAA"/>
    <w:rsid w:val="00B2140C"/>
    <w:rsid w:val="00B22EA3"/>
    <w:rsid w:val="00B2468E"/>
    <w:rsid w:val="00B24749"/>
    <w:rsid w:val="00B34E68"/>
    <w:rsid w:val="00B3732D"/>
    <w:rsid w:val="00B40214"/>
    <w:rsid w:val="00B44B42"/>
    <w:rsid w:val="00B450C1"/>
    <w:rsid w:val="00B54ADC"/>
    <w:rsid w:val="00B573EB"/>
    <w:rsid w:val="00B62123"/>
    <w:rsid w:val="00B621C1"/>
    <w:rsid w:val="00B62D54"/>
    <w:rsid w:val="00B631A5"/>
    <w:rsid w:val="00B65944"/>
    <w:rsid w:val="00B66868"/>
    <w:rsid w:val="00B67C19"/>
    <w:rsid w:val="00B67D60"/>
    <w:rsid w:val="00B8148B"/>
    <w:rsid w:val="00B8350F"/>
    <w:rsid w:val="00B910B9"/>
    <w:rsid w:val="00B95250"/>
    <w:rsid w:val="00BA0897"/>
    <w:rsid w:val="00BA0A50"/>
    <w:rsid w:val="00BA4E69"/>
    <w:rsid w:val="00BA590D"/>
    <w:rsid w:val="00BB05A8"/>
    <w:rsid w:val="00BB3545"/>
    <w:rsid w:val="00BB3CD4"/>
    <w:rsid w:val="00BB73E8"/>
    <w:rsid w:val="00BB7A0F"/>
    <w:rsid w:val="00BC1EF9"/>
    <w:rsid w:val="00BC375E"/>
    <w:rsid w:val="00BD1AF4"/>
    <w:rsid w:val="00BD3551"/>
    <w:rsid w:val="00BD4ADF"/>
    <w:rsid w:val="00BD5D92"/>
    <w:rsid w:val="00BE1573"/>
    <w:rsid w:val="00BE42E1"/>
    <w:rsid w:val="00BE49E4"/>
    <w:rsid w:val="00BF0B8D"/>
    <w:rsid w:val="00BF36EC"/>
    <w:rsid w:val="00BF5DD8"/>
    <w:rsid w:val="00BF6202"/>
    <w:rsid w:val="00BF787B"/>
    <w:rsid w:val="00C00018"/>
    <w:rsid w:val="00C12C5D"/>
    <w:rsid w:val="00C14F8C"/>
    <w:rsid w:val="00C1587D"/>
    <w:rsid w:val="00C1671A"/>
    <w:rsid w:val="00C16817"/>
    <w:rsid w:val="00C17261"/>
    <w:rsid w:val="00C20E7D"/>
    <w:rsid w:val="00C21B10"/>
    <w:rsid w:val="00C21D2C"/>
    <w:rsid w:val="00C23BB4"/>
    <w:rsid w:val="00C2414C"/>
    <w:rsid w:val="00C25661"/>
    <w:rsid w:val="00C26E8A"/>
    <w:rsid w:val="00C30B1F"/>
    <w:rsid w:val="00C37179"/>
    <w:rsid w:val="00C4257D"/>
    <w:rsid w:val="00C434F5"/>
    <w:rsid w:val="00C6021E"/>
    <w:rsid w:val="00C6271B"/>
    <w:rsid w:val="00C63A9A"/>
    <w:rsid w:val="00C64B4B"/>
    <w:rsid w:val="00C64C11"/>
    <w:rsid w:val="00C6780E"/>
    <w:rsid w:val="00C765D8"/>
    <w:rsid w:val="00C770D6"/>
    <w:rsid w:val="00C8232C"/>
    <w:rsid w:val="00C83A44"/>
    <w:rsid w:val="00CA07D9"/>
    <w:rsid w:val="00CA3AB2"/>
    <w:rsid w:val="00CA429E"/>
    <w:rsid w:val="00CB0270"/>
    <w:rsid w:val="00CB41C2"/>
    <w:rsid w:val="00CB6F83"/>
    <w:rsid w:val="00CC0533"/>
    <w:rsid w:val="00CC7AB1"/>
    <w:rsid w:val="00CC7E5E"/>
    <w:rsid w:val="00CD0D87"/>
    <w:rsid w:val="00CD2E9F"/>
    <w:rsid w:val="00CD393C"/>
    <w:rsid w:val="00CD6132"/>
    <w:rsid w:val="00CD7BE7"/>
    <w:rsid w:val="00CE0844"/>
    <w:rsid w:val="00CE4E71"/>
    <w:rsid w:val="00CE5A47"/>
    <w:rsid w:val="00CF2594"/>
    <w:rsid w:val="00CF4E1D"/>
    <w:rsid w:val="00CF5304"/>
    <w:rsid w:val="00CF578B"/>
    <w:rsid w:val="00CF7A9B"/>
    <w:rsid w:val="00D029C3"/>
    <w:rsid w:val="00D059E6"/>
    <w:rsid w:val="00D06555"/>
    <w:rsid w:val="00D11A43"/>
    <w:rsid w:val="00D16AEF"/>
    <w:rsid w:val="00D202C5"/>
    <w:rsid w:val="00D21D26"/>
    <w:rsid w:val="00D23AA7"/>
    <w:rsid w:val="00D24791"/>
    <w:rsid w:val="00D30B43"/>
    <w:rsid w:val="00D31CF6"/>
    <w:rsid w:val="00D340AB"/>
    <w:rsid w:val="00D3492B"/>
    <w:rsid w:val="00D34B92"/>
    <w:rsid w:val="00D405C5"/>
    <w:rsid w:val="00D44E5F"/>
    <w:rsid w:val="00D451E8"/>
    <w:rsid w:val="00D52CA2"/>
    <w:rsid w:val="00D52EE9"/>
    <w:rsid w:val="00D53AA8"/>
    <w:rsid w:val="00D542E9"/>
    <w:rsid w:val="00D671AE"/>
    <w:rsid w:val="00D7328D"/>
    <w:rsid w:val="00D76078"/>
    <w:rsid w:val="00D76584"/>
    <w:rsid w:val="00D82B1F"/>
    <w:rsid w:val="00D8588E"/>
    <w:rsid w:val="00D86EC5"/>
    <w:rsid w:val="00D87F17"/>
    <w:rsid w:val="00D912A7"/>
    <w:rsid w:val="00DA2F85"/>
    <w:rsid w:val="00DA63F5"/>
    <w:rsid w:val="00DA6795"/>
    <w:rsid w:val="00DB18D9"/>
    <w:rsid w:val="00DB417A"/>
    <w:rsid w:val="00DB5C71"/>
    <w:rsid w:val="00DC1268"/>
    <w:rsid w:val="00DC2BD8"/>
    <w:rsid w:val="00DC3FFB"/>
    <w:rsid w:val="00DC4969"/>
    <w:rsid w:val="00DC502D"/>
    <w:rsid w:val="00DD0F8E"/>
    <w:rsid w:val="00DD2E73"/>
    <w:rsid w:val="00DD436D"/>
    <w:rsid w:val="00DD479C"/>
    <w:rsid w:val="00DD53D8"/>
    <w:rsid w:val="00DD7972"/>
    <w:rsid w:val="00DE7773"/>
    <w:rsid w:val="00DE7FDB"/>
    <w:rsid w:val="00DF3D40"/>
    <w:rsid w:val="00E001CF"/>
    <w:rsid w:val="00E00374"/>
    <w:rsid w:val="00E05483"/>
    <w:rsid w:val="00E0661A"/>
    <w:rsid w:val="00E111C8"/>
    <w:rsid w:val="00E13C9B"/>
    <w:rsid w:val="00E143D2"/>
    <w:rsid w:val="00E165E3"/>
    <w:rsid w:val="00E17454"/>
    <w:rsid w:val="00E17785"/>
    <w:rsid w:val="00E17B9A"/>
    <w:rsid w:val="00E2039E"/>
    <w:rsid w:val="00E20D06"/>
    <w:rsid w:val="00E21252"/>
    <w:rsid w:val="00E22619"/>
    <w:rsid w:val="00E232A5"/>
    <w:rsid w:val="00E23C27"/>
    <w:rsid w:val="00E259D1"/>
    <w:rsid w:val="00E26E2B"/>
    <w:rsid w:val="00E30BFC"/>
    <w:rsid w:val="00E34603"/>
    <w:rsid w:val="00E365C5"/>
    <w:rsid w:val="00E410D0"/>
    <w:rsid w:val="00E414E8"/>
    <w:rsid w:val="00E417E5"/>
    <w:rsid w:val="00E419E0"/>
    <w:rsid w:val="00E427B9"/>
    <w:rsid w:val="00E46A4F"/>
    <w:rsid w:val="00E479BC"/>
    <w:rsid w:val="00E55C1E"/>
    <w:rsid w:val="00E55C2C"/>
    <w:rsid w:val="00E6353B"/>
    <w:rsid w:val="00E64977"/>
    <w:rsid w:val="00E662B3"/>
    <w:rsid w:val="00E71C2B"/>
    <w:rsid w:val="00E71DC5"/>
    <w:rsid w:val="00E7381B"/>
    <w:rsid w:val="00E76B4B"/>
    <w:rsid w:val="00E84CF0"/>
    <w:rsid w:val="00E8727A"/>
    <w:rsid w:val="00E87786"/>
    <w:rsid w:val="00E91061"/>
    <w:rsid w:val="00E933A2"/>
    <w:rsid w:val="00E955A0"/>
    <w:rsid w:val="00E965C0"/>
    <w:rsid w:val="00EA2CA7"/>
    <w:rsid w:val="00EA3FDC"/>
    <w:rsid w:val="00EA50DD"/>
    <w:rsid w:val="00EA5B6E"/>
    <w:rsid w:val="00EA73A1"/>
    <w:rsid w:val="00EB1911"/>
    <w:rsid w:val="00EB2ABC"/>
    <w:rsid w:val="00EB4CE5"/>
    <w:rsid w:val="00EB5F61"/>
    <w:rsid w:val="00EB6294"/>
    <w:rsid w:val="00EB696D"/>
    <w:rsid w:val="00EB6B69"/>
    <w:rsid w:val="00EC1793"/>
    <w:rsid w:val="00EC4D41"/>
    <w:rsid w:val="00EC5697"/>
    <w:rsid w:val="00EC5751"/>
    <w:rsid w:val="00EC7129"/>
    <w:rsid w:val="00ED16F8"/>
    <w:rsid w:val="00ED4536"/>
    <w:rsid w:val="00ED6E7F"/>
    <w:rsid w:val="00EE2938"/>
    <w:rsid w:val="00EE2F83"/>
    <w:rsid w:val="00EE5107"/>
    <w:rsid w:val="00EE6C9E"/>
    <w:rsid w:val="00F00FE1"/>
    <w:rsid w:val="00F01546"/>
    <w:rsid w:val="00F04ADD"/>
    <w:rsid w:val="00F108EE"/>
    <w:rsid w:val="00F12537"/>
    <w:rsid w:val="00F136DD"/>
    <w:rsid w:val="00F16830"/>
    <w:rsid w:val="00F208FD"/>
    <w:rsid w:val="00F2143B"/>
    <w:rsid w:val="00F23A39"/>
    <w:rsid w:val="00F25D8B"/>
    <w:rsid w:val="00F2615D"/>
    <w:rsid w:val="00F27C2D"/>
    <w:rsid w:val="00F35642"/>
    <w:rsid w:val="00F4002A"/>
    <w:rsid w:val="00F41A1C"/>
    <w:rsid w:val="00F4430C"/>
    <w:rsid w:val="00F45454"/>
    <w:rsid w:val="00F501D6"/>
    <w:rsid w:val="00F505D6"/>
    <w:rsid w:val="00F52F7E"/>
    <w:rsid w:val="00F605E7"/>
    <w:rsid w:val="00F6126B"/>
    <w:rsid w:val="00F62139"/>
    <w:rsid w:val="00F624D9"/>
    <w:rsid w:val="00F6654D"/>
    <w:rsid w:val="00F704FA"/>
    <w:rsid w:val="00F749B4"/>
    <w:rsid w:val="00F76524"/>
    <w:rsid w:val="00F85A15"/>
    <w:rsid w:val="00FA1C53"/>
    <w:rsid w:val="00FA20E2"/>
    <w:rsid w:val="00FA51F1"/>
    <w:rsid w:val="00FA5856"/>
    <w:rsid w:val="00FA6D51"/>
    <w:rsid w:val="00FA7DFF"/>
    <w:rsid w:val="00FB2ADA"/>
    <w:rsid w:val="00FB5315"/>
    <w:rsid w:val="00FB56B8"/>
    <w:rsid w:val="00FC028B"/>
    <w:rsid w:val="00FC060D"/>
    <w:rsid w:val="00FC5921"/>
    <w:rsid w:val="00FC706A"/>
    <w:rsid w:val="00FD13AB"/>
    <w:rsid w:val="00FD4FF7"/>
    <w:rsid w:val="00FE2D25"/>
    <w:rsid w:val="00FF048E"/>
    <w:rsid w:val="00FF1A7C"/>
    <w:rsid w:val="00FF2FB4"/>
    <w:rsid w:val="00FF3466"/>
    <w:rsid w:val="00FF39F5"/>
    <w:rsid w:val="00FF4DAE"/>
    <w:rsid w:val="00FF7D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0CE38"/>
  <w15:chartTrackingRefBased/>
  <w15:docId w15:val="{2F9A39E2-28BD-4645-AE4C-C4EE059AC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A39"/>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F23A39"/>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F23A39"/>
    <w:pPr>
      <w:outlineLvl w:val="1"/>
    </w:pPr>
    <w:rPr>
      <w:sz w:val="28"/>
    </w:rPr>
  </w:style>
  <w:style w:type="paragraph" w:styleId="Heading3">
    <w:name w:val="heading 3"/>
    <w:basedOn w:val="Normal"/>
    <w:next w:val="Normal"/>
    <w:link w:val="Heading3Char"/>
    <w:uiPriority w:val="9"/>
    <w:unhideWhenUsed/>
    <w:qFormat/>
    <w:rsid w:val="00F23A39"/>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F23A39"/>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F23A3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F23A3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F23A3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F23A3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F23A3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A39"/>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F23A39"/>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F23A39"/>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F23A39"/>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F23A39"/>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F23A39"/>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F23A39"/>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F23A39"/>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F23A39"/>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F23A39"/>
    <w:pPr>
      <w:ind w:left="862" w:right="862"/>
      <w:jc w:val="center"/>
    </w:pPr>
    <w:rPr>
      <w:i/>
      <w:iCs/>
      <w:color w:val="404040" w:themeColor="text1" w:themeTint="BF"/>
    </w:rPr>
  </w:style>
  <w:style w:type="character" w:customStyle="1" w:styleId="QuoteChar">
    <w:name w:val="Quote Char"/>
    <w:basedOn w:val="DefaultParagraphFont"/>
    <w:link w:val="Quote"/>
    <w:uiPriority w:val="29"/>
    <w:rsid w:val="00F23A39"/>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F23A39"/>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F23A39"/>
    <w:pPr>
      <w:tabs>
        <w:tab w:val="center" w:pos="4320"/>
        <w:tab w:val="right" w:pos="8640"/>
      </w:tabs>
    </w:pPr>
  </w:style>
  <w:style w:type="character" w:customStyle="1" w:styleId="HeaderChar">
    <w:name w:val="Header Char"/>
    <w:basedOn w:val="DefaultParagraphFont"/>
    <w:link w:val="Header"/>
    <w:uiPriority w:val="99"/>
    <w:rsid w:val="00F23A39"/>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F23A39"/>
    <w:pPr>
      <w:tabs>
        <w:tab w:val="center" w:pos="4320"/>
        <w:tab w:val="right" w:pos="8640"/>
      </w:tabs>
    </w:pPr>
  </w:style>
  <w:style w:type="character" w:customStyle="1" w:styleId="FooterChar">
    <w:name w:val="Footer Char"/>
    <w:basedOn w:val="DefaultParagraphFont"/>
    <w:link w:val="Footer"/>
    <w:uiPriority w:val="99"/>
    <w:rsid w:val="00F23A39"/>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F23A39"/>
    <w:rPr>
      <w:noProof w:val="0"/>
    </w:rPr>
  </w:style>
  <w:style w:type="character" w:styleId="Hyperlink">
    <w:name w:val="Hyperlink"/>
    <w:basedOn w:val="DefaultParagraphFont"/>
    <w:uiPriority w:val="99"/>
    <w:unhideWhenUsed/>
    <w:rsid w:val="00F23A39"/>
    <w:rPr>
      <w:noProof w:val="0"/>
      <w:color w:val="467886" w:themeColor="hyperlink"/>
      <w:u w:val="single"/>
    </w:rPr>
  </w:style>
  <w:style w:type="paragraph" w:styleId="Revision">
    <w:name w:val="Revision"/>
    <w:hidden/>
    <w:uiPriority w:val="99"/>
    <w:semiHidden/>
    <w:rsid w:val="00F23A39"/>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F23A39"/>
    <w:pPr>
      <w:spacing w:after="120"/>
    </w:pPr>
    <w:rPr>
      <w:b/>
      <w:bCs/>
      <w:color w:val="FFFFFF"/>
      <w:sz w:val="32"/>
      <w:szCs w:val="32"/>
    </w:rPr>
  </w:style>
  <w:style w:type="paragraph" w:customStyle="1" w:styleId="Headline">
    <w:name w:val="Headline"/>
    <w:basedOn w:val="Normal"/>
    <w:next w:val="Normal"/>
    <w:link w:val="HeadlineChar"/>
    <w:qFormat/>
    <w:rsid w:val="00F23A39"/>
    <w:rPr>
      <w:rFonts w:ascii="Segoe UI Semilight" w:hAnsi="Segoe UI Semilight" w:cs="Segoe UI Semilight"/>
      <w:b/>
      <w:bCs/>
      <w:color w:val="FFFFFF"/>
      <w:sz w:val="40"/>
      <w:szCs w:val="40"/>
    </w:rPr>
  </w:style>
  <w:style w:type="paragraph" w:customStyle="1" w:styleId="ExhibitTitle">
    <w:name w:val="Exhibit Title"/>
    <w:basedOn w:val="Normal"/>
    <w:qFormat/>
    <w:rsid w:val="00F23A39"/>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F23A39"/>
    <w:pPr>
      <w:shd w:val="clear" w:color="auto" w:fill="D6E2FA"/>
      <w:spacing w:after="0"/>
    </w:pPr>
    <w:rPr>
      <w:color w:val="595959" w:themeColor="text1" w:themeTint="A6"/>
      <w:sz w:val="18"/>
    </w:rPr>
  </w:style>
  <w:style w:type="paragraph" w:customStyle="1" w:styleId="ExhibitSource">
    <w:name w:val="Exhibit Source"/>
    <w:next w:val="Normal"/>
    <w:qFormat/>
    <w:rsid w:val="00F23A39"/>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F23A39"/>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F23A39"/>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F23A39"/>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F23A39"/>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F23A39"/>
    <w:rPr>
      <w:rFonts w:ascii="Segoe UI" w:hAnsi="Segoe UI" w:cs="Segoe UI"/>
      <w:noProof w:val="0"/>
      <w:color w:val="000000" w:themeColor="text1"/>
    </w:rPr>
  </w:style>
  <w:style w:type="paragraph" w:customStyle="1" w:styleId="Summary">
    <w:name w:val="Summary"/>
    <w:basedOn w:val="Normal"/>
    <w:link w:val="SummaryChar"/>
    <w:qFormat/>
    <w:rsid w:val="00F23A39"/>
    <w:pPr>
      <w:numPr>
        <w:numId w:val="1"/>
      </w:numPr>
      <w:ind w:left="1797" w:hanging="357"/>
    </w:pPr>
    <w:rPr>
      <w:kern w:val="2"/>
      <w:sz w:val="22"/>
      <w14:ligatures w14:val="standardContextual"/>
    </w:rPr>
  </w:style>
  <w:style w:type="paragraph" w:customStyle="1" w:styleId="TableData">
    <w:name w:val="Table Data"/>
    <w:link w:val="TableDataChar"/>
    <w:qFormat/>
    <w:rsid w:val="00F23A39"/>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F23A39"/>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F23A39"/>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F23A39"/>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F23A39"/>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F23A39"/>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F23A39"/>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F23A39"/>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F23A39"/>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F23A39"/>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F23A39"/>
    <w:rPr>
      <w:color w:val="003469"/>
    </w:rPr>
  </w:style>
  <w:style w:type="character" w:customStyle="1" w:styleId="RepeatingFooterChar">
    <w:name w:val="Repeating Footer Char"/>
    <w:basedOn w:val="FooterChar"/>
    <w:link w:val="RepeatingFooter"/>
    <w:rsid w:val="00F23A39"/>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F23A39"/>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F23A39"/>
    <w:rPr>
      <w:b/>
      <w:bCs/>
      <w:noProof w:val="0"/>
    </w:rPr>
  </w:style>
  <w:style w:type="character" w:customStyle="1" w:styleId="Italics">
    <w:name w:val="Italics"/>
    <w:uiPriority w:val="1"/>
    <w:qFormat/>
    <w:rsid w:val="00F23A39"/>
    <w:rPr>
      <w:i/>
      <w:iCs/>
      <w:noProof w:val="0"/>
    </w:rPr>
  </w:style>
  <w:style w:type="table" w:customStyle="1" w:styleId="TableGridHeader">
    <w:name w:val="Table Grid Header"/>
    <w:basedOn w:val="TableNormal"/>
    <w:uiPriority w:val="99"/>
    <w:rsid w:val="00F23A39"/>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my.oxfordeconomics.com/reportaction/548E9cC7d0AF438695eAa9/Toc" TargetMode="External"/><Relationship Id="rId26" Type="http://schemas.openxmlformats.org/officeDocument/2006/relationships/hyperlink" Target="https://my.oxfordeconomics.com/reportaction/7b48099aac0547Ee96f5bb/Toc" TargetMode="External"/><Relationship Id="rId3" Type="http://schemas.openxmlformats.org/officeDocument/2006/relationships/customXml" Target="../customXml/item3.xml"/><Relationship Id="rId21" Type="http://schemas.openxmlformats.org/officeDocument/2006/relationships/image" Target="media/image6.sv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svg"/><Relationship Id="rId33" Type="http://schemas.openxmlformats.org/officeDocument/2006/relationships/image" Target="media/image12.sv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hyperlink" Target="https://www.reuters.com/world/europe/bank-englands-bailey-says-he-is-focused-growth-hit-tariffs-2025-04-2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image" Target="media/image9.png"/><Relationship Id="rId32"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8.svg"/><Relationship Id="rId28" Type="http://schemas.openxmlformats.org/officeDocument/2006/relationships/hyperlink" Target="https://www.ft.com/content/beabf48f-0b40-4410-8dce-4e0350369ccc"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my.oxfordeconomics.com/reportaction/548E9cC7d0AF438695eAa9/Toc" TargetMode="External"/><Relationship Id="rId31" Type="http://schemas.openxmlformats.org/officeDocument/2006/relationships/hyperlink" Target="https://www.bloomberg.com/news/articles/2025-04-08/boe-s-lombardelli-warns-us-tariffs-will-depress-uk-growth"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hyperlink" Target="https://www.reuters.com/sustainability/sustainable-finance-reporting/trump-tariffs-likely-push-down-uk-inflation-boes-greene-says-2025-04-25/" TargetMode="External"/><Relationship Id="rId30" Type="http://schemas.openxmlformats.org/officeDocument/2006/relationships/hyperlink" Target="https://www.ft.com/content/84efb212-5087-409d-afd5-38da987a15eb" TargetMode="External"/><Relationship Id="rId35" Type="http://schemas.openxmlformats.org/officeDocument/2006/relationships/glossaryDocument" Target="glossary/document.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C06C7276-3C33-41A8-9053-98976771C0A5}"/>
      </w:docPartPr>
      <w:docPartBody>
        <w:p w:rsidR="00510F74" w:rsidRDefault="00510F74">
          <w:r w:rsidRPr="00B80024">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F74"/>
    <w:rsid w:val="00045243"/>
    <w:rsid w:val="002E29CF"/>
    <w:rsid w:val="00300730"/>
    <w:rsid w:val="00331242"/>
    <w:rsid w:val="00510F74"/>
    <w:rsid w:val="00686B2E"/>
    <w:rsid w:val="006B7D3D"/>
    <w:rsid w:val="008415FF"/>
    <w:rsid w:val="008E3334"/>
    <w:rsid w:val="00A77979"/>
    <w:rsid w:val="00B631A5"/>
    <w:rsid w:val="00B67C19"/>
    <w:rsid w:val="00C1587D"/>
    <w:rsid w:val="00D31CF6"/>
    <w:rsid w:val="00D405C5"/>
    <w:rsid w:val="00DC2E11"/>
    <w:rsid w:val="00E17454"/>
    <w:rsid w:val="00FA1C53"/>
    <w:rsid w:val="00FB76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A61B25F1-6FF6-4681-B82E-5FBE157648C5}">
  <ds:schemaRefs>
    <ds:schemaRef ds:uri="http://schemas.microsoft.com/sharepoint/v3/contenttype/forms"/>
  </ds:schemaRefs>
</ds:datastoreItem>
</file>

<file path=customXml/itemProps2.xml><?xml version="1.0" encoding="utf-8"?>
<ds:datastoreItem xmlns:ds="http://schemas.openxmlformats.org/officeDocument/2006/customXml" ds:itemID="{A89A1A9E-56BC-4C62-AE03-9DF0440D5C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A72E40-7AB3-416C-AAEF-E15B972FE08E}">
  <ds:schemaRefs>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1826</Words>
  <Characters>9409</Characters>
  <Application>Microsoft Office Word</Application>
  <DocSecurity>0</DocSecurity>
  <Lines>151</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30</cp:revision>
  <dcterms:created xsi:type="dcterms:W3CDTF">2025-04-30T09:12:00Z</dcterms:created>
  <dcterms:modified xsi:type="dcterms:W3CDTF">2025-05-01T07:42:00Z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2025-05-01T07:38:20.000Z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vt:lpwstr>
  </property>
  <property fmtid="{D5CDD505-2E9C-101B-9397-08002B2CF9AE}" pid="16" name="ContentTypeId">
    <vt:lpwstr>0x01010009401BB7205AF745BAD4FA98BDE0B98F</vt:lpwstr>
  </property>
  <property fmtid="{D5CDD505-2E9C-101B-9397-08002B2CF9AE}" pid="17" name="OEP_PRODUCT_CODE">
    <vt:lpwstr>c7fBA92647B9405b9Bd384</vt:lpwstr>
  </property>
  <property fmtid="{D5CDD505-2E9C-101B-9397-08002B2CF9AE}" pid="18" name="OEP_PUBLISH_DATE">
    <vt:lpwstr/>
  </property>
</Properties>
</file>