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B53BC" w14:textId="772270AB" w:rsidR="00664D33" w:rsidRDefault="00FC1094" w:rsidP="00664D33">
      <w:pPr>
        <w:pStyle w:val="Bullet"/>
      </w:pPr>
      <w:r w:rsidRPr="00FC1094">
        <w:t>We expect the Bank of England's Monetary Policy Committee to cut Bank Rate by 25bps at next week's meeting</w:t>
      </w:r>
      <w:r>
        <w:t xml:space="preserve">. As in November, Catherine Mann </w:t>
      </w:r>
      <w:r w:rsidR="006D4975">
        <w:t xml:space="preserve">is </w:t>
      </w:r>
      <w:r>
        <w:t>likely to be the sole dissenter</w:t>
      </w:r>
      <w:r w:rsidR="00664D33">
        <w:t xml:space="preserve">. </w:t>
      </w:r>
    </w:p>
    <w:p w14:paraId="3967CE65" w14:textId="138210A0" w:rsidR="00664D33" w:rsidRDefault="00FC1094" w:rsidP="00664D33">
      <w:pPr>
        <w:pStyle w:val="Bullet"/>
      </w:pPr>
      <w:r>
        <w:t xml:space="preserve">The MPC will likely revise up its near-term inflation forecast due to higher energy </w:t>
      </w:r>
      <w:r w:rsidR="00C3395E">
        <w:t xml:space="preserve">and oil </w:t>
      </w:r>
      <w:r>
        <w:t>prices</w:t>
      </w:r>
      <w:r w:rsidR="00C3395E">
        <w:t>, and a weaker pound</w:t>
      </w:r>
      <w:r w:rsidR="00664D33">
        <w:t>.</w:t>
      </w:r>
      <w:r w:rsidR="00C3395E">
        <w:t xml:space="preserve"> </w:t>
      </w:r>
      <w:r w:rsidR="004F5EE6">
        <w:t xml:space="preserve">But higher inflation and </w:t>
      </w:r>
      <w:r w:rsidR="00FE239E">
        <w:t xml:space="preserve">market </w:t>
      </w:r>
      <w:r w:rsidR="004F5EE6">
        <w:t>interest rate expectations</w:t>
      </w:r>
      <w:r w:rsidR="00664D33">
        <w:t xml:space="preserve"> </w:t>
      </w:r>
      <w:r w:rsidR="004F5EE6">
        <w:t xml:space="preserve">will lead the MPC to cut its growth forecast, </w:t>
      </w:r>
      <w:r w:rsidR="00981AF1">
        <w:t xml:space="preserve">with its 2025 projection likely to drop </w:t>
      </w:r>
      <w:r w:rsidR="004F5EE6">
        <w:t>below 1%.</w:t>
      </w:r>
    </w:p>
    <w:p w14:paraId="2E4F390F" w14:textId="16C08357" w:rsidR="00664D33" w:rsidRDefault="00F068B3" w:rsidP="00664D33">
      <w:pPr>
        <w:pStyle w:val="Bullet"/>
      </w:pPr>
      <w:r>
        <w:t>We</w:t>
      </w:r>
      <w:r w:rsidR="004F5EE6">
        <w:t xml:space="preserve"> will be </w:t>
      </w:r>
      <w:r>
        <w:t xml:space="preserve">looking closely at </w:t>
      </w:r>
      <w:r w:rsidR="004F5EE6">
        <w:t>the MPC's medium-term inflation forecast</w:t>
      </w:r>
      <w:r>
        <w:t xml:space="preserve"> for signals on the rates outlook</w:t>
      </w:r>
      <w:r w:rsidR="00664D33">
        <w:t>.</w:t>
      </w:r>
      <w:r w:rsidR="004F5EE6">
        <w:t xml:space="preserve"> </w:t>
      </w:r>
      <w:r w:rsidR="007C76B7">
        <w:t>In keeping with the more dovish messaging from December's meeting</w:t>
      </w:r>
      <w:r w:rsidR="00885CC4">
        <w:t xml:space="preserve"> and given the limited easing built into the market curve</w:t>
      </w:r>
      <w:r w:rsidR="007C76B7">
        <w:t xml:space="preserve">, we expect the MPC </w:t>
      </w:r>
      <w:r w:rsidR="00975E42">
        <w:t>will</w:t>
      </w:r>
      <w:r w:rsidR="007C76B7">
        <w:t xml:space="preserve"> </w:t>
      </w:r>
      <w:r w:rsidR="00595FF0">
        <w:t>forecast</w:t>
      </w:r>
      <w:r w:rsidR="007C76B7">
        <w:t xml:space="preserve"> </w:t>
      </w:r>
      <w:r w:rsidR="004F5EE6">
        <w:t xml:space="preserve">inflation </w:t>
      </w:r>
      <w:r w:rsidR="004B3983">
        <w:t xml:space="preserve">to </w:t>
      </w:r>
      <w:r w:rsidR="004F5EE6">
        <w:t xml:space="preserve">slip below </w:t>
      </w:r>
      <w:r w:rsidR="004B3983">
        <w:t xml:space="preserve">its </w:t>
      </w:r>
      <w:r w:rsidR="004F5EE6">
        <w:t xml:space="preserve">target </w:t>
      </w:r>
      <w:r w:rsidR="007C76B7">
        <w:t>two years out</w:t>
      </w:r>
      <w:r w:rsidR="00595FF0">
        <w:t xml:space="preserve"> and fall further in year three</w:t>
      </w:r>
      <w:r w:rsidR="004F5EE6">
        <w:t>.</w:t>
      </w:r>
      <w:r w:rsidR="00595FF0">
        <w:t xml:space="preserve"> This would </w:t>
      </w:r>
      <w:r w:rsidR="00BD5428">
        <w:t>be consistent with</w:t>
      </w:r>
      <w:r w:rsidR="00604256">
        <w:t xml:space="preserve"> our call that Bank Rate will be cut by at least 100bps in 2025.</w:t>
      </w:r>
    </w:p>
    <w:p w14:paraId="6916D3B6" w14:textId="338B94DA" w:rsidR="008740B6" w:rsidRDefault="009C6AE3" w:rsidP="00664D33">
      <w:r>
        <w:t xml:space="preserve">The Bank of England's Monetary Policy Committee has been following a 'cut-hold' tempo </w:t>
      </w:r>
      <w:r w:rsidR="0072435C">
        <w:t xml:space="preserve">since the </w:t>
      </w:r>
      <w:r>
        <w:t>rate</w:t>
      </w:r>
      <w:r w:rsidR="006A1FC4">
        <w:t>-</w:t>
      </w:r>
      <w:r>
        <w:t>cutting cycle</w:t>
      </w:r>
      <w:r w:rsidR="0072435C">
        <w:t xml:space="preserve"> kicked off last summer</w:t>
      </w:r>
      <w:r w:rsidR="00664D33">
        <w:t>.</w:t>
      </w:r>
      <w:r>
        <w:t xml:space="preserve"> We </w:t>
      </w:r>
      <w:r w:rsidR="008740B6">
        <w:t>regard</w:t>
      </w:r>
      <w:r>
        <w:t xml:space="preserve"> another 25bp cut at February's meeting </w:t>
      </w:r>
      <w:r w:rsidR="008740B6">
        <w:t>as</w:t>
      </w:r>
      <w:r>
        <w:t xml:space="preserve"> almost </w:t>
      </w:r>
      <w:r w:rsidR="008740B6">
        <w:t xml:space="preserve">a </w:t>
      </w:r>
      <w:r>
        <w:t>certain</w:t>
      </w:r>
      <w:r w:rsidR="008740B6">
        <w:t>ty</w:t>
      </w:r>
      <w:r w:rsidR="0072435C">
        <w:t>. Fi</w:t>
      </w:r>
      <w:r w:rsidR="008740B6">
        <w:t xml:space="preserve">nancial markets agree, pricing a </w:t>
      </w:r>
      <w:r w:rsidR="004415EC">
        <w:t>9</w:t>
      </w:r>
      <w:r w:rsidR="000F23EB">
        <w:t>2</w:t>
      </w:r>
      <w:r w:rsidR="008740B6">
        <w:t xml:space="preserve">% chance of a </w:t>
      </w:r>
      <w:r w:rsidR="004415EC">
        <w:t xml:space="preserve">25bp </w:t>
      </w:r>
      <w:r w:rsidR="008740B6">
        <w:t>cut next week</w:t>
      </w:r>
      <w:r>
        <w:t xml:space="preserve">. </w:t>
      </w:r>
    </w:p>
    <w:p w14:paraId="42C0ED4D" w14:textId="1E60B769" w:rsidR="00612686" w:rsidRDefault="008740B6" w:rsidP="00664D33">
      <w:r>
        <w:t xml:space="preserve">From our perspective, </w:t>
      </w:r>
      <w:r w:rsidR="009C6AE3">
        <w:t xml:space="preserve">the more important </w:t>
      </w:r>
      <w:r>
        <w:t xml:space="preserve">issue is the MPC's signalling about where we go from here. </w:t>
      </w:r>
      <w:r w:rsidR="00D363DC">
        <w:t>T</w:t>
      </w:r>
      <w:r>
        <w:t xml:space="preserve">he messaging from December's meeting was surprisingly dovish, with three members voting for back-to-back cuts and the majority expressing concerns about the weakness of output and employment. </w:t>
      </w:r>
      <w:r w:rsidR="00D363DC">
        <w:t>However</w:t>
      </w:r>
      <w:r>
        <w:t>, financial markets have become markedly more hawkish over recent months, largely in response to news from the US. As a result, the MPC's new forecast is likely to be based on market interest rate expectations that are around 40bps higher than when the MPC presented its previous forecast in November</w:t>
      </w:r>
      <w:r w:rsidR="007B3ED0">
        <w:t xml:space="preserve"> (</w:t>
      </w:r>
      <w:r w:rsidR="000D0428" w:rsidRPr="00172B12">
        <w:rPr>
          <w:b/>
          <w:color w:val="003469"/>
        </w:rPr>
        <w:fldChar w:fldCharType="begin"/>
      </w:r>
      <w:r w:rsidR="00172B12" w:rsidRPr="00172B12">
        <w:rPr>
          <w:b/>
          <w:color w:val="003469"/>
        </w:rPr>
        <w:instrText xml:space="preserve">REF _Ref188981939 \h \* Charformat </w:instrText>
      </w:r>
      <w:r w:rsidR="00172B12" w:rsidRPr="00172B12">
        <w:rPr>
          <w:b/>
          <w:color w:val="003469"/>
        </w:rPr>
      </w:r>
      <w:r w:rsidR="000D0428" w:rsidRPr="00172B12">
        <w:rPr>
          <w:b/>
          <w:color w:val="003469"/>
        </w:rPr>
        <w:fldChar w:fldCharType="separate"/>
      </w:r>
      <w:r w:rsidR="00673675" w:rsidRPr="00673675">
        <w:rPr>
          <w:b/>
          <w:color w:val="003469"/>
        </w:rPr>
        <w:t>Chart 1</w:t>
      </w:r>
      <w:r w:rsidR="000D0428" w:rsidRPr="00172B12">
        <w:rPr>
          <w:b/>
          <w:color w:val="003469"/>
        </w:rPr>
        <w:fldChar w:fldCharType="end"/>
      </w:r>
      <w:r w:rsidR="007B3ED0">
        <w:t>)</w:t>
      </w:r>
      <w:r>
        <w:t>.</w:t>
      </w:r>
    </w:p>
    <w:p w14:paraId="11728E68" w14:textId="77777777" w:rsidR="004A4900" w:rsidRDefault="00386A9E" w:rsidP="00612686">
      <w:r>
        <w:t>In t</w:t>
      </w:r>
      <w:r w:rsidR="009049E2">
        <w:t>he minutes of December's meeting</w:t>
      </w:r>
      <w:r>
        <w:t>, the MPC</w:t>
      </w:r>
      <w:r w:rsidR="009049E2">
        <w:t xml:space="preserve"> </w:t>
      </w:r>
      <w:r w:rsidR="00475BEC">
        <w:t xml:space="preserve">placed less emphasis on </w:t>
      </w:r>
      <w:r w:rsidR="00D363DC">
        <w:t xml:space="preserve">its </w:t>
      </w:r>
      <w:r w:rsidR="009049E2">
        <w:t xml:space="preserve">three inflation scenarios. </w:t>
      </w:r>
      <w:r w:rsidR="00A04BFD">
        <w:t xml:space="preserve">Rather, the </w:t>
      </w:r>
      <w:r w:rsidR="00566166">
        <w:t xml:space="preserve">commentary made </w:t>
      </w:r>
      <w:r w:rsidR="00D363DC">
        <w:t xml:space="preserve">it </w:t>
      </w:r>
      <w:r w:rsidR="00566166">
        <w:t xml:space="preserve">clear that </w:t>
      </w:r>
      <w:r w:rsidR="00D363DC">
        <w:t xml:space="preserve">after </w:t>
      </w:r>
      <w:r w:rsidR="00566166">
        <w:t>be</w:t>
      </w:r>
      <w:r w:rsidR="00D363DC">
        <w:t>ing</w:t>
      </w:r>
      <w:r w:rsidR="00566166">
        <w:t xml:space="preserve"> </w:t>
      </w:r>
      <w:r w:rsidR="00885CC4">
        <w:t xml:space="preserve">heavily </w:t>
      </w:r>
      <w:r w:rsidR="00566166">
        <w:t xml:space="preserve">focused on </w:t>
      </w:r>
      <w:r w:rsidR="00885CC4">
        <w:t xml:space="preserve">upside </w:t>
      </w:r>
      <w:r w:rsidR="00566166">
        <w:t xml:space="preserve">inflation </w:t>
      </w:r>
      <w:r w:rsidR="00885CC4">
        <w:t xml:space="preserve">risks </w:t>
      </w:r>
      <w:r w:rsidR="00566166">
        <w:t xml:space="preserve">in recent years, with little </w:t>
      </w:r>
      <w:r w:rsidR="00566166" w:rsidRPr="00566166">
        <w:t xml:space="preserve">emphasis on </w:t>
      </w:r>
      <w:r w:rsidR="00885CC4">
        <w:t xml:space="preserve">downside </w:t>
      </w:r>
      <w:r w:rsidR="00566166" w:rsidRPr="00566166">
        <w:t xml:space="preserve">growth </w:t>
      </w:r>
      <w:r w:rsidR="00885CC4">
        <w:t xml:space="preserve">risks </w:t>
      </w:r>
      <w:r w:rsidR="00566166" w:rsidRPr="00566166">
        <w:t xml:space="preserve">in </w:t>
      </w:r>
      <w:r w:rsidR="00D363DC">
        <w:t>its</w:t>
      </w:r>
      <w:r w:rsidR="00D363DC" w:rsidRPr="00566166">
        <w:t xml:space="preserve"> </w:t>
      </w:r>
      <w:r w:rsidR="00566166" w:rsidRPr="00566166">
        <w:t>decision-making</w:t>
      </w:r>
      <w:r w:rsidR="00566166">
        <w:t xml:space="preserve">, </w:t>
      </w:r>
      <w:r w:rsidR="00566166" w:rsidRPr="00566166">
        <w:t>the committee is increasingly thinking about the implications of recent weakness in activity and employment</w:t>
      </w:r>
      <w:r w:rsidR="00566166">
        <w:t>.</w:t>
      </w:r>
    </w:p>
    <w:p w14:paraId="69CD7A9F" w14:textId="3EDF00A1" w:rsidR="00664D33" w:rsidRDefault="00664D33" w:rsidP="004A4900">
      <w:pPr>
        <w:pStyle w:val="ExhibitTitle"/>
        <w:jc w:val="center"/>
      </w:pPr>
      <w:bookmarkStart w:id="0" w:name="_Ref188981939"/>
      <w:r>
        <w:t xml:space="preserve">Chart </w:t>
      </w:r>
      <w:r>
        <w:fldChar w:fldCharType="begin"/>
      </w:r>
      <w:r w:rsidR="004A4900">
        <w:instrText>SEQ CHART</w:instrText>
      </w:r>
      <w:r>
        <w:fldChar w:fldCharType="separate"/>
      </w:r>
      <w:r w:rsidR="00673675">
        <w:rPr>
          <w:noProof/>
        </w:rPr>
        <w:t>1</w:t>
      </w:r>
      <w:r>
        <w:fldChar w:fldCharType="end"/>
      </w:r>
      <w:bookmarkEnd w:id="0"/>
      <w:r>
        <w:t xml:space="preserve">: </w:t>
      </w:r>
      <w:r w:rsidR="009049E2">
        <w:t>Markets have become more hawkish since the MPC's last forecast in November</w:t>
      </w:r>
    </w:p>
    <w:p w14:paraId="1C2A754A" w14:textId="3D30D5FC" w:rsidR="004A4900" w:rsidRDefault="004A4900" w:rsidP="004A4900">
      <w:pPr>
        <w:spacing w:after="0"/>
        <w:jc w:val="center"/>
        <w:rPr>
          <w:noProof/>
        </w:rPr>
      </w:pPr>
      <w:r>
        <w:rPr>
          <w:noProof/>
        </w:rPr>
        <w:drawing>
          <wp:inline distT="0" distB="0" distL="0" distR="0" wp14:anchorId="158DF61C" wp14:editId="7CCCD84C">
            <wp:extent cx="4006964" cy="3140642"/>
            <wp:effectExtent l="0" t="0" r="0" b="3175"/>
            <wp:docPr id="1001426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646" name=""/>
                    <pic:cNvPicPr/>
                  </pic:nvPicPr>
                  <pic:blipFill>
                    <a:blip r:embed="rId7">
                      <a:extLst>
                        <a:ext uri="{96DAC541-7B7A-43D3-8B79-37D633B846F1}">
                          <asvg:svgBlip xmlns:asvg="http://schemas.microsoft.com/office/drawing/2016/SVG/main" r:embed="rId8"/>
                        </a:ext>
                      </a:extLst>
                    </a:blip>
                    <a:srcRect b="1886"/>
                    <a:stretch>
                      <a:fillRect/>
                    </a:stretch>
                  </pic:blipFill>
                  <pic:spPr>
                    <a:xfrm>
                      <a:off x="0" y="0"/>
                      <a:ext cx="4006964" cy="3140642"/>
                    </a:xfrm>
                    <a:prstGeom prst="rect">
                      <a:avLst/>
                    </a:prstGeom>
                  </pic:spPr>
                </pic:pic>
              </a:graphicData>
            </a:graphic>
          </wp:inline>
        </w:drawing>
      </w:r>
    </w:p>
    <w:p w14:paraId="10570D15" w14:textId="4793DBEB" w:rsidR="00664D33" w:rsidRDefault="004A4900" w:rsidP="004A4900">
      <w:pPr>
        <w:pStyle w:val="ExhibitSource"/>
        <w:jc w:val="center"/>
      </w:pPr>
      <w:r>
        <w:t>Source: Haver Analytics</w:t>
      </w:r>
    </w:p>
    <w:p w14:paraId="14BAE005" w14:textId="20A90CA6" w:rsidR="00664D33" w:rsidRDefault="00664D33" w:rsidP="00664D33">
      <w:pPr>
        <w:pStyle w:val="ExhibitSource"/>
        <w:jc w:val="center"/>
        <w:sectPr w:rsidR="00664D33" w:rsidSect="004A4900">
          <w:headerReference w:type="even" r:id="rId9"/>
          <w:headerReference w:type="default" r:id="rId10"/>
          <w:footerReference w:type="default" r:id="rId11"/>
          <w:headerReference w:type="first" r:id="rId12"/>
          <w:footerReference w:type="first" r:id="rId13"/>
          <w:pgSz w:w="11906" w:h="16838"/>
          <w:pgMar w:top="2665" w:right="1276" w:bottom="838" w:left="1134" w:header="708" w:footer="300" w:gutter="0"/>
          <w:cols w:space="708"/>
          <w:titlePg/>
          <w:docGrid w:linePitch="360"/>
        </w:sectPr>
      </w:pPr>
    </w:p>
    <w:p w14:paraId="512A97D8" w14:textId="0B2EF70D" w:rsidR="00A32E56" w:rsidRPr="00A32E56" w:rsidRDefault="00A32E56" w:rsidP="00DE3FC4">
      <w:pPr>
        <w:pStyle w:val="Heading3"/>
      </w:pPr>
      <w:r>
        <w:lastRenderedPageBreak/>
        <w:t>Recent data offered mixed messages on the inflation outlook</w:t>
      </w:r>
    </w:p>
    <w:p w14:paraId="4E8DDA3E" w14:textId="08875A04" w:rsidR="00664D33" w:rsidRDefault="001977F3" w:rsidP="00664D33">
      <w:r>
        <w:t>Little da</w:t>
      </w:r>
      <w:r w:rsidR="003548E9">
        <w:t xml:space="preserve">ta </w:t>
      </w:r>
      <w:r>
        <w:t xml:space="preserve">have been </w:t>
      </w:r>
      <w:r w:rsidR="003548E9">
        <w:t>published since the December meeting</w:t>
      </w:r>
      <w:r>
        <w:t xml:space="preserve">. </w:t>
      </w:r>
      <w:r w:rsidR="00837EA7">
        <w:t>And w</w:t>
      </w:r>
      <w:r>
        <w:t xml:space="preserve">hat </w:t>
      </w:r>
      <w:r w:rsidR="00D363DC">
        <w:t>modest</w:t>
      </w:r>
      <w:r w:rsidR="00D363DC" w:rsidDel="00D363DC">
        <w:t xml:space="preserve"> </w:t>
      </w:r>
      <w:r>
        <w:t>news we</w:t>
      </w:r>
      <w:r w:rsidR="008A5595">
        <w:t>'v</w:t>
      </w:r>
      <w:r>
        <w:t xml:space="preserve">e had has been ambiguous </w:t>
      </w:r>
      <w:r w:rsidR="00A32E56">
        <w:t xml:space="preserve">for the MPC. Regarding the near-term inflation outlook, we largely discount the importance of December's downside surprise for </w:t>
      </w:r>
      <w:hyperlink r:id="rId14" w:history="1">
        <w:r w:rsidR="00A32E56" w:rsidRPr="00011419">
          <w:rPr>
            <w:rStyle w:val="Hyperlink"/>
          </w:rPr>
          <w:t>services inflation</w:t>
        </w:r>
      </w:hyperlink>
      <w:r w:rsidR="00A32E56">
        <w:t xml:space="preserve">. It was almost entirely due to </w:t>
      </w:r>
      <w:r w:rsidR="00D447B6">
        <w:t>quirks in the collection dates for</w:t>
      </w:r>
      <w:r w:rsidR="00A32E56">
        <w:t xml:space="preserve"> data </w:t>
      </w:r>
      <w:r w:rsidR="00D447B6">
        <w:t>in</w:t>
      </w:r>
      <w:r w:rsidR="00A32E56">
        <w:t xml:space="preserve"> two volatile categories – air fares and accommodation services – </w:t>
      </w:r>
      <w:r w:rsidR="00D447B6">
        <w:t xml:space="preserve">and there's a good chance these impacts </w:t>
      </w:r>
      <w:r w:rsidR="00B7620B">
        <w:t xml:space="preserve">will </w:t>
      </w:r>
      <w:r w:rsidR="00D447B6">
        <w:t xml:space="preserve">unwind next month. </w:t>
      </w:r>
      <w:r w:rsidR="005F77F5">
        <w:t xml:space="preserve">Equally, </w:t>
      </w:r>
      <w:r w:rsidR="000B3934">
        <w:t xml:space="preserve">the </w:t>
      </w:r>
      <w:hyperlink r:id="rId15" w:history="1">
        <w:r w:rsidR="000B3934" w:rsidRPr="00AF03CD">
          <w:rPr>
            <w:rStyle w:val="Hyperlink"/>
          </w:rPr>
          <w:t>recent pickup</w:t>
        </w:r>
      </w:hyperlink>
      <w:r w:rsidR="000B3934">
        <w:t xml:space="preserve"> in private sector regular pay growth </w:t>
      </w:r>
      <w:r w:rsidR="00B7620B">
        <w:t>wa</w:t>
      </w:r>
      <w:r w:rsidR="000B3934">
        <w:t>s heavily linked to base effects</w:t>
      </w:r>
      <w:r w:rsidR="00885CC4">
        <w:t xml:space="preserve"> and composition effects</w:t>
      </w:r>
      <w:r w:rsidR="000B3934">
        <w:t xml:space="preserve">. </w:t>
      </w:r>
      <w:hyperlink r:id="rId16" w:history="1">
        <w:r w:rsidR="000B3934" w:rsidRPr="00203F7F">
          <w:rPr>
            <w:rStyle w:val="Hyperlink"/>
          </w:rPr>
          <w:t xml:space="preserve">Our </w:t>
        </w:r>
        <w:r w:rsidR="00941CE9" w:rsidRPr="00203F7F">
          <w:rPr>
            <w:rStyle w:val="Hyperlink"/>
          </w:rPr>
          <w:t>sentiment data-based nowcast</w:t>
        </w:r>
      </w:hyperlink>
      <w:r w:rsidR="00941CE9">
        <w:t xml:space="preserve">, developed with </w:t>
      </w:r>
      <w:hyperlink r:id="rId17" w:history="1">
        <w:r w:rsidR="00941CE9" w:rsidRPr="00203F7F">
          <w:rPr>
            <w:rStyle w:val="Hyperlink"/>
          </w:rPr>
          <w:t>Penta</w:t>
        </w:r>
      </w:hyperlink>
      <w:r w:rsidR="00941CE9">
        <w:t xml:space="preserve">, </w:t>
      </w:r>
      <w:r w:rsidR="00941CE9" w:rsidRPr="00941CE9">
        <w:t>has been softer, stabilising at around 4.5% at the turn of the year</w:t>
      </w:r>
      <w:r w:rsidR="00941CE9">
        <w:t xml:space="preserve"> (</w:t>
      </w:r>
      <w:r w:rsidR="000D0428" w:rsidRPr="00172B12">
        <w:rPr>
          <w:b/>
          <w:color w:val="003469"/>
        </w:rPr>
        <w:fldChar w:fldCharType="begin"/>
      </w:r>
      <w:r w:rsidR="00172B12" w:rsidRPr="00172B12">
        <w:rPr>
          <w:b/>
          <w:color w:val="003469"/>
        </w:rPr>
        <w:instrText xml:space="preserve">REF _Ref188981940 \h \* Charformat </w:instrText>
      </w:r>
      <w:r w:rsidR="00172B12" w:rsidRPr="00172B12">
        <w:rPr>
          <w:b/>
          <w:color w:val="003469"/>
        </w:rPr>
      </w:r>
      <w:r w:rsidR="000D0428" w:rsidRPr="00172B12">
        <w:rPr>
          <w:b/>
          <w:color w:val="003469"/>
        </w:rPr>
        <w:fldChar w:fldCharType="separate"/>
      </w:r>
      <w:r w:rsidR="00673675" w:rsidRPr="00673675">
        <w:rPr>
          <w:b/>
          <w:color w:val="003469"/>
        </w:rPr>
        <w:t>Chart 2</w:t>
      </w:r>
      <w:r w:rsidR="000D0428" w:rsidRPr="00172B12">
        <w:rPr>
          <w:b/>
          <w:color w:val="003469"/>
        </w:rPr>
        <w:fldChar w:fldCharType="end"/>
      </w:r>
      <w:r w:rsidR="00941CE9">
        <w:t>)</w:t>
      </w:r>
      <w:r w:rsidR="00941CE9" w:rsidRPr="00941CE9">
        <w:t xml:space="preserve">. </w:t>
      </w:r>
    </w:p>
    <w:p w14:paraId="06C4E734" w14:textId="3629D648" w:rsidR="00664D33" w:rsidRDefault="00664D33" w:rsidP="00DE3FC4">
      <w:pPr>
        <w:pStyle w:val="ExhibitTitle"/>
      </w:pPr>
      <w:bookmarkStart w:id="2" w:name="_Ref188981940"/>
      <w:r>
        <w:t xml:space="preserve">Chart </w:t>
      </w:r>
      <w:r>
        <w:fldChar w:fldCharType="begin"/>
      </w:r>
      <w:r w:rsidR="000D0428">
        <w:instrText>SEQ CHART</w:instrText>
      </w:r>
      <w:r>
        <w:fldChar w:fldCharType="separate"/>
      </w:r>
      <w:r w:rsidR="00673675">
        <w:rPr>
          <w:noProof/>
        </w:rPr>
        <w:t>2</w:t>
      </w:r>
      <w:r>
        <w:fldChar w:fldCharType="end"/>
      </w:r>
      <w:bookmarkEnd w:id="2"/>
      <w:r>
        <w:t xml:space="preserve">: </w:t>
      </w:r>
      <w:r w:rsidR="00941CE9" w:rsidRPr="00941CE9">
        <w:t>Our nowcast suggests pay growth has stabilised around 4.5%</w:t>
      </w:r>
    </w:p>
    <w:p w14:paraId="6C612EB2" w14:textId="03156AFC" w:rsidR="00850100" w:rsidRDefault="00850100" w:rsidP="00DE3FC4">
      <w:pPr>
        <w:spacing w:after="0"/>
        <w:rPr>
          <w:noProof/>
        </w:rPr>
      </w:pPr>
      <w:r>
        <w:rPr>
          <w:noProof/>
        </w:rPr>
        <w:drawing>
          <wp:inline distT="0" distB="0" distL="0" distR="0" wp14:anchorId="67B60755" wp14:editId="6E72957D">
            <wp:extent cx="3250933" cy="2548068"/>
            <wp:effectExtent l="0" t="0" r="6985" b="5080"/>
            <wp:docPr id="11356483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307"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0D56CA24" w14:textId="56799AAC" w:rsidR="00664D33" w:rsidRDefault="00850100" w:rsidP="00DE3FC4">
      <w:pPr>
        <w:pStyle w:val="ExhibitSource"/>
      </w:pPr>
      <w:r>
        <w:t>Source: Oxford Economics/Penta/Haver Analytics</w:t>
      </w:r>
    </w:p>
    <w:p w14:paraId="25B9D6A0" w14:textId="03634D35" w:rsidR="00941CE9" w:rsidRDefault="00B404CB" w:rsidP="00664D33">
      <w:r>
        <w:t>The key question for the MPC is where pay growth will go from here. The softer pace flagged by our nowcast is s</w:t>
      </w:r>
      <w:r w:rsidR="00941CE9" w:rsidRPr="00941CE9">
        <w:t xml:space="preserve">till some way above the pace that the BoE considers consistent with achieving </w:t>
      </w:r>
      <w:r w:rsidR="00D363DC">
        <w:t>its</w:t>
      </w:r>
      <w:r w:rsidR="00D363DC" w:rsidRPr="00941CE9">
        <w:t xml:space="preserve"> </w:t>
      </w:r>
      <w:r w:rsidR="00941CE9" w:rsidRPr="00941CE9">
        <w:t>inflation target over the medium</w:t>
      </w:r>
      <w:r w:rsidR="00D363DC">
        <w:t xml:space="preserve"> </w:t>
      </w:r>
      <w:r w:rsidR="00941CE9" w:rsidRPr="00941CE9">
        <w:t xml:space="preserve">term. It's also slightly higher than the top of the range of potential outcomes </w:t>
      </w:r>
      <w:r w:rsidR="00D363DC" w:rsidRPr="00D363DC">
        <w:t xml:space="preserve">recently </w:t>
      </w:r>
      <w:r w:rsidR="00941CE9" w:rsidRPr="00941CE9">
        <w:t xml:space="preserve">identified by the </w:t>
      </w:r>
      <w:hyperlink r:id="rId20" w:history="1">
        <w:r w:rsidR="00941CE9" w:rsidRPr="00B404CB">
          <w:rPr>
            <w:rStyle w:val="Hyperlink"/>
          </w:rPr>
          <w:t>BoE's regional agents</w:t>
        </w:r>
      </w:hyperlink>
      <w:r>
        <w:t xml:space="preserve">. The MPC will see an update of this market intelligence ahead of the February meeting, and </w:t>
      </w:r>
      <w:r w:rsidR="00D363DC">
        <w:t>this will</w:t>
      </w:r>
      <w:r>
        <w:t xml:space="preserve"> likely be a key influence on </w:t>
      </w:r>
      <w:r w:rsidR="00D363DC">
        <w:t xml:space="preserve">its </w:t>
      </w:r>
      <w:r>
        <w:t>views.</w:t>
      </w:r>
    </w:p>
    <w:p w14:paraId="78EDD6AF" w14:textId="6E43DB6E" w:rsidR="005E1895" w:rsidRDefault="00203F7F" w:rsidP="00664D33">
      <w:r>
        <w:t>Beyond the near</w:t>
      </w:r>
      <w:r w:rsidR="00D363DC">
        <w:t xml:space="preserve"> </w:t>
      </w:r>
      <w:r>
        <w:t>term, the MPC</w:t>
      </w:r>
      <w:r w:rsidR="00F67A5C">
        <w:t>'</w:t>
      </w:r>
      <w:r>
        <w:t xml:space="preserve">s view on the evolution of pay growth will be driven by its view of labour market conditions more broadly. As we argued in a </w:t>
      </w:r>
      <w:hyperlink r:id="rId21" w:history="1">
        <w:r w:rsidRPr="00203F7F">
          <w:rPr>
            <w:rStyle w:val="Hyperlink"/>
          </w:rPr>
          <w:t>recent note</w:t>
        </w:r>
      </w:hyperlink>
      <w:r>
        <w:t xml:space="preserve">, </w:t>
      </w:r>
      <w:r w:rsidR="00F67A5C">
        <w:t xml:space="preserve">a </w:t>
      </w:r>
      <w:r>
        <w:t>loss of faith in the O</w:t>
      </w:r>
      <w:r w:rsidR="00F67A5C">
        <w:t xml:space="preserve">ffice of </w:t>
      </w:r>
      <w:r>
        <w:t>N</w:t>
      </w:r>
      <w:r w:rsidR="00F67A5C">
        <w:t xml:space="preserve">ational </w:t>
      </w:r>
      <w:r>
        <w:t>S</w:t>
      </w:r>
      <w:r w:rsidR="00F67A5C">
        <w:t>tatistics</w:t>
      </w:r>
      <w:r>
        <w:t>' Labour Force Survey is a major problem in this respect</w:t>
      </w:r>
      <w:r w:rsidR="00102BF3">
        <w:t>, increasing the uncertainty around the MPC's decision-making</w:t>
      </w:r>
      <w:r>
        <w:t>.</w:t>
      </w:r>
      <w:r w:rsidR="00102BF3">
        <w:t xml:space="preserve"> </w:t>
      </w:r>
      <w:r w:rsidR="008D6323">
        <w:t>April's increase</w:t>
      </w:r>
      <w:r w:rsidR="00AD71DD">
        <w:t>s</w:t>
      </w:r>
      <w:r w:rsidR="008D6323">
        <w:t xml:space="preserve"> in employers' national insurance contributions and the national living wage compound those uncertainties.</w:t>
      </w:r>
    </w:p>
    <w:p w14:paraId="67C08573" w14:textId="4DF35BFC" w:rsidR="00941CE9" w:rsidRDefault="005E1895" w:rsidP="00664D33">
      <w:r>
        <w:t xml:space="preserve">But other data should leave the MPC cautiously </w:t>
      </w:r>
      <w:r w:rsidR="00885CC4">
        <w:t>concluding</w:t>
      </w:r>
      <w:r>
        <w:t xml:space="preserve"> that labour market conditions are loosening, and that this should </w:t>
      </w:r>
      <w:r w:rsidR="003F6755">
        <w:t xml:space="preserve">increasingly </w:t>
      </w:r>
      <w:r>
        <w:t>bear down on pay growth. Job vacancies continu</w:t>
      </w:r>
      <w:r w:rsidR="00255E6F">
        <w:t>e</w:t>
      </w:r>
      <w:r>
        <w:t xml:space="preserve"> to drift lower and are now broadly in line with pre-pandemic levels</w:t>
      </w:r>
      <w:r w:rsidR="00D7683E">
        <w:t>. Mean</w:t>
      </w:r>
      <w:r w:rsidR="00255E6F">
        <w:t>while</w:t>
      </w:r>
      <w:r w:rsidR="00380B7C">
        <w:t>,</w:t>
      </w:r>
      <w:r w:rsidR="00255E6F">
        <w:t xml:space="preserve"> our nowcast suggests that year-on-year employment growth has slowed to zero. But redundancies remain </w:t>
      </w:r>
      <w:r w:rsidR="00F67A5C">
        <w:t xml:space="preserve">quite </w:t>
      </w:r>
      <w:r w:rsidR="00255E6F">
        <w:t xml:space="preserve">low, suggesting that firms are still keen to hold onto </w:t>
      </w:r>
      <w:r w:rsidR="00697929">
        <w:t>staff,</w:t>
      </w:r>
      <w:r w:rsidR="00255E6F">
        <w:t xml:space="preserve"> if possible, with</w:t>
      </w:r>
      <w:r w:rsidR="004C11AD">
        <w:t xml:space="preserve"> any</w:t>
      </w:r>
      <w:r w:rsidR="00255E6F">
        <w:t xml:space="preserve"> headcount reduction largely occurring </w:t>
      </w:r>
      <w:r w:rsidR="00EC02E9">
        <w:t>due to leavers</w:t>
      </w:r>
      <w:r w:rsidR="00255E6F">
        <w:t xml:space="preserve"> not </w:t>
      </w:r>
      <w:r w:rsidR="00EC02E9">
        <w:t xml:space="preserve">being </w:t>
      </w:r>
      <w:r w:rsidR="00255E6F">
        <w:t>replac</w:t>
      </w:r>
      <w:r w:rsidR="00EC02E9">
        <w:t>ed</w:t>
      </w:r>
      <w:r w:rsidR="00255E6F">
        <w:t>.</w:t>
      </w:r>
    </w:p>
    <w:p w14:paraId="44A59F52" w14:textId="1B46058A" w:rsidR="00255E6F" w:rsidRDefault="00C637C3" w:rsidP="00DE3FC4">
      <w:pPr>
        <w:pStyle w:val="Heading3"/>
      </w:pPr>
      <w:r>
        <w:t>MPC likely to use its forecast to signal further rate cuts ahead</w:t>
      </w:r>
    </w:p>
    <w:p w14:paraId="275EEF9A" w14:textId="5E33082E" w:rsidR="00971152" w:rsidRDefault="00885CC4" w:rsidP="00664D33">
      <w:r>
        <w:t>Signs</w:t>
      </w:r>
      <w:r w:rsidR="00971152">
        <w:t xml:space="preserve"> that labour market conditions are still loosening and concerns that soft activity might further weaken demand for labour, are likely to mean all members except Catherine Mann vote to cut Bank Rate at next week's meeting.</w:t>
      </w:r>
      <w:r w:rsidR="00533211">
        <w:t xml:space="preserve"> </w:t>
      </w:r>
      <w:r w:rsidR="00F67A5C">
        <w:t>W</w:t>
      </w:r>
      <w:r w:rsidR="00533211">
        <w:t xml:space="preserve">e </w:t>
      </w:r>
      <w:r w:rsidR="00F67A5C">
        <w:t xml:space="preserve">also </w:t>
      </w:r>
      <w:r w:rsidR="00533211">
        <w:t xml:space="preserve">expect the tone of the BoE's communications to be </w:t>
      </w:r>
      <w:r w:rsidR="00852A2A">
        <w:t>dovish</w:t>
      </w:r>
      <w:r w:rsidR="00533211">
        <w:t xml:space="preserve">. As well as a comprehensive vote, we </w:t>
      </w:r>
      <w:r w:rsidR="00F67A5C">
        <w:t>envisage</w:t>
      </w:r>
      <w:r w:rsidR="00F67A5C" w:rsidDel="00F67A5C">
        <w:t xml:space="preserve"> </w:t>
      </w:r>
      <w:r w:rsidR="00533211">
        <w:t xml:space="preserve">the minutes to repeat December's concerns about recent soft activity and employment data, and </w:t>
      </w:r>
      <w:r w:rsidR="00852A2A">
        <w:t xml:space="preserve">to </w:t>
      </w:r>
      <w:r w:rsidR="00533211">
        <w:t xml:space="preserve">again state that "a gradual approach to removing </w:t>
      </w:r>
      <w:r w:rsidR="008303AD">
        <w:t>monetary policy restraint remained appropriate".</w:t>
      </w:r>
    </w:p>
    <w:p w14:paraId="05E580F4" w14:textId="3C5075FF" w:rsidR="00B60056" w:rsidRDefault="00E414B8" w:rsidP="00664D33">
      <w:r>
        <w:lastRenderedPageBreak/>
        <w:t xml:space="preserve">The dovish signal </w:t>
      </w:r>
      <w:r w:rsidR="00B34FA1">
        <w:t>will</w:t>
      </w:r>
      <w:r>
        <w:t xml:space="preserve"> be </w:t>
      </w:r>
      <w:r w:rsidR="00217CD1">
        <w:t>strengthened</w:t>
      </w:r>
      <w:r>
        <w:t xml:space="preserve"> by the MPC's new forecasts. </w:t>
      </w:r>
      <w:r w:rsidR="00B60056">
        <w:t xml:space="preserve">In November, the MPC </w:t>
      </w:r>
      <w:r w:rsidR="00B60056" w:rsidRPr="00B60056">
        <w:t xml:space="preserve">explicitly tied its central forecast to the mid-range </w:t>
      </w:r>
      <w:r w:rsidR="00B60056">
        <w:t xml:space="preserve">inflation </w:t>
      </w:r>
      <w:r w:rsidR="00B60056" w:rsidRPr="00B60056">
        <w:t>scenario</w:t>
      </w:r>
      <w:r w:rsidR="00B60056">
        <w:t xml:space="preserve"> for the first time. We expect </w:t>
      </w:r>
      <w:r w:rsidR="001F377A">
        <w:t xml:space="preserve">the new forecast </w:t>
      </w:r>
      <w:r w:rsidR="00F67A5C">
        <w:t xml:space="preserve">to </w:t>
      </w:r>
      <w:r w:rsidR="001F377A">
        <w:t>follow this practice</w:t>
      </w:r>
      <w:r w:rsidR="00B60056">
        <w:t xml:space="preserve">, even though it's clear that at least three members </w:t>
      </w:r>
      <w:r w:rsidR="00795EBF">
        <w:t xml:space="preserve">– Swati Dhingra, Dave Ramsden, and </w:t>
      </w:r>
      <w:hyperlink r:id="rId22" w:history="1">
        <w:r w:rsidR="00795EBF" w:rsidRPr="00377616">
          <w:rPr>
            <w:rStyle w:val="Hyperlink"/>
          </w:rPr>
          <w:t>Alan Taylor</w:t>
        </w:r>
      </w:hyperlink>
      <w:r w:rsidR="00795EBF">
        <w:t xml:space="preserve"> –</w:t>
      </w:r>
      <w:r w:rsidR="00F67A5C">
        <w:t xml:space="preserve"> </w:t>
      </w:r>
      <w:r w:rsidR="00B60056">
        <w:t>think that the most benign scenario is at least as likely.</w:t>
      </w:r>
    </w:p>
    <w:p w14:paraId="497F59BA" w14:textId="74C650E6" w:rsidR="00B60056" w:rsidRDefault="00445BB9" w:rsidP="00664D33">
      <w:r>
        <w:t xml:space="preserve">Large financial market moves and recent downside surprises for activity mean there will be many moving parts to the MPC's forecasts. </w:t>
      </w:r>
      <w:r w:rsidR="00FF13A7">
        <w:t xml:space="preserve">Gas, electricity, and oil prices have risen significantly over the past three months. The impact on the MPC's inflation forecasts will be compounded by the weakness of sterling, particularly for those imported goods that are priced in US dollars. </w:t>
      </w:r>
      <w:r w:rsidR="00F14373">
        <w:t>For example, t</w:t>
      </w:r>
      <w:r w:rsidR="00FF13A7">
        <w:t xml:space="preserve">he average </w:t>
      </w:r>
      <w:r w:rsidR="00F14373">
        <w:t xml:space="preserve">price implied by oil futures for H1 2025 will </w:t>
      </w:r>
      <w:r w:rsidR="00FF13A7">
        <w:t xml:space="preserve">be around </w:t>
      </w:r>
      <w:r w:rsidR="00F14373">
        <w:t>6</w:t>
      </w:r>
      <w:r w:rsidR="00FF13A7">
        <w:t>% higher than the assumption underpinning November's forecas</w:t>
      </w:r>
      <w:r w:rsidR="00F14373">
        <w:t>t, while sterling has depreciated by 6% against the US dollar</w:t>
      </w:r>
      <w:r w:rsidR="00960E41">
        <w:t xml:space="preserve"> (</w:t>
      </w:r>
      <w:r w:rsidR="000D0428" w:rsidRPr="00172B12">
        <w:rPr>
          <w:b/>
          <w:color w:val="003469"/>
        </w:rPr>
        <w:fldChar w:fldCharType="begin"/>
      </w:r>
      <w:r w:rsidR="00172B12" w:rsidRPr="00172B12">
        <w:rPr>
          <w:b/>
          <w:color w:val="003469"/>
        </w:rPr>
        <w:instrText xml:space="preserve">REF _Ref188981941 \h \* Charformat </w:instrText>
      </w:r>
      <w:r w:rsidR="00172B12" w:rsidRPr="00172B12">
        <w:rPr>
          <w:b/>
          <w:color w:val="003469"/>
        </w:rPr>
      </w:r>
      <w:r w:rsidR="000D0428" w:rsidRPr="00172B12">
        <w:rPr>
          <w:b/>
          <w:color w:val="003469"/>
        </w:rPr>
        <w:fldChar w:fldCharType="separate"/>
      </w:r>
      <w:r w:rsidR="00673675" w:rsidRPr="00673675">
        <w:rPr>
          <w:b/>
          <w:color w:val="003469"/>
        </w:rPr>
        <w:t>Chart 3</w:t>
      </w:r>
      <w:r w:rsidR="000D0428" w:rsidRPr="00172B12">
        <w:rPr>
          <w:b/>
          <w:color w:val="003469"/>
        </w:rPr>
        <w:fldChar w:fldCharType="end"/>
      </w:r>
      <w:r w:rsidR="00960E41">
        <w:t>)</w:t>
      </w:r>
      <w:r w:rsidR="00FF13A7">
        <w:t>.</w:t>
      </w:r>
      <w:r w:rsidR="000C03DB">
        <w:t xml:space="preserve"> This is likely to mean that the MPC's 2025 inflation forecast rises close to </w:t>
      </w:r>
      <w:hyperlink r:id="rId23" w:history="1">
        <w:r w:rsidR="000C03DB" w:rsidRPr="0003279A">
          <w:rPr>
            <w:rStyle w:val="Hyperlink"/>
          </w:rPr>
          <w:t>our forecast</w:t>
        </w:r>
      </w:hyperlink>
      <w:r w:rsidR="000C03DB">
        <w:t xml:space="preserve"> of 3%, from 2.75%.</w:t>
      </w:r>
    </w:p>
    <w:p w14:paraId="15790498" w14:textId="491D5274" w:rsidR="00664D33" w:rsidRDefault="00664D33" w:rsidP="00DE3FC4">
      <w:pPr>
        <w:pStyle w:val="ExhibitTitle"/>
      </w:pPr>
      <w:bookmarkStart w:id="3" w:name="_Ref188981941"/>
      <w:r>
        <w:t xml:space="preserve">Chart </w:t>
      </w:r>
      <w:r>
        <w:fldChar w:fldCharType="begin"/>
      </w:r>
      <w:r w:rsidR="00673675">
        <w:instrText>SEQ CHART</w:instrText>
      </w:r>
      <w:r>
        <w:fldChar w:fldCharType="separate"/>
      </w:r>
      <w:r w:rsidR="00673675">
        <w:rPr>
          <w:noProof/>
        </w:rPr>
        <w:t>3</w:t>
      </w:r>
      <w:r>
        <w:fldChar w:fldCharType="end"/>
      </w:r>
      <w:bookmarkEnd w:id="3"/>
      <w:r>
        <w:t xml:space="preserve">: </w:t>
      </w:r>
      <w:r w:rsidR="009B1AF2">
        <w:t>The MPC's new forecasts will assume higher sterling oil</w:t>
      </w:r>
      <w:r w:rsidR="00286EA3">
        <w:t xml:space="preserve"> and energy </w:t>
      </w:r>
      <w:r w:rsidR="009B1AF2">
        <w:t>price</w:t>
      </w:r>
      <w:r w:rsidR="00286EA3">
        <w:t>s</w:t>
      </w:r>
    </w:p>
    <w:p w14:paraId="2AD5645F" w14:textId="3C64CC1E" w:rsidR="00673675" w:rsidRDefault="00673675" w:rsidP="00DE3FC4">
      <w:pPr>
        <w:spacing w:after="0"/>
        <w:rPr>
          <w:noProof/>
        </w:rPr>
      </w:pPr>
      <w:r>
        <w:rPr>
          <w:noProof/>
        </w:rPr>
        <w:drawing>
          <wp:inline distT="0" distB="0" distL="0" distR="0" wp14:anchorId="01F7660E" wp14:editId="221E1622">
            <wp:extent cx="3250933" cy="2548068"/>
            <wp:effectExtent l="0" t="0" r="6985" b="5080"/>
            <wp:docPr id="183027238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72383" name=""/>
                    <pic:cNvPicPr/>
                  </pic:nvPicPr>
                  <pic:blipFill>
                    <a:blip r:embed="rId24">
                      <a:extLs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0F4C1388" w14:textId="3023D7C6" w:rsidR="00664D33" w:rsidRDefault="00673675" w:rsidP="00DE3FC4">
      <w:pPr>
        <w:pStyle w:val="ExhibitSource"/>
      </w:pPr>
      <w:r>
        <w:t>Source: Oxford Economics calculations using data from Haver Analytics</w:t>
      </w:r>
    </w:p>
    <w:p w14:paraId="24822A24" w14:textId="5BFC76F8" w:rsidR="00576D39" w:rsidRDefault="00960E41" w:rsidP="00960E41">
      <w:r>
        <w:t xml:space="preserve">But higher inflation will </w:t>
      </w:r>
      <w:r w:rsidR="00885CC4">
        <w:t>erode real wages and</w:t>
      </w:r>
      <w:r w:rsidR="00F67A5C">
        <w:t>,</w:t>
      </w:r>
      <w:r w:rsidR="00885CC4">
        <w:t xml:space="preserve"> hence</w:t>
      </w:r>
      <w:r w:rsidR="00F67A5C">
        <w:t>,</w:t>
      </w:r>
      <w:r w:rsidR="00885CC4">
        <w:t xml:space="preserve"> </w:t>
      </w:r>
      <w:r>
        <w:t>weigh on the growth outlook, compounding the carryover effect of the disappointing end to 2024. So it's likely that the MPC's 2025 GDP growth forecast will drop below 1%.</w:t>
      </w:r>
      <w:r w:rsidR="00FD1B4E">
        <w:t xml:space="preserve"> And for 2026</w:t>
      </w:r>
      <w:r w:rsidR="00F67A5C">
        <w:t>,</w:t>
      </w:r>
      <w:r w:rsidR="00FD1B4E">
        <w:t xml:space="preserve"> the drag on growth from higher inflation will be supplemented by the impact of a </w:t>
      </w:r>
      <w:r>
        <w:t>market curve</w:t>
      </w:r>
      <w:r w:rsidR="00FD1B4E">
        <w:t xml:space="preserve"> for Bank Rate that's </w:t>
      </w:r>
      <w:r>
        <w:t>around 40bps higher than in November (</w:t>
      </w:r>
      <w:r w:rsidR="000D0428" w:rsidRPr="00172B12">
        <w:rPr>
          <w:b/>
          <w:color w:val="003469"/>
        </w:rPr>
        <w:fldChar w:fldCharType="begin"/>
      </w:r>
      <w:r w:rsidR="00172B12" w:rsidRPr="00172B12">
        <w:rPr>
          <w:b/>
          <w:color w:val="003469"/>
        </w:rPr>
        <w:instrText xml:space="preserve">REF _Ref188981939 \h \* Charformat </w:instrText>
      </w:r>
      <w:r w:rsidR="00172B12" w:rsidRPr="00172B12">
        <w:rPr>
          <w:b/>
          <w:color w:val="003469"/>
        </w:rPr>
      </w:r>
      <w:r w:rsidR="000D0428" w:rsidRPr="00172B12">
        <w:rPr>
          <w:b/>
          <w:color w:val="003469"/>
        </w:rPr>
        <w:fldChar w:fldCharType="separate"/>
      </w:r>
      <w:r w:rsidR="00673675" w:rsidRPr="00673675">
        <w:rPr>
          <w:b/>
          <w:color w:val="003469"/>
        </w:rPr>
        <w:t>Chart 1</w:t>
      </w:r>
      <w:r w:rsidR="000D0428" w:rsidRPr="00172B12">
        <w:rPr>
          <w:b/>
          <w:color w:val="003469"/>
        </w:rPr>
        <w:fldChar w:fldCharType="end"/>
      </w:r>
      <w:r>
        <w:t>).</w:t>
      </w:r>
      <w:r w:rsidR="00576D39">
        <w:t xml:space="preserve"> </w:t>
      </w:r>
    </w:p>
    <w:p w14:paraId="42FE2E82" w14:textId="7F3B1C12" w:rsidR="00664D33" w:rsidRDefault="00576D39" w:rsidP="00664D33">
      <w:r>
        <w:t xml:space="preserve">That the MPC will also </w:t>
      </w:r>
      <w:r w:rsidR="00B807B6">
        <w:t>conduct</w:t>
      </w:r>
      <w:r>
        <w:t xml:space="preserve"> its annual stocktake on the supply side means it</w:t>
      </w:r>
      <w:r w:rsidR="00380B7C">
        <w:t>'</w:t>
      </w:r>
      <w:r>
        <w:t xml:space="preserve">s hard to gauge the impact of weaker growth on the MPC's forecasts for spare capacity. But </w:t>
      </w:r>
      <w:r w:rsidR="00B807B6">
        <w:t>considering</w:t>
      </w:r>
      <w:r>
        <w:t xml:space="preserve"> </w:t>
      </w:r>
      <w:r w:rsidR="00F67A5C">
        <w:t xml:space="preserve">its </w:t>
      </w:r>
      <w:r>
        <w:t xml:space="preserve">recent </w:t>
      </w:r>
      <w:r w:rsidR="00B32243">
        <w:t>commentary</w:t>
      </w:r>
      <w:r>
        <w:t xml:space="preserve">, </w:t>
      </w:r>
      <w:r w:rsidR="00F15916">
        <w:t xml:space="preserve">we think </w:t>
      </w:r>
      <w:r>
        <w:t xml:space="preserve">the new forecasts will show a greater degree of spare capacity </w:t>
      </w:r>
      <w:r w:rsidR="00B32243">
        <w:t>emerging</w:t>
      </w:r>
      <w:r>
        <w:t xml:space="preserve">. This, in turn, implies a lower inflation forecast in the latter half of the forecast. We think </w:t>
      </w:r>
      <w:r w:rsidR="003406D1">
        <w:t xml:space="preserve">the MPC's new forecast will </w:t>
      </w:r>
      <w:r w:rsidR="000620F2">
        <w:t>show inflation</w:t>
      </w:r>
      <w:r w:rsidR="003406D1">
        <w:t xml:space="preserve"> below 2% at the two-year horizon, dropping further in the third year</w:t>
      </w:r>
      <w:r w:rsidR="00664D33">
        <w:t>.</w:t>
      </w:r>
    </w:p>
    <w:p w14:paraId="4F622EA0" w14:textId="6DE308C7" w:rsidR="003406D1" w:rsidRDefault="003406D1" w:rsidP="00664D33">
      <w:r>
        <w:t xml:space="preserve">This would send a clear message that the MPC expects to continue to steadily loosen monetary policy this year. </w:t>
      </w:r>
      <w:r w:rsidRPr="003406D1">
        <w:t>Our baseline forecast assumes that the cut-hold tempo is maintained throughout 2025, with cuts in February, May, August, and November</w:t>
      </w:r>
      <w:r w:rsidR="00885CC4">
        <w:t>, and rates falling further next year</w:t>
      </w:r>
      <w:r w:rsidR="00E20920">
        <w:t xml:space="preserve">. </w:t>
      </w:r>
      <w:r w:rsidR="00395642" w:rsidRPr="00395642">
        <w:t xml:space="preserve">We view a scenario where a </w:t>
      </w:r>
      <w:r w:rsidR="00395642">
        <w:t>bigger shake</w:t>
      </w:r>
      <w:r w:rsidR="00CB4A5F">
        <w:t>-</w:t>
      </w:r>
      <w:r w:rsidR="00395642">
        <w:t xml:space="preserve">out in the jobs market </w:t>
      </w:r>
      <w:r w:rsidR="00395642" w:rsidRPr="00395642">
        <w:t xml:space="preserve">encourages the MPC to speed up the pace of rate cuts </w:t>
      </w:r>
      <w:r w:rsidR="00885CC4">
        <w:t xml:space="preserve">this year </w:t>
      </w:r>
      <w:r w:rsidR="00395642" w:rsidRPr="00395642">
        <w:t xml:space="preserve">as being more likely than the </w:t>
      </w:r>
      <w:r w:rsidR="00395642">
        <w:t xml:space="preserve">current market path, which </w:t>
      </w:r>
      <w:r w:rsidR="00464A68">
        <w:t>implies around 70bps of rate cuts in 2025</w:t>
      </w:r>
      <w:r w:rsidR="00395642">
        <w:t>.</w:t>
      </w:r>
    </w:p>
    <w:sectPr w:rsidR="003406D1" w:rsidSect="004A4900">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1476D" w14:textId="77777777" w:rsidR="00B144B9" w:rsidRDefault="00B144B9" w:rsidP="00664D33">
      <w:pPr>
        <w:spacing w:before="0" w:after="0"/>
      </w:pPr>
      <w:r>
        <w:separator/>
      </w:r>
    </w:p>
  </w:endnote>
  <w:endnote w:type="continuationSeparator" w:id="0">
    <w:p w14:paraId="7BC4BC31" w14:textId="77777777" w:rsidR="00B144B9" w:rsidRDefault="00B144B9" w:rsidP="00664D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6242D" w14:textId="4C99D72C" w:rsidR="00664D33" w:rsidRPr="00664D33" w:rsidRDefault="00664D33" w:rsidP="00664D3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8DCE" w14:textId="27E60320" w:rsidR="00664D33" w:rsidRDefault="00664D33" w:rsidP="00664D33">
    <w:pPr>
      <w:pStyle w:val="Author"/>
    </w:pPr>
    <w:r>
      <w:t>Andrew Goodwin</w:t>
    </w:r>
    <w:r w:rsidR="00DE3FC4">
      <w:t xml:space="preserve"> - </w:t>
    </w:r>
    <w:r>
      <w:t>Chief UK Economist</w:t>
    </w:r>
    <w:r w:rsidR="00DE3FC4">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977C3" w14:textId="77777777" w:rsidR="00B144B9" w:rsidRDefault="00B144B9" w:rsidP="00664D33">
      <w:pPr>
        <w:spacing w:before="0" w:after="0"/>
      </w:pPr>
      <w:r>
        <w:separator/>
      </w:r>
    </w:p>
  </w:footnote>
  <w:footnote w:type="continuationSeparator" w:id="0">
    <w:p w14:paraId="6692E1F6" w14:textId="77777777" w:rsidR="00B144B9" w:rsidRDefault="00B144B9" w:rsidP="00664D3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C498F" w14:textId="77777777" w:rsidR="00664D33" w:rsidRDefault="00664D3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92EDC" w14:textId="57C55F74" w:rsidR="00664D33" w:rsidRDefault="00664D33" w:rsidP="00664D33">
    <w:pPr>
      <w:pStyle w:val="Headline"/>
      <w:spacing w:before="120"/>
      <w:ind w:right="-1000"/>
    </w:pPr>
    <w:r w:rsidRPr="00664D33">
      <w:rPr>
        <w:noProof/>
      </w:rPr>
      <w:drawing>
        <wp:anchor distT="0" distB="0" distL="114300" distR="114300" simplePos="0" relativeHeight="251658239" behindDoc="1" locked="1" layoutInCell="1" allowOverlap="1" wp14:anchorId="633E0C47" wp14:editId="1FDC3848">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3C1AAE" w:rsidRPr="003C1AAE">
      <w:t xml:space="preserve">MPC preview – </w:t>
    </w:r>
    <w:r w:rsidR="00304266" w:rsidRPr="00304266">
      <w:t>Maintaining the dovish message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D663F" w14:textId="5D45862F" w:rsidR="00664D33" w:rsidRDefault="00664D33" w:rsidP="00664D33">
    <w:r w:rsidRPr="00664D33">
      <w:rPr>
        <w:noProof/>
      </w:rPr>
      <w:drawing>
        <wp:anchor distT="0" distB="0" distL="114300" distR="114300" simplePos="0" relativeHeight="251659264" behindDoc="1" locked="1" layoutInCell="1" allowOverlap="1" wp14:anchorId="4F39ABB7" wp14:editId="0335624C">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782193798"/>
      <w:lock w:val="sdtLocked"/>
      <w:placeholder>
        <w:docPart w:val="DefaultPlaceholder_-1854013437"/>
      </w:placeholder>
      <w:date w:fullDate="2025-01-30T00:00:00Z">
        <w:dateFormat w:val="d MMMM yyyy"/>
        <w:lid w:val="en-GB"/>
        <w:storeMappedDataAs w:val="dateTime"/>
        <w:calendar w:val="gregorian"/>
      </w:date>
    </w:sdtPr>
    <w:sdtEndPr/>
    <w:sdtContent>
      <w:p w14:paraId="39F8836C" w14:textId="37DA7D1B" w:rsidR="00664D33" w:rsidRDefault="00664D33" w:rsidP="00664D33">
        <w:pPr>
          <w:pStyle w:val="PublishDate"/>
          <w:framePr w:w="2835" w:h="340" w:hRule="exact" w:hSpace="180" w:wrap="around" w:vAnchor="page" w:hAnchor="page" w:x="7801" w:y="601" w:anchorLock="1"/>
        </w:pPr>
        <w:r>
          <w:t>30 January 2025</w:t>
        </w:r>
      </w:p>
    </w:sdtContent>
  </w:sdt>
  <w:p w14:paraId="4C7B0ACE" w14:textId="5D534D42" w:rsidR="00664D33" w:rsidRDefault="00664D33" w:rsidP="00664D33">
    <w:pPr>
      <w:pStyle w:val="ProductDescription"/>
      <w:framePr w:w="11339" w:h="1474" w:hRule="exact" w:hSpace="180" w:wrap="around" w:vAnchor="page" w:hAnchor="page" w:x="401" w:y="1141" w:anchorLock="1"/>
      <w:spacing w:after="200"/>
    </w:pPr>
    <w:r>
      <w:t>Research Briefing | UK</w:t>
    </w:r>
  </w:p>
  <w:p w14:paraId="7DF8A85F" w14:textId="3B75F312" w:rsidR="00664D33" w:rsidRDefault="00664D33" w:rsidP="00664D33">
    <w:pPr>
      <w:pStyle w:val="Headline"/>
      <w:framePr w:w="11339" w:h="1474" w:hRule="exact" w:hSpace="180" w:wrap="around" w:vAnchor="page" w:hAnchor="page" w:x="401" w:y="1141" w:anchorLock="1"/>
      <w:spacing w:line="200" w:lineRule="auto"/>
    </w:pPr>
    <w:bookmarkStart w:id="1" w:name="_Hlk188950737"/>
    <w:r>
      <w:t xml:space="preserve">MPC preview – </w:t>
    </w:r>
    <w:bookmarkEnd w:id="1"/>
    <w:r w:rsidR="00304266">
      <w:t>Maintaining the dovish message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33"/>
    <w:rsid w:val="00003BA7"/>
    <w:rsid w:val="00011419"/>
    <w:rsid w:val="00022761"/>
    <w:rsid w:val="0003279A"/>
    <w:rsid w:val="00046EB2"/>
    <w:rsid w:val="0005491E"/>
    <w:rsid w:val="000620F2"/>
    <w:rsid w:val="000B3934"/>
    <w:rsid w:val="000C03DB"/>
    <w:rsid w:val="000C0ADF"/>
    <w:rsid w:val="000D0428"/>
    <w:rsid w:val="000D3E43"/>
    <w:rsid w:val="000E2BD3"/>
    <w:rsid w:val="000E4E1F"/>
    <w:rsid w:val="000F23EB"/>
    <w:rsid w:val="000F3F52"/>
    <w:rsid w:val="001018E9"/>
    <w:rsid w:val="00102BF3"/>
    <w:rsid w:val="00112B76"/>
    <w:rsid w:val="00117A93"/>
    <w:rsid w:val="00120D7A"/>
    <w:rsid w:val="00124E58"/>
    <w:rsid w:val="00160F71"/>
    <w:rsid w:val="0016316B"/>
    <w:rsid w:val="0016377B"/>
    <w:rsid w:val="00165DBA"/>
    <w:rsid w:val="0017078A"/>
    <w:rsid w:val="00172B12"/>
    <w:rsid w:val="00190C04"/>
    <w:rsid w:val="00192CDF"/>
    <w:rsid w:val="001977F3"/>
    <w:rsid w:val="001A5775"/>
    <w:rsid w:val="001A6993"/>
    <w:rsid w:val="001A749F"/>
    <w:rsid w:val="001B2B67"/>
    <w:rsid w:val="001B2C32"/>
    <w:rsid w:val="001D7057"/>
    <w:rsid w:val="001E0785"/>
    <w:rsid w:val="001E0C4A"/>
    <w:rsid w:val="001F3317"/>
    <w:rsid w:val="001F377A"/>
    <w:rsid w:val="00203F7F"/>
    <w:rsid w:val="00217CD1"/>
    <w:rsid w:val="00242E5E"/>
    <w:rsid w:val="00255E6F"/>
    <w:rsid w:val="002615F6"/>
    <w:rsid w:val="00262D94"/>
    <w:rsid w:val="00263E48"/>
    <w:rsid w:val="002745D6"/>
    <w:rsid w:val="00282A8A"/>
    <w:rsid w:val="00286754"/>
    <w:rsid w:val="00286EA3"/>
    <w:rsid w:val="0029566B"/>
    <w:rsid w:val="002C1955"/>
    <w:rsid w:val="002D0DC9"/>
    <w:rsid w:val="003017D9"/>
    <w:rsid w:val="00304266"/>
    <w:rsid w:val="0031169C"/>
    <w:rsid w:val="003129C6"/>
    <w:rsid w:val="00316CBE"/>
    <w:rsid w:val="003406D1"/>
    <w:rsid w:val="0035120D"/>
    <w:rsid w:val="00353D43"/>
    <w:rsid w:val="003548E9"/>
    <w:rsid w:val="00370974"/>
    <w:rsid w:val="00374E02"/>
    <w:rsid w:val="00377616"/>
    <w:rsid w:val="00380B7C"/>
    <w:rsid w:val="00386A9E"/>
    <w:rsid w:val="00395642"/>
    <w:rsid w:val="003B0CAB"/>
    <w:rsid w:val="003B715A"/>
    <w:rsid w:val="003B7184"/>
    <w:rsid w:val="003C1AAE"/>
    <w:rsid w:val="003C1BB1"/>
    <w:rsid w:val="003E7F3C"/>
    <w:rsid w:val="003F0F4E"/>
    <w:rsid w:val="003F6755"/>
    <w:rsid w:val="0040359C"/>
    <w:rsid w:val="00405A12"/>
    <w:rsid w:val="00405D65"/>
    <w:rsid w:val="004258C9"/>
    <w:rsid w:val="004415EC"/>
    <w:rsid w:val="004458BB"/>
    <w:rsid w:val="00445BB9"/>
    <w:rsid w:val="004602D9"/>
    <w:rsid w:val="0046292D"/>
    <w:rsid w:val="00464A68"/>
    <w:rsid w:val="004677EA"/>
    <w:rsid w:val="00475BEC"/>
    <w:rsid w:val="004827E3"/>
    <w:rsid w:val="0049317B"/>
    <w:rsid w:val="00495DE7"/>
    <w:rsid w:val="004A2A92"/>
    <w:rsid w:val="004A4900"/>
    <w:rsid w:val="004B3983"/>
    <w:rsid w:val="004B4F66"/>
    <w:rsid w:val="004C11AD"/>
    <w:rsid w:val="004C7923"/>
    <w:rsid w:val="004D473F"/>
    <w:rsid w:val="004D5B83"/>
    <w:rsid w:val="004D650E"/>
    <w:rsid w:val="004E01AC"/>
    <w:rsid w:val="004F2A78"/>
    <w:rsid w:val="004F5EE6"/>
    <w:rsid w:val="005176F2"/>
    <w:rsid w:val="00524103"/>
    <w:rsid w:val="00533211"/>
    <w:rsid w:val="00535C71"/>
    <w:rsid w:val="005414BA"/>
    <w:rsid w:val="0054280C"/>
    <w:rsid w:val="005473C6"/>
    <w:rsid w:val="00563FEB"/>
    <w:rsid w:val="00566166"/>
    <w:rsid w:val="00575045"/>
    <w:rsid w:val="00576CB8"/>
    <w:rsid w:val="00576D39"/>
    <w:rsid w:val="00592138"/>
    <w:rsid w:val="00595FF0"/>
    <w:rsid w:val="005A7205"/>
    <w:rsid w:val="005B4AEA"/>
    <w:rsid w:val="005E1895"/>
    <w:rsid w:val="005E404F"/>
    <w:rsid w:val="005F0616"/>
    <w:rsid w:val="005F77F5"/>
    <w:rsid w:val="00604256"/>
    <w:rsid w:val="006125A3"/>
    <w:rsid w:val="00612686"/>
    <w:rsid w:val="00612BDE"/>
    <w:rsid w:val="006166EE"/>
    <w:rsid w:val="00633BE2"/>
    <w:rsid w:val="00664D33"/>
    <w:rsid w:val="00671564"/>
    <w:rsid w:val="00673675"/>
    <w:rsid w:val="006739BF"/>
    <w:rsid w:val="0067595A"/>
    <w:rsid w:val="00697929"/>
    <w:rsid w:val="006A1630"/>
    <w:rsid w:val="006A1FC4"/>
    <w:rsid w:val="006A676D"/>
    <w:rsid w:val="006B76A5"/>
    <w:rsid w:val="006C7C06"/>
    <w:rsid w:val="006D4975"/>
    <w:rsid w:val="006F60F1"/>
    <w:rsid w:val="0072435C"/>
    <w:rsid w:val="00730E79"/>
    <w:rsid w:val="00736C7F"/>
    <w:rsid w:val="0074116D"/>
    <w:rsid w:val="00757A3D"/>
    <w:rsid w:val="007723AE"/>
    <w:rsid w:val="00795EBF"/>
    <w:rsid w:val="007A0F18"/>
    <w:rsid w:val="007B3ED0"/>
    <w:rsid w:val="007B57CD"/>
    <w:rsid w:val="007C76B7"/>
    <w:rsid w:val="007F5D5D"/>
    <w:rsid w:val="00815411"/>
    <w:rsid w:val="0082658F"/>
    <w:rsid w:val="008303AD"/>
    <w:rsid w:val="00832313"/>
    <w:rsid w:val="00837EA7"/>
    <w:rsid w:val="00847933"/>
    <w:rsid w:val="00850100"/>
    <w:rsid w:val="00852A2A"/>
    <w:rsid w:val="00855D68"/>
    <w:rsid w:val="0086090E"/>
    <w:rsid w:val="008740B6"/>
    <w:rsid w:val="008742FC"/>
    <w:rsid w:val="00874B7C"/>
    <w:rsid w:val="00877265"/>
    <w:rsid w:val="0088455B"/>
    <w:rsid w:val="00885CC4"/>
    <w:rsid w:val="00886A3D"/>
    <w:rsid w:val="008946C5"/>
    <w:rsid w:val="008A5595"/>
    <w:rsid w:val="008D4F08"/>
    <w:rsid w:val="008D6323"/>
    <w:rsid w:val="008E11F0"/>
    <w:rsid w:val="008E721D"/>
    <w:rsid w:val="008F1A70"/>
    <w:rsid w:val="00901E8E"/>
    <w:rsid w:val="009049E2"/>
    <w:rsid w:val="00920D15"/>
    <w:rsid w:val="00924325"/>
    <w:rsid w:val="00933B30"/>
    <w:rsid w:val="00936541"/>
    <w:rsid w:val="00941CE9"/>
    <w:rsid w:val="00960E41"/>
    <w:rsid w:val="009634AC"/>
    <w:rsid w:val="00963AA5"/>
    <w:rsid w:val="00971152"/>
    <w:rsid w:val="00975E42"/>
    <w:rsid w:val="00981AF1"/>
    <w:rsid w:val="00984B02"/>
    <w:rsid w:val="00995E6B"/>
    <w:rsid w:val="009B1AF2"/>
    <w:rsid w:val="009B723B"/>
    <w:rsid w:val="009C6AE3"/>
    <w:rsid w:val="009C7C16"/>
    <w:rsid w:val="009E07F1"/>
    <w:rsid w:val="009E5F70"/>
    <w:rsid w:val="009F37D1"/>
    <w:rsid w:val="009F3F01"/>
    <w:rsid w:val="00A04BFD"/>
    <w:rsid w:val="00A163E4"/>
    <w:rsid w:val="00A25234"/>
    <w:rsid w:val="00A32E56"/>
    <w:rsid w:val="00A332D4"/>
    <w:rsid w:val="00A50835"/>
    <w:rsid w:val="00A52669"/>
    <w:rsid w:val="00A576A0"/>
    <w:rsid w:val="00A63323"/>
    <w:rsid w:val="00A66B32"/>
    <w:rsid w:val="00A77085"/>
    <w:rsid w:val="00A9415F"/>
    <w:rsid w:val="00A9430E"/>
    <w:rsid w:val="00AA7FE6"/>
    <w:rsid w:val="00AB24B7"/>
    <w:rsid w:val="00AB445A"/>
    <w:rsid w:val="00AB6B99"/>
    <w:rsid w:val="00AB7161"/>
    <w:rsid w:val="00AD07ED"/>
    <w:rsid w:val="00AD1E98"/>
    <w:rsid w:val="00AD71DD"/>
    <w:rsid w:val="00AE1EAA"/>
    <w:rsid w:val="00AE76E6"/>
    <w:rsid w:val="00AF03CD"/>
    <w:rsid w:val="00B04E07"/>
    <w:rsid w:val="00B144B9"/>
    <w:rsid w:val="00B16B5A"/>
    <w:rsid w:val="00B2592C"/>
    <w:rsid w:val="00B32243"/>
    <w:rsid w:val="00B34FA1"/>
    <w:rsid w:val="00B404CB"/>
    <w:rsid w:val="00B60056"/>
    <w:rsid w:val="00B7343B"/>
    <w:rsid w:val="00B7620B"/>
    <w:rsid w:val="00B807B6"/>
    <w:rsid w:val="00B846EA"/>
    <w:rsid w:val="00B910EA"/>
    <w:rsid w:val="00BB6195"/>
    <w:rsid w:val="00BD5428"/>
    <w:rsid w:val="00BE1485"/>
    <w:rsid w:val="00BF6A2A"/>
    <w:rsid w:val="00C17065"/>
    <w:rsid w:val="00C3395E"/>
    <w:rsid w:val="00C637C3"/>
    <w:rsid w:val="00C65A69"/>
    <w:rsid w:val="00C71A9B"/>
    <w:rsid w:val="00C72052"/>
    <w:rsid w:val="00C73819"/>
    <w:rsid w:val="00C75153"/>
    <w:rsid w:val="00C76458"/>
    <w:rsid w:val="00C76A09"/>
    <w:rsid w:val="00C84AD7"/>
    <w:rsid w:val="00C853E9"/>
    <w:rsid w:val="00C90D41"/>
    <w:rsid w:val="00C93538"/>
    <w:rsid w:val="00C9768F"/>
    <w:rsid w:val="00CA4BF3"/>
    <w:rsid w:val="00CB23EC"/>
    <w:rsid w:val="00CB4A5F"/>
    <w:rsid w:val="00CB7716"/>
    <w:rsid w:val="00CC3321"/>
    <w:rsid w:val="00CE3160"/>
    <w:rsid w:val="00D01AEE"/>
    <w:rsid w:val="00D363DC"/>
    <w:rsid w:val="00D379EC"/>
    <w:rsid w:val="00D44219"/>
    <w:rsid w:val="00D447B6"/>
    <w:rsid w:val="00D645EE"/>
    <w:rsid w:val="00D701FE"/>
    <w:rsid w:val="00D7683E"/>
    <w:rsid w:val="00D82250"/>
    <w:rsid w:val="00DB0BE6"/>
    <w:rsid w:val="00DC3B6C"/>
    <w:rsid w:val="00DE3FC4"/>
    <w:rsid w:val="00DE568D"/>
    <w:rsid w:val="00DF68CB"/>
    <w:rsid w:val="00DF73F9"/>
    <w:rsid w:val="00E10235"/>
    <w:rsid w:val="00E20920"/>
    <w:rsid w:val="00E213A8"/>
    <w:rsid w:val="00E23560"/>
    <w:rsid w:val="00E308A8"/>
    <w:rsid w:val="00E414B8"/>
    <w:rsid w:val="00E60DAD"/>
    <w:rsid w:val="00EA0803"/>
    <w:rsid w:val="00EA2025"/>
    <w:rsid w:val="00EA662D"/>
    <w:rsid w:val="00EC02E9"/>
    <w:rsid w:val="00EC10CA"/>
    <w:rsid w:val="00ED615F"/>
    <w:rsid w:val="00ED6FF0"/>
    <w:rsid w:val="00F068B3"/>
    <w:rsid w:val="00F14373"/>
    <w:rsid w:val="00F15916"/>
    <w:rsid w:val="00F2643F"/>
    <w:rsid w:val="00F31641"/>
    <w:rsid w:val="00F51C84"/>
    <w:rsid w:val="00F52C66"/>
    <w:rsid w:val="00F67A5C"/>
    <w:rsid w:val="00F72F2A"/>
    <w:rsid w:val="00FC1094"/>
    <w:rsid w:val="00FC1EA7"/>
    <w:rsid w:val="00FD1B4E"/>
    <w:rsid w:val="00FE0EF6"/>
    <w:rsid w:val="00FE239E"/>
    <w:rsid w:val="00FE5C10"/>
    <w:rsid w:val="00FF1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B3706E"/>
  <w15:chartTrackingRefBased/>
  <w15:docId w15:val="{FF01C76F-20C8-44DD-95B4-4EBA6476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D3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64D3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64D33"/>
    <w:pPr>
      <w:outlineLvl w:val="1"/>
    </w:pPr>
    <w:rPr>
      <w:sz w:val="28"/>
    </w:rPr>
  </w:style>
  <w:style w:type="paragraph" w:styleId="Heading3">
    <w:name w:val="heading 3"/>
    <w:basedOn w:val="Normal"/>
    <w:next w:val="Normal"/>
    <w:link w:val="Heading3Char"/>
    <w:uiPriority w:val="9"/>
    <w:unhideWhenUsed/>
    <w:qFormat/>
    <w:rsid w:val="00664D3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64D3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64D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664D3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664D3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664D3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64D3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3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64D3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64D3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64D3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64D33"/>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664D33"/>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664D33"/>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664D3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64D33"/>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664D3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64D33"/>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664D33"/>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664D33"/>
    <w:pPr>
      <w:tabs>
        <w:tab w:val="center" w:pos="4320"/>
        <w:tab w:val="right" w:pos="8640"/>
      </w:tabs>
    </w:pPr>
  </w:style>
  <w:style w:type="character" w:customStyle="1" w:styleId="HeaderChar">
    <w:name w:val="Header Char"/>
    <w:basedOn w:val="DefaultParagraphFont"/>
    <w:link w:val="Header"/>
    <w:uiPriority w:val="99"/>
    <w:rsid w:val="00664D3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64D33"/>
    <w:pPr>
      <w:tabs>
        <w:tab w:val="center" w:pos="4320"/>
        <w:tab w:val="right" w:pos="8640"/>
      </w:tabs>
    </w:pPr>
  </w:style>
  <w:style w:type="character" w:customStyle="1" w:styleId="FooterChar">
    <w:name w:val="Footer Char"/>
    <w:basedOn w:val="DefaultParagraphFont"/>
    <w:link w:val="Footer"/>
    <w:uiPriority w:val="99"/>
    <w:rsid w:val="00664D33"/>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664D33"/>
    <w:rPr>
      <w:noProof w:val="0"/>
    </w:rPr>
  </w:style>
  <w:style w:type="character" w:styleId="Hyperlink">
    <w:name w:val="Hyperlink"/>
    <w:basedOn w:val="DefaultParagraphFont"/>
    <w:uiPriority w:val="99"/>
    <w:unhideWhenUsed/>
    <w:rsid w:val="00664D33"/>
    <w:rPr>
      <w:noProof w:val="0"/>
      <w:color w:val="467886" w:themeColor="hyperlink"/>
      <w:u w:val="single"/>
    </w:rPr>
  </w:style>
  <w:style w:type="paragraph" w:styleId="Revision">
    <w:name w:val="Revision"/>
    <w:hidden/>
    <w:uiPriority w:val="99"/>
    <w:semiHidden/>
    <w:rsid w:val="00664D3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64D33"/>
    <w:pPr>
      <w:spacing w:after="120"/>
    </w:pPr>
    <w:rPr>
      <w:b/>
      <w:bCs/>
      <w:color w:val="FFFFFF"/>
      <w:sz w:val="32"/>
      <w:szCs w:val="32"/>
    </w:rPr>
  </w:style>
  <w:style w:type="paragraph" w:customStyle="1" w:styleId="Headline">
    <w:name w:val="Headline"/>
    <w:basedOn w:val="Normal"/>
    <w:next w:val="Normal"/>
    <w:link w:val="HeadlineChar"/>
    <w:qFormat/>
    <w:rsid w:val="00664D33"/>
    <w:rPr>
      <w:rFonts w:ascii="Segoe UI Semilight" w:hAnsi="Segoe UI Semilight" w:cs="Segoe UI Semilight"/>
      <w:b/>
      <w:bCs/>
      <w:color w:val="FFFFFF"/>
      <w:sz w:val="40"/>
      <w:szCs w:val="40"/>
    </w:rPr>
  </w:style>
  <w:style w:type="paragraph" w:customStyle="1" w:styleId="ExhibitTitle">
    <w:name w:val="Exhibit Title"/>
    <w:basedOn w:val="Normal"/>
    <w:qFormat/>
    <w:rsid w:val="00664D3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64D33"/>
    <w:pPr>
      <w:shd w:val="clear" w:color="auto" w:fill="D6E2FA"/>
      <w:spacing w:after="0"/>
    </w:pPr>
    <w:rPr>
      <w:color w:val="595959" w:themeColor="text1" w:themeTint="A6"/>
      <w:sz w:val="18"/>
    </w:rPr>
  </w:style>
  <w:style w:type="paragraph" w:customStyle="1" w:styleId="ExhibitSource">
    <w:name w:val="Exhibit Source"/>
    <w:next w:val="Normal"/>
    <w:qFormat/>
    <w:rsid w:val="00664D3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664D33"/>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664D33"/>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64D33"/>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664D3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64D33"/>
    <w:rPr>
      <w:rFonts w:ascii="Segoe UI" w:hAnsi="Segoe UI" w:cs="Segoe UI"/>
      <w:noProof w:val="0"/>
      <w:color w:val="000000" w:themeColor="text1"/>
    </w:rPr>
  </w:style>
  <w:style w:type="paragraph" w:customStyle="1" w:styleId="Summary">
    <w:name w:val="Summary"/>
    <w:basedOn w:val="Normal"/>
    <w:link w:val="SummaryChar"/>
    <w:qFormat/>
    <w:rsid w:val="00664D33"/>
    <w:pPr>
      <w:numPr>
        <w:numId w:val="1"/>
      </w:numPr>
      <w:ind w:left="1797" w:hanging="357"/>
    </w:pPr>
    <w:rPr>
      <w:kern w:val="2"/>
      <w:sz w:val="22"/>
      <w14:ligatures w14:val="standardContextual"/>
    </w:rPr>
  </w:style>
  <w:style w:type="paragraph" w:customStyle="1" w:styleId="TableData">
    <w:name w:val="Table Data"/>
    <w:link w:val="TableDataChar"/>
    <w:qFormat/>
    <w:rsid w:val="00664D3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64D3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64D3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664D3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664D3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664D3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664D3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64D3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64D33"/>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64D3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64D33"/>
    <w:rPr>
      <w:color w:val="003469"/>
    </w:rPr>
  </w:style>
  <w:style w:type="character" w:customStyle="1" w:styleId="RepeatingFooterChar">
    <w:name w:val="Repeating Footer Char"/>
    <w:basedOn w:val="FooterChar"/>
    <w:link w:val="RepeatingFooter"/>
    <w:rsid w:val="00664D3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64D3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64D33"/>
    <w:rPr>
      <w:b/>
      <w:bCs/>
      <w:noProof w:val="0"/>
    </w:rPr>
  </w:style>
  <w:style w:type="character" w:customStyle="1" w:styleId="Italics">
    <w:name w:val="Italics"/>
    <w:uiPriority w:val="1"/>
    <w:qFormat/>
    <w:rsid w:val="00664D33"/>
    <w:rPr>
      <w:i/>
      <w:iCs/>
      <w:noProof w:val="0"/>
    </w:rPr>
  </w:style>
  <w:style w:type="table" w:customStyle="1" w:styleId="TableGridHeader">
    <w:name w:val="Table Grid Header"/>
    <w:basedOn w:val="TableNormal"/>
    <w:uiPriority w:val="99"/>
    <w:rsid w:val="00664D3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y.oxfordeconomics.com/reportaction/82c78c4b281F426bb3f52b/Toc"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pentagroup.com/" TargetMode="External"/><Relationship Id="rId25" Type="http://schemas.openxmlformats.org/officeDocument/2006/relationships/image" Target="media/image8.svg"/><Relationship Id="rId2" Type="http://schemas.openxmlformats.org/officeDocument/2006/relationships/styles" Target="styles.xml"/><Relationship Id="rId16" Type="http://schemas.openxmlformats.org/officeDocument/2006/relationships/hyperlink" Target="https://my.oxfordeconomics.com/reportaction/82c78c4b281F426bb3f52b/Toc" TargetMode="External"/><Relationship Id="rId20" Type="http://schemas.openxmlformats.org/officeDocument/2006/relationships/hyperlink" Target="https://www.bankofengland.co.uk/agents-summary/2024/2024-q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my.oxfordeconomics.com/reportaction/33cD9011393842C79AdA94/Toc" TargetMode="External"/><Relationship Id="rId23" Type="http://schemas.openxmlformats.org/officeDocument/2006/relationships/hyperlink" Target="https://my.oxfordeconomics.com/reports/429FE854688A40D590dE31/UKRecentdatawilllike"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my.oxfordeconomics.com/reportaction/903FCbC90a31440685986c/Toc" TargetMode="External"/><Relationship Id="rId22" Type="http://schemas.openxmlformats.org/officeDocument/2006/relationships/hyperlink" Target="https://www.bankofengland.co.uk/speech/2025/january/alan-taylor-speech-at-leeds-university-inflation-dynamics-and-outlook" TargetMode="Externa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5524FE69-7804-448B-AF6F-6901763A501B}"/>
      </w:docPartPr>
      <w:docPartBody>
        <w:p w:rsidR="00307EFC" w:rsidRDefault="00307EFC">
          <w:r w:rsidRPr="00EA306E">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FC"/>
    <w:rsid w:val="000E4E1F"/>
    <w:rsid w:val="0016377B"/>
    <w:rsid w:val="00307EFC"/>
    <w:rsid w:val="003D715E"/>
    <w:rsid w:val="00612BDE"/>
    <w:rsid w:val="00886A3D"/>
    <w:rsid w:val="00AA7FE6"/>
    <w:rsid w:val="00AB7161"/>
    <w:rsid w:val="00C738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1447</Words>
  <Characters>7366</Characters>
  <Application>Microsoft Office Word</Application>
  <DocSecurity>0</DocSecurity>
  <Lines>99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dcterms:created xsi:type="dcterms:W3CDTF">2025-01-29T19:50:00Z</dcterms:created>
  <dcterms:modified xsi:type="dcterms:W3CDTF">2025-01-30T10:19:00Z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v0.8.1.0</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2025-01-30T09:25:21.000Z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Briefing\20250130 RB UK MPC preview - Charts.xlsx,Z:\UK Team\UK Research Briefing\20250121 RB UK Labour market - Data problems - Penta.xlsx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OEP_PRODUCT_CODE">
    <vt:lpwstr>0303C4A597FC42FfaC3B1e</vt:lpwstr>
  </property>
  <property fmtid="{D5CDD505-2E9C-101B-9397-08002B2CF9AE}" pid="18" name="OEP_PUBLISH_DATE">
    <vt:lpwstr/>
  </property>
</Properties>
</file>