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A56EF" w14:textId="23367853" w:rsidR="007E3DDA" w:rsidRDefault="00D25D51" w:rsidP="003114CE">
      <w:pPr>
        <w:pStyle w:val="Bullet"/>
        <w:pBdr>
          <w:bottom w:val="single" w:sz="48" w:space="0" w:color="F2F2F2" w:themeColor="background1" w:themeShade="F2"/>
        </w:pBdr>
      </w:pPr>
      <w:r>
        <w:t xml:space="preserve">The UK is planning </w:t>
      </w:r>
      <w:r w:rsidR="001D50F6">
        <w:t xml:space="preserve">one of </w:t>
      </w:r>
      <w:r>
        <w:t>the largest fiscal consolidation</w:t>
      </w:r>
      <w:r w:rsidR="00634A89">
        <w:t>s</w:t>
      </w:r>
      <w:r>
        <w:t xml:space="preserve"> of any advanced economy over the next two years. We expect it to result in </w:t>
      </w:r>
      <w:r w:rsidR="00D34322">
        <w:t xml:space="preserve">much </w:t>
      </w:r>
      <w:r>
        <w:t>weak</w:t>
      </w:r>
      <w:r w:rsidR="00D34322">
        <w:t>er</w:t>
      </w:r>
      <w:r>
        <w:t xml:space="preserve"> GDP growth</w:t>
      </w:r>
      <w:r w:rsidR="00D34322">
        <w:t xml:space="preserve"> than the Office for Budget Responsibility forecasts</w:t>
      </w:r>
      <w:r>
        <w:t xml:space="preserve"> and</w:t>
      </w:r>
      <w:r w:rsidR="00634A89">
        <w:t xml:space="preserve"> think</w:t>
      </w:r>
      <w:r>
        <w:t xml:space="preserve"> the government's balance sheet is still likely to deteriorate</w:t>
      </w:r>
      <w:r w:rsidR="00B45554">
        <w:t>.</w:t>
      </w:r>
    </w:p>
    <w:p w14:paraId="39D15517" w14:textId="66EB631F" w:rsidR="00BB3C14" w:rsidRDefault="00BB3C14" w:rsidP="003114CE">
      <w:pPr>
        <w:pStyle w:val="Bullet"/>
        <w:pBdr>
          <w:bottom w:val="single" w:sz="48" w:space="0" w:color="F2F2F2" w:themeColor="background1" w:themeShade="F2"/>
        </w:pBdr>
      </w:pPr>
      <w:r>
        <w:t xml:space="preserve">The evidence suggests </w:t>
      </w:r>
      <w:r w:rsidR="005B7904">
        <w:t>consolidations</w:t>
      </w:r>
      <w:r>
        <w:t xml:space="preserve"> need to be carefully designed to</w:t>
      </w:r>
      <w:r w:rsidR="00423C94">
        <w:t xml:space="preserve"> </w:t>
      </w:r>
      <w:r>
        <w:t>succe</w:t>
      </w:r>
      <w:r w:rsidR="00423C94">
        <w:t>ed</w:t>
      </w:r>
      <w:r>
        <w:t>, especially if the global economic climate is uncertain. Around half of fiscal adjustments fail</w:t>
      </w:r>
      <w:r w:rsidR="00634A89">
        <w:t>,</w:t>
      </w:r>
      <w:r>
        <w:t xml:space="preserve"> and even successful</w:t>
      </w:r>
      <w:r w:rsidR="00423C94">
        <w:t xml:space="preserve"> ones</w:t>
      </w:r>
      <w:r>
        <w:t xml:space="preserve"> often rely on policies like expansionary monetary policy</w:t>
      </w:r>
      <w:r w:rsidR="00290E58">
        <w:t>,</w:t>
      </w:r>
      <w:r>
        <w:t xml:space="preserve"> structural reforms</w:t>
      </w:r>
      <w:r w:rsidR="00290E58">
        <w:t>,</w:t>
      </w:r>
      <w:r>
        <w:t xml:space="preserve"> the compression of large risk premia</w:t>
      </w:r>
      <w:r w:rsidR="003C59EB">
        <w:t>,</w:t>
      </w:r>
      <w:r>
        <w:t xml:space="preserve"> and boosts to private sector confidence via 'credibility effects'.</w:t>
      </w:r>
    </w:p>
    <w:p w14:paraId="70AAF61C" w14:textId="2A42AE65" w:rsidR="00BB3C14" w:rsidRDefault="00634A89" w:rsidP="003114CE">
      <w:pPr>
        <w:pStyle w:val="Bullet"/>
        <w:pBdr>
          <w:bottom w:val="single" w:sz="48" w:space="0" w:color="F2F2F2" w:themeColor="background1" w:themeShade="F2"/>
        </w:pBdr>
      </w:pPr>
      <w:r>
        <w:t>C</w:t>
      </w:r>
      <w:r w:rsidR="00146153">
        <w:t>onsolidations</w:t>
      </w:r>
      <w:r w:rsidR="008F02C0">
        <w:t xml:space="preserve"> based on </w:t>
      </w:r>
      <w:r w:rsidR="0037798A">
        <w:t>cutting</w:t>
      </w:r>
      <w:r w:rsidR="008F02C0">
        <w:t xml:space="preserve"> government spending are more likely to </w:t>
      </w:r>
      <w:r w:rsidR="0037798A">
        <w:t>reduce deficits</w:t>
      </w:r>
      <w:r w:rsidR="008F02C0">
        <w:t xml:space="preserve"> and are associated with better growth outcomes. The failure rate for adjustments based on revenue raising is high</w:t>
      </w:r>
      <w:r w:rsidR="00146153">
        <w:t xml:space="preserve">, given the risk of </w:t>
      </w:r>
      <w:r w:rsidR="001A4B68">
        <w:t>dampening</w:t>
      </w:r>
      <w:r w:rsidR="00146153">
        <w:t xml:space="preserve"> growth prospects without</w:t>
      </w:r>
      <w:r w:rsidR="00146153" w:rsidRPr="00146153">
        <w:t xml:space="preserve"> yielding </w:t>
      </w:r>
      <w:r w:rsidR="005839CA">
        <w:t xml:space="preserve">material </w:t>
      </w:r>
      <w:r w:rsidR="00146153" w:rsidRPr="00146153">
        <w:t>improvements to the public finances</w:t>
      </w:r>
      <w:r w:rsidR="00146153">
        <w:t>.</w:t>
      </w:r>
    </w:p>
    <w:p w14:paraId="66683BC9" w14:textId="2C020661" w:rsidR="003114CE" w:rsidRDefault="00634A89" w:rsidP="00D57DD7">
      <w:pPr>
        <w:pStyle w:val="Bullet"/>
        <w:pBdr>
          <w:bottom w:val="single" w:sz="48" w:space="0" w:color="F2F2F2" w:themeColor="background1" w:themeShade="F2"/>
        </w:pBdr>
      </w:pPr>
      <w:r>
        <w:t>We believe t</w:t>
      </w:r>
      <w:r w:rsidR="00601FF8">
        <w:t xml:space="preserve">he design of the UK's fiscal adjustment looks out of line with these historical lessons. </w:t>
      </w:r>
      <w:r w:rsidR="00D918B3">
        <w:t>Roughly</w:t>
      </w:r>
      <w:r w:rsidR="00601FF8">
        <w:t xml:space="preserve"> 8</w:t>
      </w:r>
      <w:r w:rsidR="001A4B68">
        <w:t>0</w:t>
      </w:r>
      <w:r w:rsidR="00601FF8">
        <w:t xml:space="preserve">% of the planned cut in the structural </w:t>
      </w:r>
      <w:r w:rsidR="00A13B83">
        <w:t xml:space="preserve">primary </w:t>
      </w:r>
      <w:r w:rsidR="00601FF8">
        <w:t xml:space="preserve">deficit is based on revenue-raising measures </w:t>
      </w:r>
      <w:r w:rsidR="003114CE">
        <w:t>–</w:t>
      </w:r>
      <w:r w:rsidR="00601FF8">
        <w:t xml:space="preserve"> a policy mix that is similar to that seen in unsuccessful adjustments</w:t>
      </w:r>
      <w:r w:rsidR="00423C94">
        <w:t>.</w:t>
      </w:r>
      <w:r w:rsidR="003114CE">
        <w:t xml:space="preserve"> </w:t>
      </w:r>
      <w:r w:rsidR="00D57DD7">
        <w:t>A</w:t>
      </w:r>
      <w:r w:rsidR="00601FF8">
        <w:t xml:space="preserve">ccompanying policies </w:t>
      </w:r>
      <w:r w:rsidR="0001030E">
        <w:t xml:space="preserve">don't appear </w:t>
      </w:r>
      <w:r w:rsidR="00AC52DE">
        <w:t xml:space="preserve">particularly </w:t>
      </w:r>
      <w:r w:rsidR="0001030E">
        <w:t>supportive</w:t>
      </w:r>
      <w:r w:rsidR="005839CA">
        <w:t xml:space="preserve"> of successful adjustment either</w:t>
      </w:r>
      <w:r w:rsidR="00D57DD7">
        <w:t xml:space="preserve"> –</w:t>
      </w:r>
      <w:r w:rsidR="00601FF8">
        <w:t xml:space="preserve"> </w:t>
      </w:r>
      <w:r w:rsidR="00D57DD7">
        <w:t>g</w:t>
      </w:r>
      <w:r w:rsidR="00601FF8">
        <w:t>rowth-boosting structural reforms look minor</w:t>
      </w:r>
      <w:r w:rsidR="00771E98">
        <w:t>,</w:t>
      </w:r>
      <w:r w:rsidR="00AC52DE">
        <w:t xml:space="preserve"> </w:t>
      </w:r>
      <w:r w:rsidR="0001030E">
        <w:t>monetary policy conditions are likely to remain restrictive for a prolonged period</w:t>
      </w:r>
      <w:r w:rsidR="00771E98">
        <w:t>, and trade policy uncertainty is set to rise</w:t>
      </w:r>
      <w:r w:rsidR="0001030E">
        <w:t>.</w:t>
      </w:r>
      <w:r w:rsidR="00601FF8">
        <w:t xml:space="preserve"> </w:t>
      </w:r>
    </w:p>
    <w:p w14:paraId="1EDFCA86" w14:textId="26793F4F" w:rsidR="001D50F6" w:rsidRDefault="00D57DD7" w:rsidP="00D57DD7">
      <w:pPr>
        <w:pStyle w:val="Bullet"/>
        <w:pBdr>
          <w:bottom w:val="single" w:sz="48" w:space="0" w:color="F2F2F2" w:themeColor="background1" w:themeShade="F2"/>
        </w:pBdr>
      </w:pPr>
      <w:r w:rsidRPr="00D57DD7">
        <w:t>Yet</w:t>
      </w:r>
      <w:r w:rsidR="00634A89">
        <w:t>,</w:t>
      </w:r>
      <w:r w:rsidRPr="00D57DD7">
        <w:t xml:space="preserve"> with current plans already involving real terms </w:t>
      </w:r>
      <w:r>
        <w:t xml:space="preserve">spending </w:t>
      </w:r>
      <w:r w:rsidRPr="00D57DD7">
        <w:t>cuts for unprotected government departments, the</w:t>
      </w:r>
      <w:r w:rsidR="00A13B83">
        <w:t>re's</w:t>
      </w:r>
      <w:r w:rsidRPr="00D57DD7">
        <w:t xml:space="preserve"> limited scope </w:t>
      </w:r>
      <w:r w:rsidR="00A13B83">
        <w:t xml:space="preserve">for the Chancellor </w:t>
      </w:r>
      <w:r w:rsidRPr="00D57DD7">
        <w:t>to pursue a path</w:t>
      </w:r>
      <w:r>
        <w:t xml:space="preserve"> that more closely aligns with international best practice</w:t>
      </w:r>
      <w:r w:rsidRPr="00D57DD7">
        <w:t>.</w:t>
      </w:r>
      <w:r w:rsidR="00A13B83">
        <w:t xml:space="preserve"> </w:t>
      </w:r>
      <w:r w:rsidR="00A13B83">
        <w:t>T</w:t>
      </w:r>
      <w:r w:rsidR="00A13B83">
        <w:t>his</w:t>
      </w:r>
      <w:r w:rsidR="00A13B83">
        <w:t xml:space="preserve"> serves to</w:t>
      </w:r>
      <w:r w:rsidR="00A13B83">
        <w:t xml:space="preserve"> highlight the need for the current government to make tangible progress towards improving public sector productivity</w:t>
      </w:r>
      <w:r w:rsidR="00EF7038">
        <w:t xml:space="preserve"> in order to</w:t>
      </w:r>
      <w:r w:rsidR="00A13B83">
        <w:t xml:space="preserve"> lower future spending requirements.</w:t>
      </w:r>
    </w:p>
    <w:p w14:paraId="60AD9C6E" w14:textId="7DC68676" w:rsidR="007B19F3" w:rsidRDefault="007B19F3" w:rsidP="001D50F6">
      <w:pPr>
        <w:pStyle w:val="ExhibitTitle"/>
        <w:jc w:val="center"/>
      </w:pPr>
      <w:bookmarkStart w:id="0" w:name="_Ref190243296"/>
      <w:r>
        <w:t xml:space="preserve">Chart </w:t>
      </w:r>
      <w:r>
        <w:fldChar w:fldCharType="begin"/>
      </w:r>
      <w:r w:rsidR="001D50F6">
        <w:instrText>SEQ CHART</w:instrText>
      </w:r>
      <w:r>
        <w:fldChar w:fldCharType="separate"/>
      </w:r>
      <w:r w:rsidR="001D50F6">
        <w:rPr>
          <w:noProof/>
        </w:rPr>
        <w:t>1</w:t>
      </w:r>
      <w:r>
        <w:fldChar w:fldCharType="end"/>
      </w:r>
      <w:bookmarkEnd w:id="0"/>
      <w:r>
        <w:t xml:space="preserve">: </w:t>
      </w:r>
      <w:r w:rsidR="009D0DF8">
        <w:t>The UK's planned fiscal tightening is very large by international standards</w:t>
      </w:r>
    </w:p>
    <w:p w14:paraId="4761D5CF" w14:textId="2D045E7F" w:rsidR="001D50F6" w:rsidRDefault="001D50F6" w:rsidP="001D50F6">
      <w:pPr>
        <w:spacing w:after="0"/>
        <w:jc w:val="center"/>
        <w:rPr>
          <w:noProof/>
        </w:rPr>
      </w:pPr>
      <w:r>
        <w:rPr>
          <w:noProof/>
        </w:rPr>
        <w:drawing>
          <wp:inline distT="0" distB="0" distL="0" distR="0" wp14:anchorId="1BAA05E1" wp14:editId="1910878E">
            <wp:extent cx="4006964" cy="3132464"/>
            <wp:effectExtent l="0" t="0" r="0" b="0"/>
            <wp:docPr id="160570790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7904" name=""/>
                    <pic:cNvPicPr/>
                  </pic:nvPicPr>
                  <pic:blipFill>
                    <a:blip r:embed="rId7">
                      <a:extLst>
                        <a:ext uri="{96DAC541-7B7A-43D3-8B79-37D633B846F1}">
                          <asvg:svgBlip xmlns:asvg="http://schemas.microsoft.com/office/drawing/2016/SVG/main" r:embed="rId8"/>
                        </a:ext>
                      </a:extLst>
                    </a:blip>
                    <a:srcRect b="2283"/>
                    <a:stretch>
                      <a:fillRect/>
                    </a:stretch>
                  </pic:blipFill>
                  <pic:spPr>
                    <a:xfrm>
                      <a:off x="0" y="0"/>
                      <a:ext cx="4006964" cy="3132464"/>
                    </a:xfrm>
                    <a:prstGeom prst="rect">
                      <a:avLst/>
                    </a:prstGeom>
                  </pic:spPr>
                </pic:pic>
              </a:graphicData>
            </a:graphic>
          </wp:inline>
        </w:drawing>
      </w:r>
    </w:p>
    <w:p w14:paraId="4FB7BDEB" w14:textId="4A14D30B" w:rsidR="007B19F3" w:rsidRDefault="001D50F6" w:rsidP="001D50F6">
      <w:pPr>
        <w:pStyle w:val="ExhibitSource"/>
        <w:jc w:val="center"/>
      </w:pPr>
      <w:r>
        <w:t>Source: Oxford Economics, Haver Analytics</w:t>
      </w:r>
    </w:p>
    <w:p w14:paraId="370965FE" w14:textId="62BB8A5B" w:rsidR="007B19F3" w:rsidRDefault="007B19F3" w:rsidP="007B19F3">
      <w:pPr>
        <w:pStyle w:val="ExhibitSource"/>
        <w:jc w:val="center"/>
        <w:sectPr w:rsidR="007B19F3" w:rsidSect="001D50F6">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1218" w:left="1134" w:header="708" w:footer="300" w:gutter="0"/>
          <w:cols w:space="708"/>
          <w:titlePg/>
          <w:docGrid w:linePitch="360"/>
        </w:sectPr>
      </w:pPr>
    </w:p>
    <w:p w14:paraId="5212D9FF" w14:textId="482F9CAA" w:rsidR="00832677" w:rsidRDefault="00671FFA" w:rsidP="00A520D1">
      <w:pPr>
        <w:pStyle w:val="Heading3"/>
      </w:pPr>
      <w:r>
        <w:lastRenderedPageBreak/>
        <w:t xml:space="preserve">The </w:t>
      </w:r>
      <w:r w:rsidR="00832677">
        <w:t xml:space="preserve">UK </w:t>
      </w:r>
      <w:r w:rsidR="00634A89">
        <w:t xml:space="preserve">is </w:t>
      </w:r>
      <w:r w:rsidR="00832677">
        <w:t>plan</w:t>
      </w:r>
      <w:r w:rsidR="00634A89">
        <w:t>ning</w:t>
      </w:r>
      <w:r w:rsidR="00832677">
        <w:t xml:space="preserve"> a substantial tax-driven consolidation</w:t>
      </w:r>
    </w:p>
    <w:p w14:paraId="448CFCFB" w14:textId="685593CF" w:rsidR="00A85980" w:rsidRDefault="00A85980" w:rsidP="00A85980">
      <w:r>
        <w:t xml:space="preserve">Much of the media commentary around </w:t>
      </w:r>
      <w:hyperlink r:id="rId15" w:history="1">
        <w:r w:rsidR="00394437" w:rsidRPr="00EE124F">
          <w:rPr>
            <w:rStyle w:val="Hyperlink"/>
          </w:rPr>
          <w:t>October's Budget</w:t>
        </w:r>
      </w:hyperlink>
      <w:r>
        <w:t xml:space="preserve"> focused on the fact that policy was being loosened compared to the plans inherited from the previous government</w:t>
      </w:r>
      <w:r w:rsidR="00394437">
        <w:t xml:space="preserve">. </w:t>
      </w:r>
      <w:r w:rsidR="00543A06">
        <w:t>B</w:t>
      </w:r>
      <w:r>
        <w:t xml:space="preserve">ut this ignored the fact that the previous plans assumed a large tightening of fiscal policy. </w:t>
      </w:r>
      <w:r w:rsidR="00543A06">
        <w:t xml:space="preserve">At </w:t>
      </w:r>
      <w:r w:rsidR="00E0118E">
        <w:t>2.8</w:t>
      </w:r>
      <w:r w:rsidR="00543A06">
        <w:t>% of GDP over the course of the parliament</w:t>
      </w:r>
      <w:r>
        <w:t xml:space="preserve">, the </w:t>
      </w:r>
      <w:r w:rsidR="00543A06">
        <w:t xml:space="preserve">current </w:t>
      </w:r>
      <w:r>
        <w:t>plans imply that the UK will undergo</w:t>
      </w:r>
      <w:r w:rsidR="00E0118E">
        <w:t xml:space="preserve"> one of</w:t>
      </w:r>
      <w:r>
        <w:t xml:space="preserve"> </w:t>
      </w:r>
      <w:r w:rsidR="00543A06">
        <w:t>the largest fiscal consolidation</w:t>
      </w:r>
      <w:r w:rsidR="00634A89">
        <w:t>s</w:t>
      </w:r>
      <w:r w:rsidR="00543A06">
        <w:t xml:space="preserve"> of the advanced economies</w:t>
      </w:r>
      <w:r w:rsidR="00694A36">
        <w:t xml:space="preserve">, with most of the tightening due to occur in 2025 and 2026 </w:t>
      </w:r>
      <w:r>
        <w:t>(</w:t>
      </w:r>
      <w:r w:rsidR="001C32C8" w:rsidRPr="00A520D1">
        <w:rPr>
          <w:b/>
          <w:color w:val="003469"/>
        </w:rPr>
        <w:fldChar w:fldCharType="begin"/>
      </w:r>
      <w:r w:rsidR="00A520D1" w:rsidRPr="00A520D1">
        <w:rPr>
          <w:b/>
          <w:color w:val="003469"/>
        </w:rPr>
        <w:instrText xml:space="preserve">REF _Ref190243296 \h \* Charformat </w:instrText>
      </w:r>
      <w:r w:rsidR="001C32C8" w:rsidRPr="00A520D1">
        <w:rPr>
          <w:b/>
          <w:color w:val="003469"/>
        </w:rPr>
      </w:r>
      <w:r w:rsidR="001C32C8" w:rsidRPr="00A520D1">
        <w:rPr>
          <w:b/>
          <w:color w:val="003469"/>
        </w:rPr>
        <w:fldChar w:fldCharType="separate"/>
      </w:r>
      <w:r w:rsidR="00A520D1" w:rsidRPr="00A520D1">
        <w:rPr>
          <w:b/>
          <w:color w:val="003469"/>
        </w:rPr>
        <w:t>Chart 1</w:t>
      </w:r>
      <w:r w:rsidR="001C32C8" w:rsidRPr="00A520D1">
        <w:rPr>
          <w:b/>
          <w:color w:val="003469"/>
        </w:rPr>
        <w:fldChar w:fldCharType="end"/>
      </w:r>
      <w:r>
        <w:t>).</w:t>
      </w:r>
    </w:p>
    <w:p w14:paraId="063445E5" w14:textId="37FE9A9D" w:rsidR="002F4C41" w:rsidRDefault="00164DCA" w:rsidP="002F4C41">
      <w:r>
        <w:t>The bulk of th</w:t>
      </w:r>
      <w:r w:rsidR="003F13E6">
        <w:t xml:space="preserve">e tightening </w:t>
      </w:r>
      <w:r w:rsidR="00634A89">
        <w:t xml:space="preserve">during </w:t>
      </w:r>
      <w:r w:rsidR="003F13E6">
        <w:t>this parliament</w:t>
      </w:r>
      <w:r>
        <w:t xml:space="preserve"> is set to come from higher tax</w:t>
      </w:r>
      <w:r w:rsidR="00CB3B19">
        <w:t>es.</w:t>
      </w:r>
      <w:r w:rsidR="0069667C">
        <w:t xml:space="preserve"> </w:t>
      </w:r>
      <w:r w:rsidR="00EA67E1">
        <w:t>There are</w:t>
      </w:r>
      <w:r w:rsidR="0069667C">
        <w:t xml:space="preserve"> two main sources of higher tax revenues</w:t>
      </w:r>
      <w:r w:rsidR="00EA67E1">
        <w:t>.</w:t>
      </w:r>
      <w:r w:rsidR="00CB3B19">
        <w:t xml:space="preserve"> </w:t>
      </w:r>
      <w:r w:rsidR="0069667C">
        <w:t>M</w:t>
      </w:r>
      <w:r w:rsidR="0094180C">
        <w:t xml:space="preserve">ost personal tax thresholds and allowances have been frozen in cash terms since April 2021 and are currently set to remain frozen until the end of FY2027-2028. </w:t>
      </w:r>
      <w:r w:rsidR="00EA67E1">
        <w:t xml:space="preserve">And </w:t>
      </w:r>
      <w:r w:rsidR="00D4447C">
        <w:t>e</w:t>
      </w:r>
      <w:r w:rsidR="00D4447C">
        <w:t>mployers'</w:t>
      </w:r>
      <w:r w:rsidR="0094180C">
        <w:t xml:space="preserve"> national insurance contributions </w:t>
      </w:r>
      <w:r w:rsidR="00D4447C">
        <w:t>will rise in</w:t>
      </w:r>
      <w:r w:rsidR="0094180C">
        <w:t xml:space="preserve"> April 2025, </w:t>
      </w:r>
      <w:r w:rsidR="00D4447C">
        <w:t>with</w:t>
      </w:r>
      <w:r w:rsidR="002F4C41">
        <w:t xml:space="preserve"> the main rate </w:t>
      </w:r>
      <w:r w:rsidR="00D4447C">
        <w:t>increasing</w:t>
      </w:r>
      <w:r w:rsidR="002F4C41">
        <w:t xml:space="preserve"> by 1.2ppts to 15%, </w:t>
      </w:r>
      <w:r w:rsidR="00D4447C">
        <w:t xml:space="preserve">and </w:t>
      </w:r>
      <w:r w:rsidR="002F4C41">
        <w:t xml:space="preserve">the threshold at which firms must start paying </w:t>
      </w:r>
      <w:r w:rsidR="00D4447C">
        <w:t xml:space="preserve">the tax </w:t>
      </w:r>
      <w:r w:rsidR="00875CBE">
        <w:t>will be cut</w:t>
      </w:r>
      <w:r w:rsidR="002F4C41">
        <w:t xml:space="preserve"> to £5,000 from £9,100.</w:t>
      </w:r>
    </w:p>
    <w:p w14:paraId="43F6E558" w14:textId="673A59F3" w:rsidR="0094180C" w:rsidRDefault="002F4C41" w:rsidP="00EC7E6D">
      <w:r>
        <w:t xml:space="preserve">On the spending side, </w:t>
      </w:r>
      <w:r w:rsidR="00742908">
        <w:t>overall departmental spending is set to increase by just 1.5% a year in real terms</w:t>
      </w:r>
      <w:r w:rsidR="00BC3DF9">
        <w:t xml:space="preserve"> until FY2029-2030</w:t>
      </w:r>
      <w:r w:rsidR="00742908">
        <w:t>. A multi-year Spending Review is due to be published in the summer, which will set out specific departmental allocations</w:t>
      </w:r>
      <w:r w:rsidR="00777632">
        <w:t>. The OBR has calculated that un</w:t>
      </w:r>
      <w:r w:rsidR="00845A49">
        <w:t>protected departments</w:t>
      </w:r>
      <w:r w:rsidR="00777632">
        <w:t xml:space="preserve"> are </w:t>
      </w:r>
      <w:r w:rsidR="000B543C">
        <w:t>likely to experience real terms cuts</w:t>
      </w:r>
      <w:r w:rsidR="00845A49">
        <w:t xml:space="preserve">. </w:t>
      </w:r>
      <w:r w:rsidR="00EC6E78">
        <w:t xml:space="preserve">Meanwhile, capital spending is on course to remain broadly flat as a percentage of GDP, </w:t>
      </w:r>
      <w:r w:rsidR="00D82890">
        <w:t xml:space="preserve">though this </w:t>
      </w:r>
      <w:r w:rsidR="00EC6E78">
        <w:t>is already relatively low by international standards</w:t>
      </w:r>
      <w:r w:rsidR="00396ED7">
        <w:t>.</w:t>
      </w:r>
    </w:p>
    <w:p w14:paraId="7D36087B" w14:textId="12E44C29" w:rsidR="00B87BF2" w:rsidRDefault="008E4439" w:rsidP="00EC7E6D">
      <w:r>
        <w:t>T</w:t>
      </w:r>
      <w:r w:rsidR="000761B5">
        <w:t>he structural primary balance, which excludes the impact of debt interest payments, points to a tightening of around 2.8% of potential GDP in the current parliament, which is some way above the 1.9% consolidation seen during the FY2010-2015 episode</w:t>
      </w:r>
      <w:r w:rsidR="006475FE">
        <w:t xml:space="preserve"> (</w:t>
      </w:r>
      <w:r w:rsidR="00451061" w:rsidRPr="00A520D1">
        <w:rPr>
          <w:b/>
          <w:color w:val="003469"/>
        </w:rPr>
        <w:fldChar w:fldCharType="begin"/>
      </w:r>
      <w:r w:rsidR="00A520D1" w:rsidRPr="00A520D1">
        <w:rPr>
          <w:b/>
          <w:color w:val="003469"/>
        </w:rPr>
        <w:instrText xml:space="preserve">REF _Ref190243297 \h \* Charformat </w:instrText>
      </w:r>
      <w:r w:rsidR="00451061" w:rsidRPr="00A520D1">
        <w:rPr>
          <w:b/>
          <w:color w:val="003469"/>
        </w:rPr>
      </w:r>
      <w:r w:rsidR="00451061" w:rsidRPr="00A520D1">
        <w:rPr>
          <w:b/>
          <w:color w:val="003469"/>
        </w:rPr>
        <w:fldChar w:fldCharType="separate"/>
      </w:r>
      <w:r w:rsidR="00A520D1" w:rsidRPr="00A520D1">
        <w:rPr>
          <w:b/>
          <w:color w:val="003469"/>
        </w:rPr>
        <w:t>Chart 2</w:t>
      </w:r>
      <w:r w:rsidR="00451061" w:rsidRPr="00A520D1">
        <w:rPr>
          <w:b/>
          <w:color w:val="003469"/>
        </w:rPr>
        <w:fldChar w:fldCharType="end"/>
      </w:r>
      <w:r w:rsidR="006475FE">
        <w:t>)</w:t>
      </w:r>
      <w:r w:rsidR="000761B5">
        <w:t xml:space="preserve">. </w:t>
      </w:r>
      <w:r>
        <w:t xml:space="preserve">It should be noted that the actual consolidation in FY2010-2015 turned out differently compared with initial plans, </w:t>
      </w:r>
      <w:r w:rsidR="00AD78A2">
        <w:t xml:space="preserve">and </w:t>
      </w:r>
      <w:r>
        <w:t xml:space="preserve">this </w:t>
      </w:r>
      <w:r w:rsidR="00AD78A2">
        <w:t>was</w:t>
      </w:r>
      <w:r>
        <w:t xml:space="preserve"> partly due to a drop in debt interest payments. </w:t>
      </w:r>
    </w:p>
    <w:p w14:paraId="61244AB9" w14:textId="29970064" w:rsidR="007B19F3" w:rsidRDefault="007B19F3" w:rsidP="00A520D1">
      <w:pPr>
        <w:pStyle w:val="ExhibitTitle"/>
      </w:pPr>
      <w:bookmarkStart w:id="1" w:name="_Ref190243297"/>
      <w:r>
        <w:t xml:space="preserve">Chart </w:t>
      </w:r>
      <w:r>
        <w:fldChar w:fldCharType="begin"/>
      </w:r>
      <w:r w:rsidR="009C6368">
        <w:instrText>SEQ CHART</w:instrText>
      </w:r>
      <w:r>
        <w:fldChar w:fldCharType="separate"/>
      </w:r>
      <w:r w:rsidR="001D50F6">
        <w:rPr>
          <w:noProof/>
        </w:rPr>
        <w:t>2</w:t>
      </w:r>
      <w:r>
        <w:fldChar w:fldCharType="end"/>
      </w:r>
      <w:bookmarkEnd w:id="1"/>
      <w:r>
        <w:t xml:space="preserve">: </w:t>
      </w:r>
      <w:r w:rsidR="000E2D37">
        <w:t>Hefty</w:t>
      </w:r>
      <w:r w:rsidR="009D0DF8">
        <w:t xml:space="preserve"> taxes rises mean policy will become more restrictive than during the </w:t>
      </w:r>
      <w:r w:rsidR="00AD78A2">
        <w:t>FY</w:t>
      </w:r>
      <w:r w:rsidR="009D0DF8">
        <w:t>2010-2015 episode</w:t>
      </w:r>
    </w:p>
    <w:p w14:paraId="4A41FEFF" w14:textId="1C3F5704" w:rsidR="009C6368" w:rsidRDefault="009C6368" w:rsidP="00A520D1">
      <w:pPr>
        <w:spacing w:after="0"/>
        <w:rPr>
          <w:noProof/>
        </w:rPr>
      </w:pPr>
      <w:r>
        <w:rPr>
          <w:noProof/>
        </w:rPr>
        <w:drawing>
          <wp:inline distT="0" distB="0" distL="0" distR="0" wp14:anchorId="44F9FEC8" wp14:editId="51073B44">
            <wp:extent cx="3250933" cy="2541433"/>
            <wp:effectExtent l="0" t="0" r="6985" b="0"/>
            <wp:docPr id="156186988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69886" name=""/>
                    <pic:cNvPicPr/>
                  </pic:nvPicPr>
                  <pic:blipFill>
                    <a:blip r:embed="rId16">
                      <a:extLst>
                        <a:ext uri="{96DAC541-7B7A-43D3-8B79-37D633B846F1}">
                          <asvg:svgBlip xmlns:asvg="http://schemas.microsoft.com/office/drawing/2016/SVG/main" r:embed="rId17"/>
                        </a:ext>
                      </a:extLst>
                    </a:blip>
                    <a:srcRect b="2283"/>
                    <a:stretch>
                      <a:fillRect/>
                    </a:stretch>
                  </pic:blipFill>
                  <pic:spPr>
                    <a:xfrm>
                      <a:off x="0" y="0"/>
                      <a:ext cx="3250933" cy="2541433"/>
                    </a:xfrm>
                    <a:prstGeom prst="rect">
                      <a:avLst/>
                    </a:prstGeom>
                  </pic:spPr>
                </pic:pic>
              </a:graphicData>
            </a:graphic>
          </wp:inline>
        </w:drawing>
      </w:r>
    </w:p>
    <w:p w14:paraId="0D0B4B95" w14:textId="21CA0DF4" w:rsidR="008B6B7B" w:rsidRDefault="009C6368" w:rsidP="00A520D1">
      <w:pPr>
        <w:pStyle w:val="ExhibitSource"/>
      </w:pPr>
      <w:r>
        <w:t>Source: Oxford Economics, Haver Analytics</w:t>
      </w:r>
    </w:p>
    <w:p w14:paraId="41159D70" w14:textId="66662141" w:rsidR="008E4439" w:rsidRPr="008E4439" w:rsidRDefault="008E4439" w:rsidP="008E4439">
      <w:r>
        <w:t>Our estimate of the fiscal adjustment in the current parliament is much higher than the Office for Budget Responsibility's October estimate of 2.2% over the same period</w:t>
      </w:r>
      <w:r w:rsidR="00AD78A2">
        <w:t>. T</w:t>
      </w:r>
      <w:r>
        <w:t>he discrepancy largely stem</w:t>
      </w:r>
      <w:r w:rsidR="00AD78A2">
        <w:t xml:space="preserve">s </w:t>
      </w:r>
      <w:r>
        <w:t>from our less optimistic outlook for potential output growth.</w:t>
      </w:r>
    </w:p>
    <w:p w14:paraId="11075786" w14:textId="56720D5B" w:rsidR="00893BC1" w:rsidRPr="00AA25ED" w:rsidRDefault="00AA25ED" w:rsidP="00A520D1">
      <w:pPr>
        <w:pStyle w:val="Heading3"/>
      </w:pPr>
      <w:r>
        <w:t>What makes for a successful fiscal adjustment? The evidence</w:t>
      </w:r>
    </w:p>
    <w:p w14:paraId="6AEC1638" w14:textId="55E0BD2C" w:rsidR="005B5180" w:rsidRDefault="009913B3" w:rsidP="007B19F3">
      <w:r>
        <w:t xml:space="preserve">The Autumn </w:t>
      </w:r>
      <w:r w:rsidR="00AD78A2">
        <w:t>B</w:t>
      </w:r>
      <w:r>
        <w:t xml:space="preserve">udget was intended to provide a framework for fiscal policy over the next five years. But how likely is it that the planned fiscal adjustment will succeed? </w:t>
      </w:r>
      <w:r w:rsidR="00AA25ED">
        <w:t>There is a large body of international evidence on what factors make for a successful fiscal adjustment. The main conclusions are:</w:t>
      </w:r>
    </w:p>
    <w:p w14:paraId="24035E3C" w14:textId="7391AAB8" w:rsidR="00AA25ED" w:rsidRDefault="00AA25ED" w:rsidP="00AA25ED">
      <w:pPr>
        <w:pStyle w:val="BodyBullet"/>
      </w:pPr>
      <w:r>
        <w:t>The failure rate of fiscal adjustment efforts is high at around 50%</w:t>
      </w:r>
    </w:p>
    <w:p w14:paraId="198A810C" w14:textId="42910E4E" w:rsidR="00AA25ED" w:rsidRDefault="00AA25ED" w:rsidP="00AA25ED">
      <w:pPr>
        <w:pStyle w:val="BodyBullet"/>
      </w:pPr>
      <w:r>
        <w:t>Design is important. The division between spending cuts and revenue increases (including tax rises) is an important factor determining whether adjustments are successful</w:t>
      </w:r>
    </w:p>
    <w:p w14:paraId="4975B043" w14:textId="5D448718" w:rsidR="00AA25ED" w:rsidRDefault="00AA25ED" w:rsidP="00AA25ED">
      <w:pPr>
        <w:pStyle w:val="BodyBullet"/>
      </w:pPr>
      <w:r>
        <w:lastRenderedPageBreak/>
        <w:t>Growth outcomes of fiscal adjustments vary significantly depending on design and on additional supportive policies or external factors</w:t>
      </w:r>
    </w:p>
    <w:p w14:paraId="3FA40F97" w14:textId="2C276E5E" w:rsidR="005B5180" w:rsidRDefault="007255C6" w:rsidP="009138D7">
      <w:r w:rsidRPr="007255C6">
        <w:rPr>
          <w:b/>
          <w:color w:val="003469"/>
        </w:rPr>
        <w:t>Success and failure of adjustments.</w:t>
      </w:r>
      <w:r>
        <w:t xml:space="preserve"> </w:t>
      </w:r>
      <w:r w:rsidR="009138D7">
        <w:t xml:space="preserve">Even studies which are generally upbeat about the outcomes of fiscal adjustments find a relatively high failure rate. The study of 52 adjustments in 1970-2010 by </w:t>
      </w:r>
      <w:hyperlink r:id="rId18" w:history="1">
        <w:proofErr w:type="spellStart"/>
        <w:r w:rsidR="009138D7" w:rsidRPr="009138D7">
          <w:rPr>
            <w:rStyle w:val="Hyperlink"/>
          </w:rPr>
          <w:t>Alesina</w:t>
        </w:r>
        <w:proofErr w:type="spellEnd"/>
        <w:r w:rsidR="009138D7" w:rsidRPr="009138D7">
          <w:rPr>
            <w:rStyle w:val="Hyperlink"/>
          </w:rPr>
          <w:t xml:space="preserve"> and Ardagna</w:t>
        </w:r>
      </w:hyperlink>
      <w:r w:rsidR="009138D7">
        <w:t xml:space="preserve"> shows that only around half of the adjustments were 'successful' on the basis of </w:t>
      </w:r>
      <w:r w:rsidR="009138D7" w:rsidRPr="009138D7">
        <w:t>the debt-to-GDP ratio being lower two years after the adjustment ended, compared to its</w:t>
      </w:r>
      <w:r w:rsidR="009138D7">
        <w:t xml:space="preserve"> </w:t>
      </w:r>
      <w:r w:rsidR="009138D7" w:rsidRPr="009138D7">
        <w:t>level in the final year of the adjustment</w:t>
      </w:r>
      <w:r w:rsidR="009138D7">
        <w:t xml:space="preserve"> (</w:t>
      </w:r>
      <w:r w:rsidR="00212873" w:rsidRPr="00A520D1">
        <w:rPr>
          <w:b/>
          <w:color w:val="003469"/>
        </w:rPr>
        <w:fldChar w:fldCharType="begin"/>
      </w:r>
      <w:r w:rsidR="00A520D1" w:rsidRPr="00A520D1">
        <w:rPr>
          <w:b/>
          <w:color w:val="003469"/>
        </w:rPr>
        <w:instrText xml:space="preserve">REF _Ref189593936 \h \* Charformat </w:instrText>
      </w:r>
      <w:r w:rsidR="00212873" w:rsidRPr="00A520D1">
        <w:rPr>
          <w:b/>
          <w:color w:val="003469"/>
        </w:rPr>
      </w:r>
      <w:r w:rsidR="00212873" w:rsidRPr="00A520D1">
        <w:rPr>
          <w:b/>
          <w:color w:val="003469"/>
        </w:rPr>
        <w:fldChar w:fldCharType="separate"/>
      </w:r>
      <w:r w:rsidR="00A520D1" w:rsidRPr="00A520D1">
        <w:rPr>
          <w:b/>
          <w:color w:val="003469"/>
        </w:rPr>
        <w:t>Chart 3</w:t>
      </w:r>
      <w:r w:rsidR="00212873" w:rsidRPr="00A520D1">
        <w:rPr>
          <w:b/>
          <w:color w:val="003469"/>
        </w:rPr>
        <w:fldChar w:fldCharType="end"/>
      </w:r>
      <w:r w:rsidR="009138D7">
        <w:t>).</w:t>
      </w:r>
    </w:p>
    <w:p w14:paraId="00FE6EE1" w14:textId="71BEDF36" w:rsidR="005B5180" w:rsidRDefault="009138D7" w:rsidP="007B19F3">
      <w:r>
        <w:t xml:space="preserve">In a similar vein, </w:t>
      </w:r>
      <w:hyperlink r:id="rId19" w:history="1">
        <w:r w:rsidRPr="009138D7">
          <w:rPr>
            <w:rStyle w:val="Hyperlink"/>
          </w:rPr>
          <w:t>Tsibiouris et al.</w:t>
        </w:r>
      </w:hyperlink>
      <w:r>
        <w:t xml:space="preserve"> find that only 66 of 155 (i.e. around 40%) of large fiscal adjustments studied over three decades were sustained (defined as cases where less than a fifth of the adjustment was reversed).</w:t>
      </w:r>
      <w:r w:rsidR="007255C6">
        <w:t xml:space="preserve"> The study of European fiscal adjustments by </w:t>
      </w:r>
      <w:hyperlink r:id="rId20" w:history="1">
        <w:r w:rsidR="007255C6" w:rsidRPr="007255C6">
          <w:rPr>
            <w:rStyle w:val="Hyperlink"/>
          </w:rPr>
          <w:t>Mauro</w:t>
        </w:r>
      </w:hyperlink>
      <w:r w:rsidR="007255C6">
        <w:t xml:space="preserve"> finds some plans were derailed almost immediately by external shocks and that planned spending cuts often failed to materialise.</w:t>
      </w:r>
    </w:p>
    <w:p w14:paraId="502F6D1A" w14:textId="2F53FE59" w:rsidR="00BB746D" w:rsidRDefault="008C2E82" w:rsidP="007B19F3">
      <w:hyperlink r:id="rId21" w:history="1">
        <w:r w:rsidR="00BB746D" w:rsidRPr="00BB746D">
          <w:rPr>
            <w:rStyle w:val="Hyperlink"/>
          </w:rPr>
          <w:t>Our analysis of</w:t>
        </w:r>
      </w:hyperlink>
      <w:r w:rsidR="00BB746D">
        <w:t xml:space="preserve"> 17 further fiscal adjustments in advanced economies after the global financial crisis shows similar results to the studies of earlier periods. Using the same criterion as </w:t>
      </w:r>
      <w:proofErr w:type="spellStart"/>
      <w:r w:rsidR="00BB746D">
        <w:t>Alesina</w:t>
      </w:r>
      <w:proofErr w:type="spellEnd"/>
      <w:r w:rsidR="00BB746D">
        <w:t xml:space="preserve"> and Ardagna we found a roughly even split between successful and unsuccessful adjustments.</w:t>
      </w:r>
    </w:p>
    <w:p w14:paraId="03794EBA" w14:textId="55595199" w:rsidR="009138D7" w:rsidRDefault="009138D7" w:rsidP="00A520D1">
      <w:pPr>
        <w:pStyle w:val="ExhibitTitle"/>
      </w:pPr>
      <w:bookmarkStart w:id="2" w:name="_Ref189593936"/>
      <w:r>
        <w:t xml:space="preserve">Chart </w:t>
      </w:r>
      <w:r>
        <w:fldChar w:fldCharType="begin"/>
      </w:r>
      <w:r w:rsidR="00212873">
        <w:instrText>SEQ CHART</w:instrText>
      </w:r>
      <w:r>
        <w:fldChar w:fldCharType="separate"/>
      </w:r>
      <w:r w:rsidR="001D50F6">
        <w:rPr>
          <w:noProof/>
        </w:rPr>
        <w:t>3</w:t>
      </w:r>
      <w:r>
        <w:fldChar w:fldCharType="end"/>
      </w:r>
      <w:bookmarkEnd w:id="2"/>
      <w:r>
        <w:t>: Fiscal adjustments have a high failure rate</w:t>
      </w:r>
    </w:p>
    <w:p w14:paraId="2A827425" w14:textId="663A5352" w:rsidR="009138D7" w:rsidRDefault="009138D7" w:rsidP="00A520D1">
      <w:pPr>
        <w:spacing w:after="0"/>
      </w:pPr>
      <w:r>
        <w:rPr>
          <w:noProof/>
        </w:rPr>
        <w:drawing>
          <wp:inline distT="0" distB="0" distL="0" distR="0" wp14:anchorId="669B580A" wp14:editId="69F2BCE1">
            <wp:extent cx="3250933" cy="2560869"/>
            <wp:effectExtent l="0" t="0" r="6985" b="0"/>
            <wp:docPr id="77384560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45600" name=""/>
                    <pic:cNvPicPr/>
                  </pic:nvPicPr>
                  <pic:blipFill>
                    <a:blip r:embed="rId22">
                      <a:extLst>
                        <a:ext uri="{96DAC541-7B7A-43D3-8B79-37D633B846F1}">
                          <asvg:svgBlip xmlns:asvg="http://schemas.microsoft.com/office/drawing/2016/SVG/main" r:embed="rId23"/>
                        </a:ext>
                      </a:extLst>
                    </a:blip>
                    <a:srcRect b="1510"/>
                    <a:stretch>
                      <a:fillRect/>
                    </a:stretch>
                  </pic:blipFill>
                  <pic:spPr>
                    <a:xfrm>
                      <a:off x="0" y="0"/>
                      <a:ext cx="3250933" cy="2560869"/>
                    </a:xfrm>
                    <a:prstGeom prst="rect">
                      <a:avLst/>
                    </a:prstGeom>
                  </pic:spPr>
                </pic:pic>
              </a:graphicData>
            </a:graphic>
          </wp:inline>
        </w:drawing>
      </w:r>
    </w:p>
    <w:p w14:paraId="7C460911" w14:textId="39580665" w:rsidR="009138D7" w:rsidRDefault="009138D7" w:rsidP="00A520D1">
      <w:pPr>
        <w:pStyle w:val="ExhibitSource"/>
      </w:pPr>
      <w:r>
        <w:t xml:space="preserve">Source: </w:t>
      </w:r>
      <w:proofErr w:type="spellStart"/>
      <w:r>
        <w:t>Alesina</w:t>
      </w:r>
      <w:proofErr w:type="spellEnd"/>
      <w:r>
        <w:t xml:space="preserve"> &amp; Ardagna (2012), Tsibouris et al. (2006)</w:t>
      </w:r>
    </w:p>
    <w:p w14:paraId="0D27EB2E" w14:textId="5D5F3AE4" w:rsidR="005B5180" w:rsidRDefault="007255C6" w:rsidP="007255C6">
      <w:r w:rsidRPr="007255C6">
        <w:rPr>
          <w:b/>
          <w:color w:val="003469"/>
        </w:rPr>
        <w:t xml:space="preserve">The design of fiscal </w:t>
      </w:r>
      <w:r w:rsidRPr="00AD78A2">
        <w:rPr>
          <w:b/>
          <w:color w:val="003469"/>
        </w:rPr>
        <w:t>adjustments</w:t>
      </w:r>
      <w:r w:rsidRPr="00CC2963">
        <w:rPr>
          <w:b/>
        </w:rPr>
        <w:t>.</w:t>
      </w:r>
      <w:r>
        <w:t xml:space="preserve"> A number of studies suggest that </w:t>
      </w:r>
      <w:r w:rsidRPr="007255C6">
        <w:t>fiscal adjustments centred on</w:t>
      </w:r>
      <w:r>
        <w:t xml:space="preserve"> </w:t>
      </w:r>
      <w:r w:rsidRPr="007255C6">
        <w:t>expenditure reductions, rather than revenue increases, have a better chance of success</w:t>
      </w:r>
      <w:r>
        <w:t xml:space="preserve">. </w:t>
      </w:r>
      <w:proofErr w:type="spellStart"/>
      <w:r>
        <w:t>Alesina</w:t>
      </w:r>
      <w:proofErr w:type="spellEnd"/>
      <w:r>
        <w:t xml:space="preserve"> and Ardagna's 2012 </w:t>
      </w:r>
      <w:hyperlink r:id="rId24" w:history="1">
        <w:r w:rsidRPr="007255C6">
          <w:rPr>
            <w:rStyle w:val="Hyperlink"/>
          </w:rPr>
          <w:t>study</w:t>
        </w:r>
      </w:hyperlink>
      <w:r>
        <w:t xml:space="preserve"> found that successful adjustments had around a 70% share of spending cuts in the total adjustment</w:t>
      </w:r>
      <w:r w:rsidR="00AD78A2">
        <w:t>,</w:t>
      </w:r>
      <w:r>
        <w:t xml:space="preserve"> while for unsuccessful adjustments the share was just 45%.</w:t>
      </w:r>
    </w:p>
    <w:p w14:paraId="552A7190" w14:textId="01F7C00D" w:rsidR="00AE52CC" w:rsidRDefault="007255C6" w:rsidP="007255C6">
      <w:r>
        <w:t xml:space="preserve">Similarly, the study of over 300 episodes by </w:t>
      </w:r>
      <w:hyperlink r:id="rId25" w:history="1">
        <w:r w:rsidRPr="007255C6">
          <w:rPr>
            <w:rStyle w:val="Hyperlink"/>
          </w:rPr>
          <w:t>Tsibouris et al.</w:t>
        </w:r>
      </w:hyperlink>
      <w:r>
        <w:t xml:space="preserve"> found that </w:t>
      </w:r>
      <w:r w:rsidR="00564CA7">
        <w:t>s</w:t>
      </w:r>
      <w:r w:rsidRPr="007255C6">
        <w:t>ustained adjustments had a 75%-25% ratio between spending cuts and revenue rises</w:t>
      </w:r>
      <w:r w:rsidR="00564CA7">
        <w:t>,</w:t>
      </w:r>
      <w:r>
        <w:t xml:space="preserve"> </w:t>
      </w:r>
      <w:r w:rsidRPr="007255C6">
        <w:t>while reversed adjustments had a 50%-50% share</w:t>
      </w:r>
      <w:r>
        <w:t xml:space="preserve">. </w:t>
      </w:r>
      <w:r w:rsidRPr="007255C6">
        <w:t xml:space="preserve">Both studies suggest </w:t>
      </w:r>
      <w:r w:rsidR="00AD78A2">
        <w:t>the</w:t>
      </w:r>
      <w:r w:rsidRPr="007255C6">
        <w:t xml:space="preserve"> role </w:t>
      </w:r>
      <w:r w:rsidR="00AD78A2">
        <w:t>of</w:t>
      </w:r>
      <w:r>
        <w:t xml:space="preserve"> </w:t>
      </w:r>
      <w:r w:rsidRPr="007255C6">
        <w:t>reductions in current government spending (including the government wage bill)</w:t>
      </w:r>
      <w:r w:rsidR="00AD78A2">
        <w:t xml:space="preserve"> is particularly important</w:t>
      </w:r>
      <w:r w:rsidR="00AE52CC">
        <w:t>. This is</w:t>
      </w:r>
      <w:r w:rsidRPr="007255C6">
        <w:t xml:space="preserve"> probably on the basis</w:t>
      </w:r>
      <w:r>
        <w:t xml:space="preserve"> </w:t>
      </w:r>
      <w:r w:rsidRPr="007255C6">
        <w:t xml:space="preserve">that </w:t>
      </w:r>
      <w:r w:rsidR="00AE52CC">
        <w:t xml:space="preserve">spending </w:t>
      </w:r>
      <w:r w:rsidRPr="007255C6">
        <w:t>cuts in this area may be of a permanent nature</w:t>
      </w:r>
      <w:r w:rsidR="00AE52CC">
        <w:t>, whereas large tax-driven adjustments have the potential to blunt incentives, distort prices</w:t>
      </w:r>
      <w:r w:rsidR="00555E83">
        <w:t>,</w:t>
      </w:r>
      <w:r w:rsidR="00AE52CC">
        <w:t xml:space="preserve"> and drive up labour costs, which hits both international competitiveness and confidence.</w:t>
      </w:r>
    </w:p>
    <w:p w14:paraId="6ABCB1A7" w14:textId="292428D7" w:rsidR="007255C6" w:rsidRDefault="007255C6" w:rsidP="007255C6">
      <w:r>
        <w:t xml:space="preserve">Our own analysis of 17 fiscal adjustments after the global financial crisis shows similar results to the earlier studies. In our sample, successful adjustments (based on the same criterion as the </w:t>
      </w:r>
      <w:proofErr w:type="spellStart"/>
      <w:r>
        <w:t>Alesina</w:t>
      </w:r>
      <w:proofErr w:type="spellEnd"/>
      <w:r>
        <w:t xml:space="preserve"> and Ardagna study) had a 60%-40% spending cuts to revenue raising split</w:t>
      </w:r>
      <w:r w:rsidR="00555E83">
        <w:t>,</w:t>
      </w:r>
      <w:r>
        <w:t xml:space="preserve"> while unsuccessful </w:t>
      </w:r>
      <w:r w:rsidR="00555E83">
        <w:t>adjustments</w:t>
      </w:r>
      <w:r>
        <w:t xml:space="preserve"> had a 13%-87% split</w:t>
      </w:r>
      <w:r w:rsidR="00913D52">
        <w:t>.</w:t>
      </w:r>
    </w:p>
    <w:p w14:paraId="4FE6B1A3" w14:textId="0A275269" w:rsidR="00913D52" w:rsidRDefault="00913D52" w:rsidP="00A520D1">
      <w:pPr>
        <w:pStyle w:val="ExhibitTitle"/>
      </w:pPr>
      <w:bookmarkStart w:id="3" w:name="_Ref189593937"/>
      <w:r>
        <w:lastRenderedPageBreak/>
        <w:t xml:space="preserve">Chart </w:t>
      </w:r>
      <w:r>
        <w:fldChar w:fldCharType="begin"/>
      </w:r>
      <w:r w:rsidR="009C6368">
        <w:instrText>SEQ CHART</w:instrText>
      </w:r>
      <w:r>
        <w:fldChar w:fldCharType="separate"/>
      </w:r>
      <w:r w:rsidR="001D50F6">
        <w:rPr>
          <w:noProof/>
        </w:rPr>
        <w:t>4</w:t>
      </w:r>
      <w:r>
        <w:fldChar w:fldCharType="end"/>
      </w:r>
      <w:bookmarkEnd w:id="3"/>
      <w:r>
        <w:t>: Expenditure</w:t>
      </w:r>
      <w:r w:rsidR="00555E83">
        <w:t>-</w:t>
      </w:r>
      <w:r>
        <w:t>based adjustments tend to be more successful</w:t>
      </w:r>
    </w:p>
    <w:p w14:paraId="1BEF78AB" w14:textId="6C49AF61" w:rsidR="009C6368" w:rsidRDefault="009C6368" w:rsidP="00A520D1">
      <w:pPr>
        <w:spacing w:after="0"/>
        <w:rPr>
          <w:noProof/>
        </w:rPr>
      </w:pPr>
      <w:r>
        <w:rPr>
          <w:noProof/>
        </w:rPr>
        <w:drawing>
          <wp:inline distT="0" distB="0" distL="0" distR="0" wp14:anchorId="61DA0E6D" wp14:editId="73B75D3D">
            <wp:extent cx="3250933" cy="2541433"/>
            <wp:effectExtent l="0" t="0" r="6985" b="0"/>
            <wp:docPr id="153855813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8136" name=""/>
                    <pic:cNvPicPr/>
                  </pic:nvPicPr>
                  <pic:blipFill>
                    <a:blip r:embed="rId26">
                      <a:extLst>
                        <a:ext uri="{96DAC541-7B7A-43D3-8B79-37D633B846F1}">
                          <asvg:svgBlip xmlns:asvg="http://schemas.microsoft.com/office/drawing/2016/SVG/main" r:embed="rId27"/>
                        </a:ext>
                      </a:extLst>
                    </a:blip>
                    <a:srcRect b="2283"/>
                    <a:stretch>
                      <a:fillRect/>
                    </a:stretch>
                  </pic:blipFill>
                  <pic:spPr>
                    <a:xfrm>
                      <a:off x="0" y="0"/>
                      <a:ext cx="3250933" cy="2541433"/>
                    </a:xfrm>
                    <a:prstGeom prst="rect">
                      <a:avLst/>
                    </a:prstGeom>
                  </pic:spPr>
                </pic:pic>
              </a:graphicData>
            </a:graphic>
          </wp:inline>
        </w:drawing>
      </w:r>
    </w:p>
    <w:p w14:paraId="773A0C04" w14:textId="1656BA05" w:rsidR="00C555D2" w:rsidRDefault="009C6368" w:rsidP="00A520D1">
      <w:pPr>
        <w:pStyle w:val="ExhibitSource"/>
      </w:pPr>
      <w:r>
        <w:t>Source: Oxford Economics</w:t>
      </w:r>
      <w:r w:rsidR="00AE52CC">
        <w:t xml:space="preserve">, </w:t>
      </w:r>
      <w:proofErr w:type="spellStart"/>
      <w:r>
        <w:t>Alesina</w:t>
      </w:r>
      <w:proofErr w:type="spellEnd"/>
      <w:r>
        <w:t xml:space="preserve"> &amp; Ardagna (2012). For definitions of different kinds of adjustments see text</w:t>
      </w:r>
    </w:p>
    <w:p w14:paraId="6D7C78B3" w14:textId="011AEF4E" w:rsidR="000A2D33" w:rsidRDefault="00913D52" w:rsidP="007255C6">
      <w:r>
        <w:t>The evidence on failure rates of adjustments and the different outcomes of revenue-based and expenditure-based adjustments emphasises the need for the UK authorities to carefully design their adjustment programme.</w:t>
      </w:r>
    </w:p>
    <w:p w14:paraId="7D5AB402" w14:textId="0E7548F1" w:rsidR="007255C6" w:rsidRDefault="00913D52" w:rsidP="007255C6">
      <w:r>
        <w:t xml:space="preserve">In this context, our estimate of the split between revenue and spending measures in the current programme is of some concern. We estimate that </w:t>
      </w:r>
      <w:r w:rsidR="00FE6561">
        <w:t xml:space="preserve">just </w:t>
      </w:r>
      <w:r>
        <w:t>over 8</w:t>
      </w:r>
      <w:r w:rsidR="001A4B68">
        <w:t>0</w:t>
      </w:r>
      <w:r>
        <w:t xml:space="preserve">% of the planned reduction in the structural primary deficit is expected to come from revenue-raising measures </w:t>
      </w:r>
      <w:r w:rsidR="00FE6561">
        <w:t>–</w:t>
      </w:r>
      <w:r>
        <w:t xml:space="preserve"> a proportion similar to that seen in our sample of failed adjustments since 2006 (</w:t>
      </w:r>
      <w:r w:rsidR="00212873" w:rsidRPr="00A520D1">
        <w:rPr>
          <w:b/>
          <w:color w:val="003469"/>
        </w:rPr>
        <w:fldChar w:fldCharType="begin"/>
      </w:r>
      <w:r w:rsidR="00A520D1" w:rsidRPr="00A520D1">
        <w:rPr>
          <w:b/>
          <w:color w:val="003469"/>
        </w:rPr>
        <w:instrText xml:space="preserve">REF _Ref189593937 \h \* Charformat </w:instrText>
      </w:r>
      <w:r w:rsidR="00212873" w:rsidRPr="00A520D1">
        <w:rPr>
          <w:b/>
          <w:color w:val="003469"/>
        </w:rPr>
      </w:r>
      <w:r w:rsidR="00212873" w:rsidRPr="00A520D1">
        <w:rPr>
          <w:b/>
          <w:color w:val="003469"/>
        </w:rPr>
        <w:fldChar w:fldCharType="separate"/>
      </w:r>
      <w:r w:rsidR="00A520D1" w:rsidRPr="00A520D1">
        <w:rPr>
          <w:b/>
          <w:color w:val="003469"/>
        </w:rPr>
        <w:t>Chart 4</w:t>
      </w:r>
      <w:r w:rsidR="00212873" w:rsidRPr="00A520D1">
        <w:rPr>
          <w:b/>
          <w:color w:val="003469"/>
        </w:rPr>
        <w:fldChar w:fldCharType="end"/>
      </w:r>
      <w:r>
        <w:t>).</w:t>
      </w:r>
    </w:p>
    <w:p w14:paraId="6B1818CB" w14:textId="69F467B9" w:rsidR="00913D52" w:rsidRDefault="00913D52" w:rsidP="007255C6">
      <w:r w:rsidRPr="000A2D33">
        <w:rPr>
          <w:b/>
          <w:color w:val="003469"/>
        </w:rPr>
        <w:t>Growth outcomes</w:t>
      </w:r>
      <w:r w:rsidR="000A2D33" w:rsidRPr="000A2D33">
        <w:rPr>
          <w:b/>
          <w:color w:val="003469"/>
        </w:rPr>
        <w:t>, external factors</w:t>
      </w:r>
      <w:r w:rsidR="00C5404D" w:rsidRPr="008C2E82">
        <w:rPr>
          <w:b/>
          <w:color w:val="003469"/>
        </w:rPr>
        <w:t>,</w:t>
      </w:r>
      <w:r w:rsidR="000A2D33" w:rsidRPr="00C5404D">
        <w:rPr>
          <w:b/>
          <w:color w:val="003469"/>
        </w:rPr>
        <w:t xml:space="preserve"> </w:t>
      </w:r>
      <w:r w:rsidR="000A2D33" w:rsidRPr="000A2D33">
        <w:rPr>
          <w:b/>
          <w:color w:val="003469"/>
        </w:rPr>
        <w:t>and supportive policies</w:t>
      </w:r>
      <w:r w:rsidR="000A2D33" w:rsidRPr="00CC2963">
        <w:rPr>
          <w:b/>
          <w:color w:val="003469"/>
        </w:rPr>
        <w:t xml:space="preserve">. </w:t>
      </w:r>
      <w:r w:rsidR="003E24C5">
        <w:t>The evidence on the importance of supportive policies and helpful external conditions is mixed but overall suggests these factors are important. A contractionary fiscal adjustment could be substantially ameliorated by</w:t>
      </w:r>
      <w:r w:rsidR="00297081">
        <w:t xml:space="preserve"> factors such as rapid </w:t>
      </w:r>
      <w:r w:rsidR="00E37F1B">
        <w:t xml:space="preserve">global </w:t>
      </w:r>
      <w:r w:rsidR="00297081">
        <w:t>growth, exchange rate depreciation</w:t>
      </w:r>
      <w:r w:rsidR="00C5404D">
        <w:t>,</w:t>
      </w:r>
      <w:r w:rsidR="00297081">
        <w:t xml:space="preserve"> or expansionary monetary policy, raising its chances of success. Similarly, a strong accompanying package of structural reforms that boost</w:t>
      </w:r>
      <w:r w:rsidR="004F201A">
        <w:t>s</w:t>
      </w:r>
      <w:r w:rsidR="00297081">
        <w:t xml:space="preserve"> the supply side of the economy could help a fiscal adjustment to succeed.</w:t>
      </w:r>
    </w:p>
    <w:p w14:paraId="17B9EF7B" w14:textId="2E8E22E8" w:rsidR="00AA2F4F" w:rsidRDefault="00AA2F4F" w:rsidP="00AA2F4F">
      <w:r>
        <w:t xml:space="preserve">More controversially, it is sometimes argued that fiscal adjustments can be expansionary. The usual reasoning here is that negative Keynesian effects of adjustments can be offset by other effects such as </w:t>
      </w:r>
      <w:r w:rsidRPr="00AA2F4F">
        <w:t>'credibility effects' like the reduction of risk premia embodied in long-term</w:t>
      </w:r>
      <w:r>
        <w:t xml:space="preserve"> </w:t>
      </w:r>
      <w:r w:rsidRPr="00AA2F4F">
        <w:t>rates</w:t>
      </w:r>
      <w:r w:rsidR="00BB746D">
        <w:t xml:space="preserve"> (potentially helping to reverse 'crowding out' effects)</w:t>
      </w:r>
      <w:r w:rsidRPr="00AA2F4F">
        <w:t>, boosts to business and consumer confidence, and positive impacts on labour markets and</w:t>
      </w:r>
      <w:r>
        <w:t xml:space="preserve"> </w:t>
      </w:r>
      <w:r w:rsidRPr="00AA2F4F">
        <w:t>competitiveness</w:t>
      </w:r>
      <w:r>
        <w:t xml:space="preserve">. </w:t>
      </w:r>
    </w:p>
    <w:p w14:paraId="412E179E" w14:textId="0998B5AE" w:rsidR="007255C6" w:rsidRDefault="00AA2F4F" w:rsidP="00AA2F4F">
      <w:r>
        <w:t>We think it</w:t>
      </w:r>
      <w:r w:rsidR="00C5404D">
        <w:t>'s</w:t>
      </w:r>
      <w:r>
        <w:t xml:space="preserve"> likely that such cases are rare, with some of the channels by which expansionary fiscal adjustments are supposed to work only likely to function in quite extreme situations with very high risk premia and rock-bottom levels of private sector confidence. Our sample of fiscal adjustments from 2006-2019 finds only very marginally better growth than the G7 average for 'successful' fiscal adjustments</w:t>
      </w:r>
      <w:r w:rsidR="000943DE">
        <w:t>.</w:t>
      </w:r>
      <w:r>
        <w:t xml:space="preserve"> </w:t>
      </w:r>
      <w:r w:rsidR="000943DE">
        <w:t>More convincing though is the evidence on the different growth outcomes between successful and unsuccessful fiscal adjustments. Successful adjustments are associated with considerably better growth outcomes</w:t>
      </w:r>
      <w:r w:rsidR="00C5404D">
        <w:t>,</w:t>
      </w:r>
      <w:r w:rsidR="000943DE">
        <w:t xml:space="preserve"> even when correcting for world growth</w:t>
      </w:r>
      <w:r w:rsidR="000943DE" w:rsidRPr="000943DE">
        <w:t xml:space="preserve"> (</w:t>
      </w:r>
      <w:r w:rsidR="00212873" w:rsidRPr="00A520D1">
        <w:rPr>
          <w:b/>
          <w:color w:val="003469"/>
        </w:rPr>
        <w:fldChar w:fldCharType="begin"/>
      </w:r>
      <w:r w:rsidR="00A520D1" w:rsidRPr="00A520D1">
        <w:rPr>
          <w:b/>
          <w:color w:val="003469"/>
        </w:rPr>
        <w:instrText xml:space="preserve">REF _Ref189593938 \h \* Charformat </w:instrText>
      </w:r>
      <w:r w:rsidR="00212873" w:rsidRPr="00A520D1">
        <w:rPr>
          <w:b/>
          <w:color w:val="003469"/>
        </w:rPr>
      </w:r>
      <w:r w:rsidR="00212873" w:rsidRPr="00A520D1">
        <w:rPr>
          <w:b/>
          <w:color w:val="003469"/>
        </w:rPr>
        <w:fldChar w:fldCharType="separate"/>
      </w:r>
      <w:r w:rsidR="00A520D1" w:rsidRPr="00A520D1">
        <w:rPr>
          <w:b/>
          <w:color w:val="003469"/>
        </w:rPr>
        <w:t>Chart 5</w:t>
      </w:r>
      <w:r w:rsidR="00212873" w:rsidRPr="00A520D1">
        <w:rPr>
          <w:b/>
          <w:color w:val="003469"/>
        </w:rPr>
        <w:fldChar w:fldCharType="end"/>
      </w:r>
      <w:r w:rsidR="000943DE" w:rsidRPr="000943DE">
        <w:t>).</w:t>
      </w:r>
    </w:p>
    <w:p w14:paraId="02B84F3F" w14:textId="680920DB" w:rsidR="000943DE" w:rsidRDefault="000943DE" w:rsidP="00A520D1">
      <w:pPr>
        <w:pStyle w:val="ExhibitTitle"/>
      </w:pPr>
      <w:bookmarkStart w:id="4" w:name="_Ref189593938"/>
      <w:r>
        <w:lastRenderedPageBreak/>
        <w:t xml:space="preserve">Chart </w:t>
      </w:r>
      <w:r>
        <w:fldChar w:fldCharType="begin"/>
      </w:r>
      <w:r w:rsidR="00D405D6">
        <w:instrText>SEQ CHART</w:instrText>
      </w:r>
      <w:r>
        <w:fldChar w:fldCharType="separate"/>
      </w:r>
      <w:r w:rsidR="001D50F6">
        <w:rPr>
          <w:noProof/>
        </w:rPr>
        <w:t>5</w:t>
      </w:r>
      <w:r>
        <w:fldChar w:fldCharType="end"/>
      </w:r>
      <w:bookmarkEnd w:id="4"/>
      <w:r>
        <w:t>: Big growth differences between adjustments</w:t>
      </w:r>
    </w:p>
    <w:p w14:paraId="16FEBA16" w14:textId="33DB119A" w:rsidR="00D405D6" w:rsidRDefault="00D405D6" w:rsidP="00A520D1">
      <w:pPr>
        <w:spacing w:after="0"/>
        <w:rPr>
          <w:noProof/>
        </w:rPr>
      </w:pPr>
      <w:r>
        <w:rPr>
          <w:noProof/>
        </w:rPr>
        <w:drawing>
          <wp:inline distT="0" distB="0" distL="0" distR="0" wp14:anchorId="763F12C4" wp14:editId="4A205E0A">
            <wp:extent cx="3250933" cy="2540323"/>
            <wp:effectExtent l="0" t="0" r="6985" b="0"/>
            <wp:docPr id="126996932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9329" name=""/>
                    <pic:cNvPicPr/>
                  </pic:nvPicPr>
                  <pic:blipFill>
                    <a:blip r:embed="rId28">
                      <a:extLst>
                        <a:ext uri="{96DAC541-7B7A-43D3-8B79-37D633B846F1}">
                          <asvg:svgBlip xmlns:asvg="http://schemas.microsoft.com/office/drawing/2016/SVG/main" r:embed="rId29"/>
                        </a:ext>
                      </a:extLst>
                    </a:blip>
                    <a:srcRect b="2287"/>
                    <a:stretch>
                      <a:fillRect/>
                    </a:stretch>
                  </pic:blipFill>
                  <pic:spPr>
                    <a:xfrm>
                      <a:off x="0" y="0"/>
                      <a:ext cx="3250933" cy="2540323"/>
                    </a:xfrm>
                    <a:prstGeom prst="rect">
                      <a:avLst/>
                    </a:prstGeom>
                  </pic:spPr>
                </pic:pic>
              </a:graphicData>
            </a:graphic>
          </wp:inline>
        </w:drawing>
      </w:r>
    </w:p>
    <w:p w14:paraId="310EAE3F" w14:textId="031C185A" w:rsidR="000943DE" w:rsidRDefault="00D405D6" w:rsidP="00A520D1">
      <w:pPr>
        <w:pStyle w:val="ExhibitSource"/>
      </w:pPr>
      <w:r>
        <w:t>Source: Oxford Economics</w:t>
      </w:r>
      <w:r w:rsidR="008D4244">
        <w:t xml:space="preserve">, </w:t>
      </w:r>
      <w:proofErr w:type="spellStart"/>
      <w:r>
        <w:t>Alesina</w:t>
      </w:r>
      <w:proofErr w:type="spellEnd"/>
      <w:r>
        <w:t xml:space="preserve"> &amp; Ardagna (2012)</w:t>
      </w:r>
    </w:p>
    <w:p w14:paraId="6EB00BF0" w14:textId="4D4704DC" w:rsidR="000943DE" w:rsidRDefault="00C5404D" w:rsidP="00A520D1">
      <w:pPr>
        <w:pStyle w:val="Heading3"/>
      </w:pPr>
      <w:r>
        <w:t>We've assessed t</w:t>
      </w:r>
      <w:r w:rsidR="000943DE">
        <w:t>he UK's adjustment plans</w:t>
      </w:r>
    </w:p>
    <w:p w14:paraId="21659E3A" w14:textId="0B86CC8A" w:rsidR="005852AB" w:rsidRDefault="0067598E" w:rsidP="005852AB">
      <w:r>
        <w:t xml:space="preserve">Based on the international evidence, </w:t>
      </w:r>
      <w:r w:rsidR="00853A5E">
        <w:t xml:space="preserve">we think </w:t>
      </w:r>
      <w:r>
        <w:t xml:space="preserve">prospects for the success of the UK's fiscal adjustment programme look </w:t>
      </w:r>
      <w:r w:rsidR="004926C2">
        <w:t>unpromising</w:t>
      </w:r>
      <w:r w:rsidR="005852AB">
        <w:t xml:space="preserve">. </w:t>
      </w:r>
    </w:p>
    <w:p w14:paraId="18E56509" w14:textId="2D1D44F4" w:rsidR="0067598E" w:rsidRDefault="0067598E" w:rsidP="005852AB">
      <w:r w:rsidRPr="005852AB">
        <w:rPr>
          <w:color w:val="auto"/>
        </w:rPr>
        <w:t>The heavy emphasis on revenue-raising measures versus expenditure cuts</w:t>
      </w:r>
      <w:r w:rsidR="005852AB" w:rsidRPr="005852AB">
        <w:rPr>
          <w:color w:val="auto"/>
        </w:rPr>
        <w:t xml:space="preserve"> is a </w:t>
      </w:r>
      <w:r w:rsidR="00381199">
        <w:t>concern</w:t>
      </w:r>
      <w:r w:rsidR="005852AB">
        <w:t xml:space="preserve">. There are a few historical examples of revenue-led adjustments succeeding, such as the Spanish adjustment </w:t>
      </w:r>
      <w:r w:rsidR="00853A5E">
        <w:t>in</w:t>
      </w:r>
      <w:r w:rsidR="005852AB">
        <w:t xml:space="preserve"> 2009-2014, the Czech </w:t>
      </w:r>
      <w:r w:rsidR="00853A5E">
        <w:t xml:space="preserve">adjustment in </w:t>
      </w:r>
      <w:r w:rsidR="005852AB">
        <w:t>2009-2012</w:t>
      </w:r>
      <w:r w:rsidR="00F37677">
        <w:t>,</w:t>
      </w:r>
      <w:r w:rsidR="005852AB">
        <w:t xml:space="preserve"> and the well-known Danish case </w:t>
      </w:r>
      <w:r w:rsidR="00853A5E">
        <w:t>in</w:t>
      </w:r>
      <w:r w:rsidR="005852AB">
        <w:t xml:space="preserve"> 1982-1986. But the success rate of adjustments structured like this is low</w:t>
      </w:r>
      <w:r w:rsidR="00DC7844">
        <w:t xml:space="preserve"> </w:t>
      </w:r>
      <w:r w:rsidR="00853A5E">
        <w:t>–</w:t>
      </w:r>
      <w:r w:rsidR="00DC7844">
        <w:t xml:space="preserve"> we </w:t>
      </w:r>
      <w:hyperlink r:id="rId30" w:history="1">
        <w:r w:rsidR="00DC7844" w:rsidRPr="00600A4E">
          <w:rPr>
            <w:rStyle w:val="Hyperlink"/>
          </w:rPr>
          <w:t>found</w:t>
        </w:r>
      </w:hyperlink>
      <w:r w:rsidR="00DC7844">
        <w:t xml:space="preserve"> only three successful cases out of eleven in the 2006-2019 period</w:t>
      </w:r>
      <w:r w:rsidR="00796CBE">
        <w:t>.</w:t>
      </w:r>
      <w:r w:rsidR="005852AB">
        <w:t xml:space="preserve"> </w:t>
      </w:r>
      <w:r w:rsidR="004B4115">
        <w:t>I</w:t>
      </w:r>
      <w:r w:rsidR="005852AB">
        <w:t xml:space="preserve">n the </w:t>
      </w:r>
      <w:r w:rsidR="00DC7844">
        <w:t xml:space="preserve">1980s </w:t>
      </w:r>
      <w:r w:rsidR="005852AB">
        <w:t>Danish case</w:t>
      </w:r>
      <w:r w:rsidR="002A7FE2">
        <w:t>,</w:t>
      </w:r>
      <w:r w:rsidR="005852AB">
        <w:t xml:space="preserve"> </w:t>
      </w:r>
      <w:r w:rsidR="002A7FE2">
        <w:t>its success</w:t>
      </w:r>
      <w:r w:rsidR="005852AB">
        <w:t xml:space="preserve"> was partly due to positive </w:t>
      </w:r>
      <w:hyperlink r:id="rId31" w:history="1">
        <w:r w:rsidR="005852AB" w:rsidRPr="00601C7A">
          <w:rPr>
            <w:rStyle w:val="Hyperlink"/>
          </w:rPr>
          <w:t>associated factors</w:t>
        </w:r>
      </w:hyperlink>
      <w:r w:rsidR="005852AB">
        <w:t xml:space="preserve"> </w:t>
      </w:r>
      <w:r w:rsidR="00853A5E">
        <w:t xml:space="preserve">– </w:t>
      </w:r>
      <w:r w:rsidR="005852AB">
        <w:t>export markets grew strongly (important for a very open economy), bond yields fell sharply in 1985-1986</w:t>
      </w:r>
      <w:r w:rsidR="00B000F1">
        <w:t>,</w:t>
      </w:r>
      <w:r w:rsidR="005852AB">
        <w:t xml:space="preserve"> and there is some evidence of positive credibility effects (a rise in taxes today raising expectations of a stabilisation of the future tax burden).</w:t>
      </w:r>
      <w:r w:rsidR="00DC7844">
        <w:t xml:space="preserve"> </w:t>
      </w:r>
    </w:p>
    <w:p w14:paraId="2543FB53" w14:textId="60EBAFB2" w:rsidR="005852AB" w:rsidRDefault="005852AB" w:rsidP="005852AB">
      <w:r>
        <w:t>In the UK</w:t>
      </w:r>
      <w:r w:rsidR="00853A5E">
        <w:t>'s</w:t>
      </w:r>
      <w:r>
        <w:t xml:space="preserve"> case today, it is not obvious that external or supportive domestic policies will do much to raise the </w:t>
      </w:r>
      <w:r w:rsidR="00853A5E">
        <w:t xml:space="preserve">fiscal adjustment's </w:t>
      </w:r>
      <w:r>
        <w:t>chances of success.</w:t>
      </w:r>
      <w:r w:rsidR="004926C2">
        <w:t xml:space="preserve"> We expect the UK's export markets to grow at a fairly modest pace of around 2.7% per year from 2025-2029 (with considerable uncertainty around this</w:t>
      </w:r>
      <w:r w:rsidR="008B6B7B">
        <w:t>,</w:t>
      </w:r>
      <w:r w:rsidR="004926C2">
        <w:t xml:space="preserve"> given risks related to tariff wars) and long-term bond yields to decline only gradually. </w:t>
      </w:r>
      <w:r w:rsidR="008B6B7B">
        <w:t xml:space="preserve">Policy rates are likely to remain restrictive, above </w:t>
      </w:r>
      <w:hyperlink r:id="rId32" w:history="1">
        <w:r w:rsidR="008B6B7B" w:rsidRPr="005E03CD">
          <w:rPr>
            <w:rStyle w:val="Hyperlink"/>
          </w:rPr>
          <w:t>our estimate of the neutral rate of 2.5%</w:t>
        </w:r>
      </w:hyperlink>
      <w:r w:rsidR="008B6B7B">
        <w:t>, for a prolonged period.</w:t>
      </w:r>
    </w:p>
    <w:p w14:paraId="7256C738" w14:textId="2ECE99A6" w:rsidR="00601C7A" w:rsidRDefault="004926C2" w:rsidP="00B06E30">
      <w:r>
        <w:t>The possibility of UK growth being boosted by a big positive credibility shock</w:t>
      </w:r>
      <w:r w:rsidR="00853A5E">
        <w:t xml:space="preserve"> that</w:t>
      </w:r>
      <w:r>
        <w:t xml:space="preserve"> reduc</w:t>
      </w:r>
      <w:r w:rsidR="00853A5E">
        <w:t>es</w:t>
      </w:r>
      <w:r>
        <w:t xml:space="preserve"> risk premia or boost</w:t>
      </w:r>
      <w:r w:rsidR="00853A5E">
        <w:t>s</w:t>
      </w:r>
      <w:r>
        <w:t xml:space="preserve"> private sector confidence look</w:t>
      </w:r>
      <w:r w:rsidR="00853A5E">
        <w:t>s</w:t>
      </w:r>
      <w:r>
        <w:t xml:space="preserve"> remote. </w:t>
      </w:r>
      <w:r w:rsidR="008B6B7B">
        <w:t xml:space="preserve">Finally, there are few signs that the UK's fiscal adjustment plans will be helped by a programme of growth-boosting structural reforms. While there have been some </w:t>
      </w:r>
      <w:r w:rsidR="008B6B7B" w:rsidRPr="008B6B7B">
        <w:t xml:space="preserve">positive announcements </w:t>
      </w:r>
      <w:r w:rsidR="00853A5E">
        <w:t>related to</w:t>
      </w:r>
      <w:r w:rsidR="008B6B7B" w:rsidRPr="008B6B7B">
        <w:t xml:space="preserve"> planning</w:t>
      </w:r>
      <w:r w:rsidR="008B6B7B">
        <w:t xml:space="preserve"> and </w:t>
      </w:r>
      <w:r w:rsidR="008B6B7B" w:rsidRPr="008B6B7B">
        <w:t>infrastructure</w:t>
      </w:r>
      <w:r w:rsidR="00193FFB">
        <w:t>,</w:t>
      </w:r>
      <w:r w:rsidR="008B6B7B" w:rsidRPr="008B6B7B">
        <w:t xml:space="preserve"> we're </w:t>
      </w:r>
      <w:hyperlink r:id="rId33" w:anchor="b49D0226b2764dC58A169d:UKAplanforgrowth-nex:Willthesemeasuressuc" w:history="1">
        <w:r w:rsidR="008B6B7B" w:rsidRPr="00D9624B">
          <w:rPr>
            <w:rStyle w:val="Hyperlink"/>
          </w:rPr>
          <w:t>sceptical</w:t>
        </w:r>
      </w:hyperlink>
      <w:r w:rsidR="008B6B7B" w:rsidRPr="008B6B7B">
        <w:t xml:space="preserve"> that the government's supply-side plans</w:t>
      </w:r>
      <w:r w:rsidR="008B6B7B">
        <w:t xml:space="preserve"> will</w:t>
      </w:r>
      <w:r w:rsidR="008B6B7B" w:rsidRPr="008B6B7B">
        <w:t xml:space="preserve"> have </w:t>
      </w:r>
      <w:r w:rsidR="00B06E30">
        <w:t>much of an</w:t>
      </w:r>
      <w:r w:rsidR="008B6B7B" w:rsidRPr="008B6B7B">
        <w:t xml:space="preserve"> impact on potential output in the </w:t>
      </w:r>
      <w:r w:rsidR="00546CDF">
        <w:t>current parliament</w:t>
      </w:r>
      <w:r w:rsidR="008B6B7B">
        <w:t>.</w:t>
      </w:r>
    </w:p>
    <w:p w14:paraId="3C2C5A53" w14:textId="28FEE9A9" w:rsidR="00601C7A" w:rsidRDefault="001A4B68" w:rsidP="00A520D1">
      <w:pPr>
        <w:pStyle w:val="Heading3"/>
      </w:pPr>
      <w:r>
        <w:t>But a</w:t>
      </w:r>
      <w:r>
        <w:t>lternative consolidation paths face practical constraints</w:t>
      </w:r>
    </w:p>
    <w:p w14:paraId="14EC36C9" w14:textId="27AC88C6" w:rsidR="0055660B" w:rsidRDefault="00853A5E" w:rsidP="003D2CA1">
      <w:r>
        <w:t xml:space="preserve">Our </w:t>
      </w:r>
      <w:r w:rsidR="00601C7A">
        <w:t xml:space="preserve">analysis above suggests </w:t>
      </w:r>
      <w:r w:rsidR="00DC6E20">
        <w:t xml:space="preserve">the UK's current fiscal adjustment plans are unlikely to succeed. </w:t>
      </w:r>
      <w:r w:rsidR="004C50C4">
        <w:t>Our baseline</w:t>
      </w:r>
      <w:r w:rsidR="004C50C4">
        <w:t xml:space="preserve"> forecast </w:t>
      </w:r>
      <w:r w:rsidR="004C50C4">
        <w:t xml:space="preserve">shows </w:t>
      </w:r>
      <w:r w:rsidR="004C50C4">
        <w:t>GDP growth well below the Office</w:t>
      </w:r>
      <w:r w:rsidR="00D2722F">
        <w:t xml:space="preserve"> for Budget Responsibility's projections over the next two years. We also expect </w:t>
      </w:r>
      <w:r w:rsidR="0096383C">
        <w:t xml:space="preserve">balance sheet measures </w:t>
      </w:r>
      <w:r w:rsidR="00C32F80">
        <w:t xml:space="preserve">– </w:t>
      </w:r>
      <w:r w:rsidR="0096383C">
        <w:t xml:space="preserve">including the new target measure, </w:t>
      </w:r>
      <w:r w:rsidR="00C32F80">
        <w:t xml:space="preserve">Public Sector Net Financial Liabilities – to continue to </w:t>
      </w:r>
      <w:r w:rsidR="0055660B">
        <w:t>deteriorate</w:t>
      </w:r>
      <w:r w:rsidR="00F52E60">
        <w:t xml:space="preserve"> over the next couple of years</w:t>
      </w:r>
      <w:r w:rsidR="00C32F80">
        <w:t>.</w:t>
      </w:r>
    </w:p>
    <w:p w14:paraId="5E0C9A76" w14:textId="4AFF5466" w:rsidR="001D2087" w:rsidRDefault="0055660B" w:rsidP="001D2087">
      <w:r>
        <w:t>Still</w:t>
      </w:r>
      <w:r w:rsidR="004D3DBC" w:rsidRPr="004D3DBC">
        <w:t xml:space="preserve">, </w:t>
      </w:r>
      <w:r w:rsidR="00CF6066">
        <w:t xml:space="preserve">there's also significant </w:t>
      </w:r>
      <w:r w:rsidR="00D6103A">
        <w:t xml:space="preserve">practical and political </w:t>
      </w:r>
      <w:r w:rsidR="00CF6066">
        <w:t xml:space="preserve">challenges associated with </w:t>
      </w:r>
      <w:r w:rsidR="004D3DBC" w:rsidRPr="004D3DBC">
        <w:t>pursu</w:t>
      </w:r>
      <w:r w:rsidR="00CF6066">
        <w:t>ing</w:t>
      </w:r>
      <w:r w:rsidR="004D3DBC" w:rsidRPr="004D3DBC">
        <w:t xml:space="preserve"> an alternative path for consolidation. </w:t>
      </w:r>
      <w:r w:rsidR="002A0462">
        <w:t xml:space="preserve">Unprotected departments already face real terms spending cuts in the second half of the parliament – increasing the scale of these cuts </w:t>
      </w:r>
      <w:r w:rsidR="00542386">
        <w:t xml:space="preserve">would be difficult to achieve, particularly given the UK's long-running </w:t>
      </w:r>
      <w:r w:rsidR="00492B1C">
        <w:t>public sector productivity problem. Moreover, large cuts to spending totals would also be difficult to square with Labour's manifesto pledges to improve the level of funding for public services.</w:t>
      </w:r>
      <w:r w:rsidR="006115B4">
        <w:t xml:space="preserve"> </w:t>
      </w:r>
      <w:r w:rsidR="00D6103A">
        <w:lastRenderedPageBreak/>
        <w:t xml:space="preserve">Capital spending is already low by international standards, and cutting this further would risk repeating the mistakes of 2010-2015. </w:t>
      </w:r>
    </w:p>
    <w:p w14:paraId="1A671F6E" w14:textId="39DC5178" w:rsidR="007C1E78" w:rsidRDefault="002264A6" w:rsidP="001D2087">
      <w:r>
        <w:t>This serves to</w:t>
      </w:r>
      <w:r>
        <w:t xml:space="preserve"> </w:t>
      </w:r>
      <w:r w:rsidR="005712D8">
        <w:t xml:space="preserve">highlight the importance of </w:t>
      </w:r>
      <w:r>
        <w:t xml:space="preserve">the current government making tangible progress </w:t>
      </w:r>
      <w:r w:rsidR="00F34CA5">
        <w:t>towards</w:t>
      </w:r>
      <w:r>
        <w:t xml:space="preserve"> </w:t>
      </w:r>
      <w:r w:rsidR="005712D8">
        <w:t>improving public sector productivity</w:t>
      </w:r>
      <w:r w:rsidR="001D2087">
        <w:t xml:space="preserve"> – this w</w:t>
      </w:r>
      <w:r w:rsidR="00F34CA5">
        <w:t>ould</w:t>
      </w:r>
      <w:r w:rsidR="005712D8">
        <w:t xml:space="preserve"> </w:t>
      </w:r>
      <w:r w:rsidR="00D437DD">
        <w:t xml:space="preserve">be the key to </w:t>
      </w:r>
      <w:r w:rsidR="005712D8">
        <w:t>reduc</w:t>
      </w:r>
      <w:r w:rsidR="00D437DD">
        <w:t>ing</w:t>
      </w:r>
      <w:r w:rsidR="005712D8">
        <w:t xml:space="preserve"> future </w:t>
      </w:r>
      <w:r w:rsidR="00F34CA5">
        <w:t xml:space="preserve">current </w:t>
      </w:r>
      <w:r w:rsidR="005712D8">
        <w:t>spending requirements</w:t>
      </w:r>
      <w:r w:rsidR="00D437DD">
        <w:t xml:space="preserve"> and lessen the need for tax rises</w:t>
      </w:r>
      <w:r w:rsidR="005712D8">
        <w:t>.</w:t>
      </w:r>
    </w:p>
    <w:sectPr w:rsidR="007C1E78" w:rsidSect="001D50F6">
      <w:pgSz w:w="11906" w:h="16838"/>
      <w:pgMar w:top="1417" w:right="1276" w:bottom="121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92CE4" w14:textId="77777777" w:rsidR="007A2D74" w:rsidRDefault="007A2D74" w:rsidP="00834F45">
      <w:pPr>
        <w:spacing w:before="0" w:after="0"/>
      </w:pPr>
      <w:r>
        <w:separator/>
      </w:r>
    </w:p>
  </w:endnote>
  <w:endnote w:type="continuationSeparator" w:id="0">
    <w:p w14:paraId="265AC0D6" w14:textId="77777777" w:rsidR="007A2D74" w:rsidRDefault="007A2D74" w:rsidP="00834F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7BC4" w14:textId="77777777" w:rsidR="00E25BB2" w:rsidRDefault="00E25B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B36DD" w14:textId="57F4223C" w:rsidR="00834F45" w:rsidRPr="007B19F3" w:rsidRDefault="007B19F3" w:rsidP="007B19F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7877" w14:textId="2C545F3C" w:rsidR="00834F45" w:rsidRDefault="00834F45" w:rsidP="007B19F3">
    <w:pPr>
      <w:pStyle w:val="Author"/>
    </w:pPr>
    <w:r>
      <w:t>Edward Allenby</w:t>
    </w:r>
    <w:r w:rsidR="00A520D1">
      <w:t xml:space="preserve"> - </w:t>
    </w:r>
    <w:r>
      <w:t>UK Economist</w:t>
    </w:r>
    <w:r w:rsidR="00A520D1">
      <w:t xml:space="preserve"> - </w:t>
    </w:r>
    <w:hyperlink r:id="rId1" w:history="1">
      <w:r w:rsidR="007B19F3" w:rsidRPr="00D32FE1">
        <w:rPr>
          <w:rStyle w:val="Hyperlink"/>
        </w:rPr>
        <w:t>eallenby@oxfordeconomics.com</w:t>
      </w:r>
    </w:hyperlink>
  </w:p>
  <w:p w14:paraId="66BC2A03" w14:textId="12510AA6" w:rsidR="00CE3CB8" w:rsidRDefault="007B19F3" w:rsidP="007B19F3">
    <w:pPr>
      <w:pStyle w:val="Author"/>
    </w:pPr>
    <w:r>
      <w:t>Adam Slater</w:t>
    </w:r>
    <w:r w:rsidR="00A520D1">
      <w:t xml:space="preserve"> - </w:t>
    </w:r>
    <w:r w:rsidR="00CE3CB8">
      <w:t>Lead Economist</w:t>
    </w:r>
    <w:r w:rsidR="00A520D1">
      <w:t xml:space="preserve"> - </w:t>
    </w:r>
    <w:hyperlink r:id="rId2" w:history="1">
      <w:r w:rsidR="00CE3CB8" w:rsidRPr="00CE3CB8">
        <w:rPr>
          <w:rStyle w:val="Hyperlink"/>
        </w:rPr>
        <w:t>aslater@oxfordeconomics.com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59D8" w14:textId="77777777" w:rsidR="007A2D74" w:rsidRDefault="007A2D74" w:rsidP="00834F45">
      <w:pPr>
        <w:spacing w:before="0" w:after="0"/>
      </w:pPr>
      <w:r>
        <w:separator/>
      </w:r>
    </w:p>
  </w:footnote>
  <w:footnote w:type="continuationSeparator" w:id="0">
    <w:p w14:paraId="459BB831" w14:textId="77777777" w:rsidR="007A2D74" w:rsidRDefault="007A2D74" w:rsidP="00834F4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2A569" w14:textId="77777777" w:rsidR="00834F45" w:rsidRDefault="00834F45">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2E39B" w14:textId="0F51075B" w:rsidR="00017906" w:rsidRPr="00017906" w:rsidRDefault="007B19F3" w:rsidP="00017906">
    <w:pPr>
      <w:pStyle w:val="Headline"/>
      <w:spacing w:before="120"/>
      <w:ind w:right="-1000"/>
    </w:pPr>
    <w:r w:rsidRPr="007B19F3">
      <w:rPr>
        <w:noProof/>
      </w:rPr>
      <w:drawing>
        <wp:anchor distT="0" distB="0" distL="114300" distR="114300" simplePos="0" relativeHeight="251658239" behindDoc="1" locked="1" layoutInCell="1" allowOverlap="1" wp14:anchorId="0E9DEEE3" wp14:editId="3A6B612C">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17906">
      <w:t>The UK's fiscal adjustment is at risk of failure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4C01E" w14:textId="5A951EBE" w:rsidR="007B19F3" w:rsidRDefault="007B19F3" w:rsidP="007B19F3">
    <w:r w:rsidRPr="007B19F3">
      <w:rPr>
        <w:noProof/>
      </w:rPr>
      <w:drawing>
        <wp:anchor distT="0" distB="0" distL="114300" distR="114300" simplePos="0" relativeHeight="251659264" behindDoc="1" locked="1" layoutInCell="1" allowOverlap="1" wp14:anchorId="25C93D23" wp14:editId="6579BEDA">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507634080"/>
      <w:lock w:val="sdtLocked"/>
      <w:placeholder>
        <w:docPart w:val="DefaultPlaceholder_-1854013437"/>
      </w:placeholder>
      <w:date w:fullDate="2025-02-13T00:00:00Z">
        <w:dateFormat w:val="d MMMM yyyy"/>
        <w:lid w:val="en-GB"/>
        <w:storeMappedDataAs w:val="dateTime"/>
        <w:calendar w:val="gregorian"/>
      </w:date>
    </w:sdtPr>
    <w:sdtEndPr/>
    <w:sdtContent>
      <w:p w14:paraId="28AB08EB" w14:textId="6403CC76" w:rsidR="007B19F3" w:rsidRDefault="00CB07D1" w:rsidP="007B19F3">
        <w:pPr>
          <w:pStyle w:val="PublishDate"/>
          <w:framePr w:w="2835" w:h="340" w:hRule="exact" w:hSpace="180" w:wrap="around" w:vAnchor="page" w:hAnchor="page" w:x="7801" w:y="601" w:anchorLock="1"/>
        </w:pPr>
        <w:r>
          <w:t>1</w:t>
        </w:r>
        <w:r w:rsidR="00A9302D">
          <w:t>3</w:t>
        </w:r>
        <w:r w:rsidR="007B19F3">
          <w:t xml:space="preserve"> February 2025</w:t>
        </w:r>
      </w:p>
    </w:sdtContent>
  </w:sdt>
  <w:p w14:paraId="7956DD67" w14:textId="77777777" w:rsidR="007B19F3" w:rsidRDefault="007B19F3" w:rsidP="007B19F3">
    <w:pPr>
      <w:pStyle w:val="ProductDescription"/>
      <w:framePr w:w="11339" w:h="1474" w:hRule="exact" w:hSpace="180" w:wrap="around" w:vAnchor="page" w:hAnchor="page" w:x="401" w:y="1141" w:anchorLock="1"/>
      <w:spacing w:after="200"/>
    </w:pPr>
    <w:r>
      <w:t>Research Briefing | UK</w:t>
    </w:r>
  </w:p>
  <w:p w14:paraId="48792757" w14:textId="55F767AC" w:rsidR="007B19F3" w:rsidRDefault="00017906" w:rsidP="007B19F3">
    <w:pPr>
      <w:pStyle w:val="Headline"/>
      <w:framePr w:w="11339" w:h="1474" w:hRule="exact" w:hSpace="180" w:wrap="around" w:vAnchor="page" w:hAnchor="page" w:x="401" w:y="1141" w:anchorLock="1"/>
      <w:spacing w:line="200" w:lineRule="auto"/>
    </w:pPr>
    <w:r>
      <w:t>The UK's fiscal adjustment is at risk of failure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45"/>
    <w:rsid w:val="00005E6D"/>
    <w:rsid w:val="0001030E"/>
    <w:rsid w:val="00010CC4"/>
    <w:rsid w:val="00010DEC"/>
    <w:rsid w:val="00014427"/>
    <w:rsid w:val="00017906"/>
    <w:rsid w:val="00017A7B"/>
    <w:rsid w:val="00022130"/>
    <w:rsid w:val="000301A0"/>
    <w:rsid w:val="00035C88"/>
    <w:rsid w:val="00051C55"/>
    <w:rsid w:val="00053E79"/>
    <w:rsid w:val="00054050"/>
    <w:rsid w:val="0006178D"/>
    <w:rsid w:val="00062B4E"/>
    <w:rsid w:val="00063987"/>
    <w:rsid w:val="0006616D"/>
    <w:rsid w:val="000661A7"/>
    <w:rsid w:val="000736C5"/>
    <w:rsid w:val="00075056"/>
    <w:rsid w:val="00075CFC"/>
    <w:rsid w:val="000761B5"/>
    <w:rsid w:val="00083E71"/>
    <w:rsid w:val="00085FC0"/>
    <w:rsid w:val="00086305"/>
    <w:rsid w:val="00090FE1"/>
    <w:rsid w:val="000914D2"/>
    <w:rsid w:val="0009363F"/>
    <w:rsid w:val="000943DE"/>
    <w:rsid w:val="00094ACA"/>
    <w:rsid w:val="000A2D33"/>
    <w:rsid w:val="000A6975"/>
    <w:rsid w:val="000B0933"/>
    <w:rsid w:val="000B543C"/>
    <w:rsid w:val="000C2F89"/>
    <w:rsid w:val="000C3124"/>
    <w:rsid w:val="000C68E9"/>
    <w:rsid w:val="000C69A1"/>
    <w:rsid w:val="000C6CD9"/>
    <w:rsid w:val="000D2851"/>
    <w:rsid w:val="000D3DF8"/>
    <w:rsid w:val="000E0640"/>
    <w:rsid w:val="000E15D8"/>
    <w:rsid w:val="000E2D37"/>
    <w:rsid w:val="000F10F5"/>
    <w:rsid w:val="000F21EA"/>
    <w:rsid w:val="000F47F0"/>
    <w:rsid w:val="000F5304"/>
    <w:rsid w:val="000F6E4F"/>
    <w:rsid w:val="000F70F3"/>
    <w:rsid w:val="000F7ADB"/>
    <w:rsid w:val="000F7CE4"/>
    <w:rsid w:val="00101409"/>
    <w:rsid w:val="0010498E"/>
    <w:rsid w:val="0010714D"/>
    <w:rsid w:val="001128F1"/>
    <w:rsid w:val="00125791"/>
    <w:rsid w:val="00127D63"/>
    <w:rsid w:val="00134C91"/>
    <w:rsid w:val="001435C2"/>
    <w:rsid w:val="00146153"/>
    <w:rsid w:val="001509B3"/>
    <w:rsid w:val="00152FDC"/>
    <w:rsid w:val="00153E45"/>
    <w:rsid w:val="00156597"/>
    <w:rsid w:val="00160B3A"/>
    <w:rsid w:val="00161420"/>
    <w:rsid w:val="00162DAB"/>
    <w:rsid w:val="0016309B"/>
    <w:rsid w:val="00164DCA"/>
    <w:rsid w:val="001726C6"/>
    <w:rsid w:val="00172B43"/>
    <w:rsid w:val="001735A7"/>
    <w:rsid w:val="00177407"/>
    <w:rsid w:val="00177C85"/>
    <w:rsid w:val="00180D5A"/>
    <w:rsid w:val="00181D18"/>
    <w:rsid w:val="00182108"/>
    <w:rsid w:val="0018309F"/>
    <w:rsid w:val="001911A6"/>
    <w:rsid w:val="001922BC"/>
    <w:rsid w:val="00193FFB"/>
    <w:rsid w:val="00194569"/>
    <w:rsid w:val="001970DD"/>
    <w:rsid w:val="001A4B68"/>
    <w:rsid w:val="001A5C6C"/>
    <w:rsid w:val="001B6785"/>
    <w:rsid w:val="001C103B"/>
    <w:rsid w:val="001C32C8"/>
    <w:rsid w:val="001C45F1"/>
    <w:rsid w:val="001C610A"/>
    <w:rsid w:val="001C6D66"/>
    <w:rsid w:val="001D01E5"/>
    <w:rsid w:val="001D2087"/>
    <w:rsid w:val="001D3EF3"/>
    <w:rsid w:val="001D50F6"/>
    <w:rsid w:val="001D64A3"/>
    <w:rsid w:val="001E6BE1"/>
    <w:rsid w:val="001F3012"/>
    <w:rsid w:val="001F39C2"/>
    <w:rsid w:val="001F5C69"/>
    <w:rsid w:val="001F6523"/>
    <w:rsid w:val="002011D0"/>
    <w:rsid w:val="00205CC3"/>
    <w:rsid w:val="00206C7C"/>
    <w:rsid w:val="002126D6"/>
    <w:rsid w:val="00212873"/>
    <w:rsid w:val="002132BA"/>
    <w:rsid w:val="00213E71"/>
    <w:rsid w:val="0022044F"/>
    <w:rsid w:val="00222BA1"/>
    <w:rsid w:val="002264A6"/>
    <w:rsid w:val="00226E9B"/>
    <w:rsid w:val="0023074E"/>
    <w:rsid w:val="00232690"/>
    <w:rsid w:val="00235C14"/>
    <w:rsid w:val="00235CB0"/>
    <w:rsid w:val="00240995"/>
    <w:rsid w:val="002429E7"/>
    <w:rsid w:val="00247B12"/>
    <w:rsid w:val="00251738"/>
    <w:rsid w:val="00257965"/>
    <w:rsid w:val="00260416"/>
    <w:rsid w:val="0026587F"/>
    <w:rsid w:val="002668D5"/>
    <w:rsid w:val="00267AEF"/>
    <w:rsid w:val="00271357"/>
    <w:rsid w:val="002724A2"/>
    <w:rsid w:val="00272BCA"/>
    <w:rsid w:val="00273245"/>
    <w:rsid w:val="00273E9D"/>
    <w:rsid w:val="002752C7"/>
    <w:rsid w:val="0029044D"/>
    <w:rsid w:val="00290E58"/>
    <w:rsid w:val="00297081"/>
    <w:rsid w:val="002A00A7"/>
    <w:rsid w:val="002A0462"/>
    <w:rsid w:val="002A4933"/>
    <w:rsid w:val="002A4E05"/>
    <w:rsid w:val="002A7FE2"/>
    <w:rsid w:val="002B5C8C"/>
    <w:rsid w:val="002B7421"/>
    <w:rsid w:val="002C2043"/>
    <w:rsid w:val="002C29A6"/>
    <w:rsid w:val="002C3020"/>
    <w:rsid w:val="002C70EB"/>
    <w:rsid w:val="002D07F5"/>
    <w:rsid w:val="002D2E5E"/>
    <w:rsid w:val="002D3047"/>
    <w:rsid w:val="002D5B17"/>
    <w:rsid w:val="002D69DD"/>
    <w:rsid w:val="002D6FA8"/>
    <w:rsid w:val="002E1F12"/>
    <w:rsid w:val="002E3F45"/>
    <w:rsid w:val="002E6BE5"/>
    <w:rsid w:val="002F2BC4"/>
    <w:rsid w:val="002F468C"/>
    <w:rsid w:val="002F4C41"/>
    <w:rsid w:val="00300B56"/>
    <w:rsid w:val="0031147F"/>
    <w:rsid w:val="003114CE"/>
    <w:rsid w:val="00311D2A"/>
    <w:rsid w:val="00313F15"/>
    <w:rsid w:val="00314C72"/>
    <w:rsid w:val="003166F4"/>
    <w:rsid w:val="00317D35"/>
    <w:rsid w:val="003204A1"/>
    <w:rsid w:val="003210B3"/>
    <w:rsid w:val="003221F0"/>
    <w:rsid w:val="00325EF4"/>
    <w:rsid w:val="00333DC5"/>
    <w:rsid w:val="00336E80"/>
    <w:rsid w:val="00347B8F"/>
    <w:rsid w:val="003504E8"/>
    <w:rsid w:val="003553E8"/>
    <w:rsid w:val="00363146"/>
    <w:rsid w:val="0036446D"/>
    <w:rsid w:val="00365D2E"/>
    <w:rsid w:val="00375AD0"/>
    <w:rsid w:val="0037798A"/>
    <w:rsid w:val="00381199"/>
    <w:rsid w:val="00382D64"/>
    <w:rsid w:val="0038763C"/>
    <w:rsid w:val="0039196E"/>
    <w:rsid w:val="00394437"/>
    <w:rsid w:val="00396ED7"/>
    <w:rsid w:val="003A4FFD"/>
    <w:rsid w:val="003A67C8"/>
    <w:rsid w:val="003B33E0"/>
    <w:rsid w:val="003B6D67"/>
    <w:rsid w:val="003C4FA4"/>
    <w:rsid w:val="003C59EB"/>
    <w:rsid w:val="003D2CA1"/>
    <w:rsid w:val="003D578E"/>
    <w:rsid w:val="003E0704"/>
    <w:rsid w:val="003E24C5"/>
    <w:rsid w:val="003F13E6"/>
    <w:rsid w:val="003F1D48"/>
    <w:rsid w:val="003F40E8"/>
    <w:rsid w:val="003F48F4"/>
    <w:rsid w:val="00401F48"/>
    <w:rsid w:val="00406E27"/>
    <w:rsid w:val="00411B18"/>
    <w:rsid w:val="00413620"/>
    <w:rsid w:val="00417D98"/>
    <w:rsid w:val="00423C94"/>
    <w:rsid w:val="004261BA"/>
    <w:rsid w:val="00437065"/>
    <w:rsid w:val="00443080"/>
    <w:rsid w:val="00446626"/>
    <w:rsid w:val="00451061"/>
    <w:rsid w:val="004541B7"/>
    <w:rsid w:val="00457A95"/>
    <w:rsid w:val="00460579"/>
    <w:rsid w:val="004635C2"/>
    <w:rsid w:val="00464510"/>
    <w:rsid w:val="00477A1F"/>
    <w:rsid w:val="00477D23"/>
    <w:rsid w:val="00481922"/>
    <w:rsid w:val="00487DCC"/>
    <w:rsid w:val="004907B7"/>
    <w:rsid w:val="004926C2"/>
    <w:rsid w:val="00492B1C"/>
    <w:rsid w:val="00493356"/>
    <w:rsid w:val="004936FD"/>
    <w:rsid w:val="004A1F27"/>
    <w:rsid w:val="004A6EC1"/>
    <w:rsid w:val="004B27DB"/>
    <w:rsid w:val="004B2D6A"/>
    <w:rsid w:val="004B4115"/>
    <w:rsid w:val="004C05BB"/>
    <w:rsid w:val="004C12A8"/>
    <w:rsid w:val="004C184E"/>
    <w:rsid w:val="004C50C4"/>
    <w:rsid w:val="004C5457"/>
    <w:rsid w:val="004D3DBC"/>
    <w:rsid w:val="004D4CB1"/>
    <w:rsid w:val="004E3950"/>
    <w:rsid w:val="004E4E17"/>
    <w:rsid w:val="004E5B6B"/>
    <w:rsid w:val="004F0C16"/>
    <w:rsid w:val="004F201A"/>
    <w:rsid w:val="004F4983"/>
    <w:rsid w:val="0050189E"/>
    <w:rsid w:val="00504E8E"/>
    <w:rsid w:val="00507BFA"/>
    <w:rsid w:val="00517276"/>
    <w:rsid w:val="00520D8D"/>
    <w:rsid w:val="00523296"/>
    <w:rsid w:val="00527AA6"/>
    <w:rsid w:val="00527EB7"/>
    <w:rsid w:val="00542386"/>
    <w:rsid w:val="00543A06"/>
    <w:rsid w:val="00546CDF"/>
    <w:rsid w:val="00550AE1"/>
    <w:rsid w:val="00552D00"/>
    <w:rsid w:val="00552E15"/>
    <w:rsid w:val="00554D2E"/>
    <w:rsid w:val="00555A76"/>
    <w:rsid w:val="00555E83"/>
    <w:rsid w:val="0055660B"/>
    <w:rsid w:val="00564CA7"/>
    <w:rsid w:val="005712D8"/>
    <w:rsid w:val="00571B75"/>
    <w:rsid w:val="00572BDE"/>
    <w:rsid w:val="0057458A"/>
    <w:rsid w:val="00575C3E"/>
    <w:rsid w:val="005822DE"/>
    <w:rsid w:val="00582D6E"/>
    <w:rsid w:val="005839CA"/>
    <w:rsid w:val="005852AB"/>
    <w:rsid w:val="0059053F"/>
    <w:rsid w:val="00590EE1"/>
    <w:rsid w:val="00591656"/>
    <w:rsid w:val="00591C79"/>
    <w:rsid w:val="00592E33"/>
    <w:rsid w:val="005A011C"/>
    <w:rsid w:val="005A2762"/>
    <w:rsid w:val="005A7CAE"/>
    <w:rsid w:val="005B36CC"/>
    <w:rsid w:val="005B5180"/>
    <w:rsid w:val="005B53E6"/>
    <w:rsid w:val="005B7904"/>
    <w:rsid w:val="005C0C7D"/>
    <w:rsid w:val="005C2219"/>
    <w:rsid w:val="005C5282"/>
    <w:rsid w:val="005C5822"/>
    <w:rsid w:val="005C5E4F"/>
    <w:rsid w:val="005C6A1C"/>
    <w:rsid w:val="005D2C67"/>
    <w:rsid w:val="005D3EF2"/>
    <w:rsid w:val="005E03CD"/>
    <w:rsid w:val="005E3BA6"/>
    <w:rsid w:val="005E5368"/>
    <w:rsid w:val="005E72F3"/>
    <w:rsid w:val="005F195A"/>
    <w:rsid w:val="005F5BC5"/>
    <w:rsid w:val="00600A4E"/>
    <w:rsid w:val="00601C7A"/>
    <w:rsid w:val="00601FF8"/>
    <w:rsid w:val="006115B4"/>
    <w:rsid w:val="00625197"/>
    <w:rsid w:val="00630B62"/>
    <w:rsid w:val="006330B5"/>
    <w:rsid w:val="00634A89"/>
    <w:rsid w:val="00644509"/>
    <w:rsid w:val="0064450C"/>
    <w:rsid w:val="006475FE"/>
    <w:rsid w:val="00650716"/>
    <w:rsid w:val="0065451E"/>
    <w:rsid w:val="006674A5"/>
    <w:rsid w:val="00671FFA"/>
    <w:rsid w:val="00672F5E"/>
    <w:rsid w:val="00673A56"/>
    <w:rsid w:val="00673B00"/>
    <w:rsid w:val="0067598E"/>
    <w:rsid w:val="00676656"/>
    <w:rsid w:val="00676B9B"/>
    <w:rsid w:val="00677A85"/>
    <w:rsid w:val="006839AC"/>
    <w:rsid w:val="00684051"/>
    <w:rsid w:val="00690A60"/>
    <w:rsid w:val="006926F9"/>
    <w:rsid w:val="00694A36"/>
    <w:rsid w:val="0069667C"/>
    <w:rsid w:val="006A0E0E"/>
    <w:rsid w:val="006A2FCE"/>
    <w:rsid w:val="006A4AFE"/>
    <w:rsid w:val="006B2220"/>
    <w:rsid w:val="006C4F4B"/>
    <w:rsid w:val="006D29AC"/>
    <w:rsid w:val="006D5390"/>
    <w:rsid w:val="006E171E"/>
    <w:rsid w:val="006E38EF"/>
    <w:rsid w:val="006E45D5"/>
    <w:rsid w:val="006E564A"/>
    <w:rsid w:val="006E785B"/>
    <w:rsid w:val="006F5C4F"/>
    <w:rsid w:val="00706922"/>
    <w:rsid w:val="0071338D"/>
    <w:rsid w:val="007216F1"/>
    <w:rsid w:val="00722FED"/>
    <w:rsid w:val="00723BED"/>
    <w:rsid w:val="00723EFD"/>
    <w:rsid w:val="007255C6"/>
    <w:rsid w:val="00730E23"/>
    <w:rsid w:val="00730E4F"/>
    <w:rsid w:val="007318AE"/>
    <w:rsid w:val="00733F90"/>
    <w:rsid w:val="007368BA"/>
    <w:rsid w:val="007369DB"/>
    <w:rsid w:val="00741F52"/>
    <w:rsid w:val="00742009"/>
    <w:rsid w:val="00742908"/>
    <w:rsid w:val="007466AB"/>
    <w:rsid w:val="007502E4"/>
    <w:rsid w:val="00753C93"/>
    <w:rsid w:val="00755D91"/>
    <w:rsid w:val="00757A30"/>
    <w:rsid w:val="00764AFA"/>
    <w:rsid w:val="00766EFF"/>
    <w:rsid w:val="007677AB"/>
    <w:rsid w:val="00771E98"/>
    <w:rsid w:val="00772483"/>
    <w:rsid w:val="00772A81"/>
    <w:rsid w:val="00773668"/>
    <w:rsid w:val="00774C3F"/>
    <w:rsid w:val="00776EAC"/>
    <w:rsid w:val="00777632"/>
    <w:rsid w:val="00777DB5"/>
    <w:rsid w:val="00796A5D"/>
    <w:rsid w:val="00796CBE"/>
    <w:rsid w:val="00797425"/>
    <w:rsid w:val="007978B1"/>
    <w:rsid w:val="007A10FA"/>
    <w:rsid w:val="007A2D74"/>
    <w:rsid w:val="007B19F3"/>
    <w:rsid w:val="007B220E"/>
    <w:rsid w:val="007B28F4"/>
    <w:rsid w:val="007B62DD"/>
    <w:rsid w:val="007C103A"/>
    <w:rsid w:val="007C1E78"/>
    <w:rsid w:val="007C1EBA"/>
    <w:rsid w:val="007C4149"/>
    <w:rsid w:val="007D1B6A"/>
    <w:rsid w:val="007D3120"/>
    <w:rsid w:val="007E36E1"/>
    <w:rsid w:val="007E3DDA"/>
    <w:rsid w:val="007F2891"/>
    <w:rsid w:val="007F66CB"/>
    <w:rsid w:val="008014D1"/>
    <w:rsid w:val="00801BAA"/>
    <w:rsid w:val="00803199"/>
    <w:rsid w:val="008073C0"/>
    <w:rsid w:val="00807F64"/>
    <w:rsid w:val="00810559"/>
    <w:rsid w:val="0081528C"/>
    <w:rsid w:val="008175F3"/>
    <w:rsid w:val="00824348"/>
    <w:rsid w:val="00832677"/>
    <w:rsid w:val="0083334E"/>
    <w:rsid w:val="00834F45"/>
    <w:rsid w:val="00845A49"/>
    <w:rsid w:val="00853A5E"/>
    <w:rsid w:val="00861E2D"/>
    <w:rsid w:val="008627FB"/>
    <w:rsid w:val="00866417"/>
    <w:rsid w:val="00872D0F"/>
    <w:rsid w:val="008758B7"/>
    <w:rsid w:val="00875CBE"/>
    <w:rsid w:val="00875D17"/>
    <w:rsid w:val="00876917"/>
    <w:rsid w:val="0088365E"/>
    <w:rsid w:val="0088453B"/>
    <w:rsid w:val="00886FF2"/>
    <w:rsid w:val="00892726"/>
    <w:rsid w:val="00892D6D"/>
    <w:rsid w:val="00893BC1"/>
    <w:rsid w:val="008A5412"/>
    <w:rsid w:val="008A635B"/>
    <w:rsid w:val="008A6CB6"/>
    <w:rsid w:val="008A6F8E"/>
    <w:rsid w:val="008A7CA5"/>
    <w:rsid w:val="008B4C82"/>
    <w:rsid w:val="008B6863"/>
    <w:rsid w:val="008B6B7B"/>
    <w:rsid w:val="008C2E82"/>
    <w:rsid w:val="008C40EF"/>
    <w:rsid w:val="008D060B"/>
    <w:rsid w:val="008D2491"/>
    <w:rsid w:val="008D2AC2"/>
    <w:rsid w:val="008D2E5B"/>
    <w:rsid w:val="008D4244"/>
    <w:rsid w:val="008E4439"/>
    <w:rsid w:val="008E5556"/>
    <w:rsid w:val="008E765B"/>
    <w:rsid w:val="008E7E98"/>
    <w:rsid w:val="008F02C0"/>
    <w:rsid w:val="008F0AE7"/>
    <w:rsid w:val="0090234E"/>
    <w:rsid w:val="009059E0"/>
    <w:rsid w:val="00912CF3"/>
    <w:rsid w:val="009138D7"/>
    <w:rsid w:val="00913D52"/>
    <w:rsid w:val="009140EC"/>
    <w:rsid w:val="0091541B"/>
    <w:rsid w:val="00924753"/>
    <w:rsid w:val="0092490A"/>
    <w:rsid w:val="00924FB7"/>
    <w:rsid w:val="00927492"/>
    <w:rsid w:val="009303E3"/>
    <w:rsid w:val="00932732"/>
    <w:rsid w:val="00933EB7"/>
    <w:rsid w:val="00937A35"/>
    <w:rsid w:val="00937F2E"/>
    <w:rsid w:val="00940D84"/>
    <w:rsid w:val="0094180C"/>
    <w:rsid w:val="009420DC"/>
    <w:rsid w:val="0094286D"/>
    <w:rsid w:val="00946681"/>
    <w:rsid w:val="0095019E"/>
    <w:rsid w:val="009572C2"/>
    <w:rsid w:val="009613BF"/>
    <w:rsid w:val="0096383C"/>
    <w:rsid w:val="009669D6"/>
    <w:rsid w:val="00970834"/>
    <w:rsid w:val="00982E56"/>
    <w:rsid w:val="00986C8F"/>
    <w:rsid w:val="00986EC7"/>
    <w:rsid w:val="009876B4"/>
    <w:rsid w:val="009913B3"/>
    <w:rsid w:val="00992801"/>
    <w:rsid w:val="00993D19"/>
    <w:rsid w:val="009949FD"/>
    <w:rsid w:val="00997BFF"/>
    <w:rsid w:val="009A026E"/>
    <w:rsid w:val="009A0A87"/>
    <w:rsid w:val="009A2A7B"/>
    <w:rsid w:val="009A314D"/>
    <w:rsid w:val="009B089A"/>
    <w:rsid w:val="009C089A"/>
    <w:rsid w:val="009C6368"/>
    <w:rsid w:val="009C66D4"/>
    <w:rsid w:val="009D03B7"/>
    <w:rsid w:val="009D0683"/>
    <w:rsid w:val="009D0DF8"/>
    <w:rsid w:val="009D3635"/>
    <w:rsid w:val="009D3B95"/>
    <w:rsid w:val="009D62AF"/>
    <w:rsid w:val="009D64C5"/>
    <w:rsid w:val="009D6BC1"/>
    <w:rsid w:val="009F0495"/>
    <w:rsid w:val="009F0595"/>
    <w:rsid w:val="00A00E31"/>
    <w:rsid w:val="00A03789"/>
    <w:rsid w:val="00A04E12"/>
    <w:rsid w:val="00A13B83"/>
    <w:rsid w:val="00A27ADB"/>
    <w:rsid w:val="00A3322B"/>
    <w:rsid w:val="00A335AE"/>
    <w:rsid w:val="00A376BA"/>
    <w:rsid w:val="00A37E2C"/>
    <w:rsid w:val="00A40B83"/>
    <w:rsid w:val="00A40C91"/>
    <w:rsid w:val="00A427D0"/>
    <w:rsid w:val="00A452DA"/>
    <w:rsid w:val="00A45321"/>
    <w:rsid w:val="00A510C0"/>
    <w:rsid w:val="00A520D1"/>
    <w:rsid w:val="00A547C6"/>
    <w:rsid w:val="00A60497"/>
    <w:rsid w:val="00A62B6C"/>
    <w:rsid w:val="00A65F64"/>
    <w:rsid w:val="00A70BA3"/>
    <w:rsid w:val="00A74580"/>
    <w:rsid w:val="00A75088"/>
    <w:rsid w:val="00A7554F"/>
    <w:rsid w:val="00A8034C"/>
    <w:rsid w:val="00A8354C"/>
    <w:rsid w:val="00A85980"/>
    <w:rsid w:val="00A9302D"/>
    <w:rsid w:val="00A95522"/>
    <w:rsid w:val="00A9791A"/>
    <w:rsid w:val="00AA2230"/>
    <w:rsid w:val="00AA25ED"/>
    <w:rsid w:val="00AA2F4F"/>
    <w:rsid w:val="00AA53FE"/>
    <w:rsid w:val="00AA5DE4"/>
    <w:rsid w:val="00AC08A5"/>
    <w:rsid w:val="00AC52DE"/>
    <w:rsid w:val="00AD6AA8"/>
    <w:rsid w:val="00AD78A2"/>
    <w:rsid w:val="00AE2443"/>
    <w:rsid w:val="00AE4464"/>
    <w:rsid w:val="00AE471E"/>
    <w:rsid w:val="00AE52CC"/>
    <w:rsid w:val="00AF145D"/>
    <w:rsid w:val="00AF1902"/>
    <w:rsid w:val="00AF393C"/>
    <w:rsid w:val="00AF45C4"/>
    <w:rsid w:val="00AF70AE"/>
    <w:rsid w:val="00AF78BC"/>
    <w:rsid w:val="00B000F1"/>
    <w:rsid w:val="00B01D28"/>
    <w:rsid w:val="00B06E30"/>
    <w:rsid w:val="00B10030"/>
    <w:rsid w:val="00B16057"/>
    <w:rsid w:val="00B21117"/>
    <w:rsid w:val="00B22181"/>
    <w:rsid w:val="00B224E9"/>
    <w:rsid w:val="00B309C0"/>
    <w:rsid w:val="00B31ED3"/>
    <w:rsid w:val="00B342B9"/>
    <w:rsid w:val="00B347F6"/>
    <w:rsid w:val="00B36269"/>
    <w:rsid w:val="00B36981"/>
    <w:rsid w:val="00B37170"/>
    <w:rsid w:val="00B43D2D"/>
    <w:rsid w:val="00B44CB7"/>
    <w:rsid w:val="00B45554"/>
    <w:rsid w:val="00B474D9"/>
    <w:rsid w:val="00B51017"/>
    <w:rsid w:val="00B52914"/>
    <w:rsid w:val="00B53FD6"/>
    <w:rsid w:val="00B55C85"/>
    <w:rsid w:val="00B63D6F"/>
    <w:rsid w:val="00B66383"/>
    <w:rsid w:val="00B67AD3"/>
    <w:rsid w:val="00B87BF2"/>
    <w:rsid w:val="00B90907"/>
    <w:rsid w:val="00B91A03"/>
    <w:rsid w:val="00B97F1D"/>
    <w:rsid w:val="00BA367C"/>
    <w:rsid w:val="00BA4591"/>
    <w:rsid w:val="00BB133D"/>
    <w:rsid w:val="00BB2676"/>
    <w:rsid w:val="00BB3C14"/>
    <w:rsid w:val="00BB746D"/>
    <w:rsid w:val="00BC246C"/>
    <w:rsid w:val="00BC3DF9"/>
    <w:rsid w:val="00BD6A5E"/>
    <w:rsid w:val="00BD6AE2"/>
    <w:rsid w:val="00BD6DAB"/>
    <w:rsid w:val="00BD7869"/>
    <w:rsid w:val="00BF4785"/>
    <w:rsid w:val="00BF60DF"/>
    <w:rsid w:val="00C1029C"/>
    <w:rsid w:val="00C118C3"/>
    <w:rsid w:val="00C15551"/>
    <w:rsid w:val="00C25835"/>
    <w:rsid w:val="00C30AFF"/>
    <w:rsid w:val="00C32F24"/>
    <w:rsid w:val="00C32F80"/>
    <w:rsid w:val="00C33240"/>
    <w:rsid w:val="00C354DE"/>
    <w:rsid w:val="00C37D82"/>
    <w:rsid w:val="00C42027"/>
    <w:rsid w:val="00C45062"/>
    <w:rsid w:val="00C5404D"/>
    <w:rsid w:val="00C54D4D"/>
    <w:rsid w:val="00C555D2"/>
    <w:rsid w:val="00C66C2E"/>
    <w:rsid w:val="00C67E86"/>
    <w:rsid w:val="00C71558"/>
    <w:rsid w:val="00C732EE"/>
    <w:rsid w:val="00C748FE"/>
    <w:rsid w:val="00C77530"/>
    <w:rsid w:val="00C82357"/>
    <w:rsid w:val="00C905AE"/>
    <w:rsid w:val="00C91140"/>
    <w:rsid w:val="00C91EE5"/>
    <w:rsid w:val="00C94B04"/>
    <w:rsid w:val="00CB07D1"/>
    <w:rsid w:val="00CB10E2"/>
    <w:rsid w:val="00CB3B19"/>
    <w:rsid w:val="00CB5D5C"/>
    <w:rsid w:val="00CB5F9E"/>
    <w:rsid w:val="00CB65B2"/>
    <w:rsid w:val="00CC2963"/>
    <w:rsid w:val="00CC6635"/>
    <w:rsid w:val="00CC7297"/>
    <w:rsid w:val="00CD2962"/>
    <w:rsid w:val="00CD2AF8"/>
    <w:rsid w:val="00CD5D1F"/>
    <w:rsid w:val="00CD7B8B"/>
    <w:rsid w:val="00CE246C"/>
    <w:rsid w:val="00CE3CB8"/>
    <w:rsid w:val="00CF6066"/>
    <w:rsid w:val="00CF752D"/>
    <w:rsid w:val="00D07C6B"/>
    <w:rsid w:val="00D166D8"/>
    <w:rsid w:val="00D20C75"/>
    <w:rsid w:val="00D22F02"/>
    <w:rsid w:val="00D24B83"/>
    <w:rsid w:val="00D25833"/>
    <w:rsid w:val="00D25D51"/>
    <w:rsid w:val="00D26E20"/>
    <w:rsid w:val="00D2722F"/>
    <w:rsid w:val="00D27ECA"/>
    <w:rsid w:val="00D30CE3"/>
    <w:rsid w:val="00D34322"/>
    <w:rsid w:val="00D36D5A"/>
    <w:rsid w:val="00D405D6"/>
    <w:rsid w:val="00D41930"/>
    <w:rsid w:val="00D437DD"/>
    <w:rsid w:val="00D4447C"/>
    <w:rsid w:val="00D4792F"/>
    <w:rsid w:val="00D526F2"/>
    <w:rsid w:val="00D558F6"/>
    <w:rsid w:val="00D57DD7"/>
    <w:rsid w:val="00D603FA"/>
    <w:rsid w:val="00D6103A"/>
    <w:rsid w:val="00D611D8"/>
    <w:rsid w:val="00D6131D"/>
    <w:rsid w:val="00D62B12"/>
    <w:rsid w:val="00D634B4"/>
    <w:rsid w:val="00D656CF"/>
    <w:rsid w:val="00D65D0C"/>
    <w:rsid w:val="00D667B8"/>
    <w:rsid w:val="00D727B5"/>
    <w:rsid w:val="00D745DD"/>
    <w:rsid w:val="00D75672"/>
    <w:rsid w:val="00D779AB"/>
    <w:rsid w:val="00D81888"/>
    <w:rsid w:val="00D82890"/>
    <w:rsid w:val="00D918B3"/>
    <w:rsid w:val="00D9351B"/>
    <w:rsid w:val="00D9624B"/>
    <w:rsid w:val="00D97C39"/>
    <w:rsid w:val="00DA0954"/>
    <w:rsid w:val="00DA2270"/>
    <w:rsid w:val="00DB3B45"/>
    <w:rsid w:val="00DB6DB1"/>
    <w:rsid w:val="00DC1E0E"/>
    <w:rsid w:val="00DC2309"/>
    <w:rsid w:val="00DC6E20"/>
    <w:rsid w:val="00DC7844"/>
    <w:rsid w:val="00DD0A30"/>
    <w:rsid w:val="00DD5913"/>
    <w:rsid w:val="00DE40EC"/>
    <w:rsid w:val="00DE70AC"/>
    <w:rsid w:val="00DE7F5F"/>
    <w:rsid w:val="00DF11A3"/>
    <w:rsid w:val="00DF444E"/>
    <w:rsid w:val="00E0118E"/>
    <w:rsid w:val="00E04E28"/>
    <w:rsid w:val="00E059D4"/>
    <w:rsid w:val="00E073DA"/>
    <w:rsid w:val="00E1031E"/>
    <w:rsid w:val="00E115F7"/>
    <w:rsid w:val="00E153EC"/>
    <w:rsid w:val="00E160A4"/>
    <w:rsid w:val="00E25BB2"/>
    <w:rsid w:val="00E37CFA"/>
    <w:rsid w:val="00E37F1B"/>
    <w:rsid w:val="00E4409A"/>
    <w:rsid w:val="00E44279"/>
    <w:rsid w:val="00E52FA5"/>
    <w:rsid w:val="00E6191A"/>
    <w:rsid w:val="00E62CFB"/>
    <w:rsid w:val="00E6591D"/>
    <w:rsid w:val="00E65CF5"/>
    <w:rsid w:val="00E73C9A"/>
    <w:rsid w:val="00E73DB7"/>
    <w:rsid w:val="00E77D92"/>
    <w:rsid w:val="00E8215B"/>
    <w:rsid w:val="00E831EA"/>
    <w:rsid w:val="00E83C54"/>
    <w:rsid w:val="00E84B30"/>
    <w:rsid w:val="00E91E96"/>
    <w:rsid w:val="00E93FB5"/>
    <w:rsid w:val="00E94CF1"/>
    <w:rsid w:val="00E9602F"/>
    <w:rsid w:val="00E963F7"/>
    <w:rsid w:val="00EA5BE9"/>
    <w:rsid w:val="00EA67E1"/>
    <w:rsid w:val="00EA7CBF"/>
    <w:rsid w:val="00EB466C"/>
    <w:rsid w:val="00EB62B0"/>
    <w:rsid w:val="00EC1D5A"/>
    <w:rsid w:val="00EC6B0D"/>
    <w:rsid w:val="00EC6B3E"/>
    <w:rsid w:val="00EC6E78"/>
    <w:rsid w:val="00EC7E6D"/>
    <w:rsid w:val="00ED0FF7"/>
    <w:rsid w:val="00ED1F79"/>
    <w:rsid w:val="00ED2270"/>
    <w:rsid w:val="00ED3B07"/>
    <w:rsid w:val="00EE124F"/>
    <w:rsid w:val="00EE762F"/>
    <w:rsid w:val="00EF51D6"/>
    <w:rsid w:val="00EF7038"/>
    <w:rsid w:val="00EF70AA"/>
    <w:rsid w:val="00F00CA1"/>
    <w:rsid w:val="00F058F5"/>
    <w:rsid w:val="00F10E8B"/>
    <w:rsid w:val="00F13062"/>
    <w:rsid w:val="00F1330B"/>
    <w:rsid w:val="00F1753C"/>
    <w:rsid w:val="00F26366"/>
    <w:rsid w:val="00F30071"/>
    <w:rsid w:val="00F31969"/>
    <w:rsid w:val="00F34CA5"/>
    <w:rsid w:val="00F37677"/>
    <w:rsid w:val="00F37A67"/>
    <w:rsid w:val="00F45576"/>
    <w:rsid w:val="00F503A0"/>
    <w:rsid w:val="00F5138A"/>
    <w:rsid w:val="00F5235A"/>
    <w:rsid w:val="00F52E60"/>
    <w:rsid w:val="00F544D4"/>
    <w:rsid w:val="00F57C63"/>
    <w:rsid w:val="00F61D81"/>
    <w:rsid w:val="00F63AAB"/>
    <w:rsid w:val="00F71BDC"/>
    <w:rsid w:val="00F75D26"/>
    <w:rsid w:val="00F76B31"/>
    <w:rsid w:val="00F77BC7"/>
    <w:rsid w:val="00F80486"/>
    <w:rsid w:val="00F82F2B"/>
    <w:rsid w:val="00F8780A"/>
    <w:rsid w:val="00F92A55"/>
    <w:rsid w:val="00F93C66"/>
    <w:rsid w:val="00F948C8"/>
    <w:rsid w:val="00F94A3C"/>
    <w:rsid w:val="00F97357"/>
    <w:rsid w:val="00FA28E3"/>
    <w:rsid w:val="00FB0ABC"/>
    <w:rsid w:val="00FB3C9C"/>
    <w:rsid w:val="00FB71F1"/>
    <w:rsid w:val="00FC446E"/>
    <w:rsid w:val="00FD2743"/>
    <w:rsid w:val="00FD3C3A"/>
    <w:rsid w:val="00FD6544"/>
    <w:rsid w:val="00FE62B3"/>
    <w:rsid w:val="00FE6561"/>
    <w:rsid w:val="00FF1A6A"/>
    <w:rsid w:val="00FF1CED"/>
    <w:rsid w:val="00FF4C79"/>
    <w:rsid w:val="00FF4D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0A92B5"/>
  <w15:chartTrackingRefBased/>
  <w15:docId w15:val="{1FE44BCE-3EC3-4553-8BB1-698F19DD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F45"/>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834F45"/>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834F45"/>
    <w:pPr>
      <w:outlineLvl w:val="1"/>
    </w:pPr>
    <w:rPr>
      <w:sz w:val="28"/>
    </w:rPr>
  </w:style>
  <w:style w:type="paragraph" w:styleId="Heading3">
    <w:name w:val="heading 3"/>
    <w:basedOn w:val="Normal"/>
    <w:next w:val="Normal"/>
    <w:link w:val="Heading3Char"/>
    <w:uiPriority w:val="9"/>
    <w:unhideWhenUsed/>
    <w:qFormat/>
    <w:rsid w:val="00834F45"/>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834F45"/>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834F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834F45"/>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834F45"/>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834F4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34F4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45"/>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834F45"/>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834F45"/>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834F45"/>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834F45"/>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834F45"/>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834F45"/>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834F45"/>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34F45"/>
    <w:rPr>
      <w:rFonts w:asciiTheme="majorHAnsi" w:eastAsiaTheme="majorEastAsia" w:hAnsiTheme="majorHAnsi" w:cstheme="majorBidi"/>
      <w:i/>
      <w:iCs/>
      <w:noProof w:val="0"/>
      <w:color w:val="272727" w:themeColor="text1" w:themeTint="D8"/>
      <w:kern w:val="0"/>
      <w:sz w:val="21"/>
      <w:szCs w:val="21"/>
      <w14:ligatures w14:val="none"/>
    </w:rPr>
  </w:style>
  <w:style w:type="paragraph" w:styleId="Title">
    <w:name w:val="Title"/>
    <w:basedOn w:val="Normal"/>
    <w:next w:val="Normal"/>
    <w:link w:val="TitleChar"/>
    <w:uiPriority w:val="10"/>
    <w:locked/>
    <w:rsid w:val="00834F45"/>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34F45"/>
    <w:rPr>
      <w:rFonts w:asciiTheme="majorHAnsi" w:eastAsiaTheme="majorEastAsia" w:hAnsiTheme="majorHAnsi" w:cstheme="majorBidi"/>
      <w:noProof w:val="0"/>
      <w:spacing w:val="-10"/>
      <w:kern w:val="28"/>
      <w:sz w:val="56"/>
      <w:szCs w:val="56"/>
      <w14:ligatures w14:val="none"/>
    </w:rPr>
  </w:style>
  <w:style w:type="paragraph" w:styleId="Subtitle">
    <w:name w:val="Subtitle"/>
    <w:basedOn w:val="Normal"/>
    <w:next w:val="Normal"/>
    <w:link w:val="SubtitleChar"/>
    <w:uiPriority w:val="11"/>
    <w:qFormat/>
    <w:locked/>
    <w:rsid w:val="00834F45"/>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834F45"/>
    <w:rPr>
      <w:rFonts w:eastAsiaTheme="minorEastAsia"/>
      <w:noProof w:val="0"/>
      <w:color w:val="5A5A5A" w:themeColor="text1" w:themeTint="A5"/>
      <w:spacing w:val="15"/>
      <w:kern w:val="0"/>
      <w14:ligatures w14:val="none"/>
    </w:rPr>
  </w:style>
  <w:style w:type="paragraph" w:styleId="Quote">
    <w:name w:val="Quote"/>
    <w:basedOn w:val="Normal"/>
    <w:next w:val="Normal"/>
    <w:link w:val="QuoteChar"/>
    <w:uiPriority w:val="29"/>
    <w:qFormat/>
    <w:rsid w:val="00834F45"/>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34F45"/>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834F45"/>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character" w:styleId="IntenseEmphasis">
    <w:name w:val="Intense Emphasis"/>
    <w:basedOn w:val="DefaultParagraphFont"/>
    <w:uiPriority w:val="21"/>
    <w:locked/>
    <w:rsid w:val="00834F45"/>
    <w:rPr>
      <w:i/>
      <w:iCs/>
      <w:noProof w:val="0"/>
      <w:color w:val="156082" w:themeColor="accent1"/>
    </w:rPr>
  </w:style>
  <w:style w:type="paragraph" w:styleId="IntenseQuote">
    <w:name w:val="Intense Quote"/>
    <w:basedOn w:val="Normal"/>
    <w:next w:val="Normal"/>
    <w:link w:val="IntenseQuoteChar"/>
    <w:uiPriority w:val="30"/>
    <w:locked/>
    <w:rsid w:val="00834F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34F45"/>
    <w:rPr>
      <w:rFonts w:ascii="Segoe UI" w:hAnsi="Segoe UI" w:cs="Segoe UI"/>
      <w:i/>
      <w:iCs/>
      <w:noProof w:val="0"/>
      <w:color w:val="156082" w:themeColor="accent1"/>
      <w:kern w:val="0"/>
      <w:sz w:val="20"/>
      <w14:ligatures w14:val="none"/>
    </w:rPr>
  </w:style>
  <w:style w:type="character" w:styleId="IntenseReference">
    <w:name w:val="Intense Reference"/>
    <w:basedOn w:val="DefaultParagraphFont"/>
    <w:uiPriority w:val="32"/>
    <w:locked/>
    <w:rsid w:val="00834F45"/>
    <w:rPr>
      <w:b/>
      <w:bCs/>
      <w:smallCaps/>
      <w:noProof w:val="0"/>
      <w:color w:val="156082" w:themeColor="accent1"/>
      <w:spacing w:val="5"/>
    </w:rPr>
  </w:style>
  <w:style w:type="paragraph" w:styleId="Header">
    <w:name w:val="header"/>
    <w:basedOn w:val="Normal"/>
    <w:link w:val="HeaderChar"/>
    <w:uiPriority w:val="99"/>
    <w:unhideWhenUsed/>
    <w:locked/>
    <w:rsid w:val="00834F45"/>
    <w:pPr>
      <w:tabs>
        <w:tab w:val="center" w:pos="4320"/>
        <w:tab w:val="right" w:pos="8640"/>
      </w:tabs>
    </w:pPr>
  </w:style>
  <w:style w:type="character" w:customStyle="1" w:styleId="HeaderChar">
    <w:name w:val="Header Char"/>
    <w:basedOn w:val="DefaultParagraphFont"/>
    <w:link w:val="Header"/>
    <w:uiPriority w:val="99"/>
    <w:rsid w:val="00834F45"/>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834F45"/>
    <w:pPr>
      <w:tabs>
        <w:tab w:val="center" w:pos="4320"/>
        <w:tab w:val="right" w:pos="8640"/>
      </w:tabs>
    </w:pPr>
  </w:style>
  <w:style w:type="character" w:customStyle="1" w:styleId="FooterChar">
    <w:name w:val="Footer Char"/>
    <w:basedOn w:val="DefaultParagraphFont"/>
    <w:link w:val="Footer"/>
    <w:uiPriority w:val="99"/>
    <w:rsid w:val="00834F45"/>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834F45"/>
    <w:rPr>
      <w:noProof w:val="0"/>
    </w:rPr>
  </w:style>
  <w:style w:type="character" w:styleId="Hyperlink">
    <w:name w:val="Hyperlink"/>
    <w:basedOn w:val="DefaultParagraphFont"/>
    <w:uiPriority w:val="99"/>
    <w:unhideWhenUsed/>
    <w:rsid w:val="00834F45"/>
    <w:rPr>
      <w:noProof w:val="0"/>
      <w:color w:val="467886" w:themeColor="hyperlink"/>
      <w:u w:val="single"/>
    </w:rPr>
  </w:style>
  <w:style w:type="paragraph" w:styleId="Revision">
    <w:name w:val="Revision"/>
    <w:hidden/>
    <w:uiPriority w:val="99"/>
    <w:semiHidden/>
    <w:rsid w:val="00834F45"/>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834F45"/>
    <w:pPr>
      <w:spacing w:after="120"/>
    </w:pPr>
    <w:rPr>
      <w:b/>
      <w:bCs/>
      <w:color w:val="FFFFFF"/>
      <w:sz w:val="32"/>
      <w:szCs w:val="32"/>
    </w:rPr>
  </w:style>
  <w:style w:type="paragraph" w:customStyle="1" w:styleId="Headline">
    <w:name w:val="Headline"/>
    <w:basedOn w:val="Normal"/>
    <w:next w:val="Normal"/>
    <w:link w:val="HeadlineChar"/>
    <w:qFormat/>
    <w:rsid w:val="00834F45"/>
    <w:rPr>
      <w:rFonts w:ascii="Segoe UI Semilight" w:hAnsi="Segoe UI Semilight" w:cs="Segoe UI Semilight"/>
      <w:b/>
      <w:bCs/>
      <w:color w:val="FFFFFF"/>
      <w:sz w:val="40"/>
      <w:szCs w:val="40"/>
    </w:rPr>
  </w:style>
  <w:style w:type="paragraph" w:customStyle="1" w:styleId="ExhibitTitle">
    <w:name w:val="Exhibit Title"/>
    <w:basedOn w:val="Normal"/>
    <w:qFormat/>
    <w:rsid w:val="00834F45"/>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834F45"/>
    <w:pPr>
      <w:shd w:val="clear" w:color="auto" w:fill="D6E2FA"/>
      <w:spacing w:after="0"/>
    </w:pPr>
    <w:rPr>
      <w:color w:val="595959" w:themeColor="text1" w:themeTint="A6"/>
      <w:sz w:val="18"/>
    </w:rPr>
  </w:style>
  <w:style w:type="paragraph" w:customStyle="1" w:styleId="ExhibitSource">
    <w:name w:val="Exhibit Source"/>
    <w:next w:val="Normal"/>
    <w:qFormat/>
    <w:rsid w:val="00834F45"/>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834F45"/>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834F45"/>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834F45"/>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834F45"/>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834F45"/>
    <w:rPr>
      <w:rFonts w:ascii="Segoe UI" w:hAnsi="Segoe UI" w:cs="Segoe UI"/>
      <w:noProof w:val="0"/>
      <w:color w:val="000000" w:themeColor="text1"/>
    </w:rPr>
  </w:style>
  <w:style w:type="paragraph" w:customStyle="1" w:styleId="Summary">
    <w:name w:val="Summary"/>
    <w:basedOn w:val="Normal"/>
    <w:link w:val="SummaryChar"/>
    <w:qFormat/>
    <w:rsid w:val="00834F45"/>
    <w:pPr>
      <w:numPr>
        <w:numId w:val="1"/>
      </w:numPr>
      <w:ind w:left="1797" w:hanging="357"/>
    </w:pPr>
    <w:rPr>
      <w:kern w:val="2"/>
      <w:sz w:val="22"/>
      <w14:ligatures w14:val="standardContextual"/>
    </w:rPr>
  </w:style>
  <w:style w:type="paragraph" w:customStyle="1" w:styleId="TableData">
    <w:name w:val="Table Data"/>
    <w:link w:val="TableDataChar"/>
    <w:qFormat/>
    <w:rsid w:val="00834F45"/>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834F45"/>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834F45"/>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834F45"/>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834F45"/>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834F45"/>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834F45"/>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834F45"/>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834F45"/>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834F45"/>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834F45"/>
    <w:rPr>
      <w:color w:val="003469"/>
    </w:rPr>
  </w:style>
  <w:style w:type="character" w:customStyle="1" w:styleId="RepeatingFooterChar">
    <w:name w:val="Repeating Footer Char"/>
    <w:basedOn w:val="FooterChar"/>
    <w:link w:val="RepeatingFooter"/>
    <w:rsid w:val="00834F45"/>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834F45"/>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834F45"/>
    <w:rPr>
      <w:b/>
      <w:bCs/>
      <w:noProof w:val="0"/>
    </w:rPr>
  </w:style>
  <w:style w:type="character" w:customStyle="1" w:styleId="Italics">
    <w:name w:val="Italics"/>
    <w:uiPriority w:val="1"/>
    <w:qFormat/>
    <w:rsid w:val="00834F45"/>
    <w:rPr>
      <w:i/>
      <w:iCs/>
      <w:noProof w:val="0"/>
    </w:rPr>
  </w:style>
  <w:style w:type="table" w:customStyle="1" w:styleId="TableGridHeader">
    <w:name w:val="Table Grid Header"/>
    <w:basedOn w:val="TableNormal"/>
    <w:uiPriority w:val="99"/>
    <w:rsid w:val="00834F45"/>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locked/>
    <w:rsid w:val="00834F45"/>
    <w:rPr>
      <w:noProof w:val="0"/>
      <w:color w:val="808080"/>
    </w:rPr>
  </w:style>
  <w:style w:type="paragraph" w:styleId="BalloonText">
    <w:name w:val="Balloon Text"/>
    <w:basedOn w:val="Normal"/>
    <w:link w:val="BalloonTextChar"/>
    <w:semiHidden/>
    <w:unhideWhenUsed/>
    <w:locked/>
    <w:rsid w:val="00834F45"/>
    <w:pPr>
      <w:spacing w:before="0" w:after="0"/>
    </w:pPr>
    <w:rPr>
      <w:sz w:val="18"/>
      <w:szCs w:val="18"/>
    </w:rPr>
  </w:style>
  <w:style w:type="character" w:customStyle="1" w:styleId="BalloonTextChar">
    <w:name w:val="Balloon Text Char"/>
    <w:basedOn w:val="DefaultParagraphFont"/>
    <w:link w:val="BalloonText"/>
    <w:semiHidden/>
    <w:rsid w:val="00834F45"/>
    <w:rPr>
      <w:rFonts w:ascii="Segoe UI" w:hAnsi="Segoe UI" w:cs="Segoe UI"/>
      <w:noProof w:val="0"/>
      <w:color w:val="000000" w:themeColor="text1"/>
      <w:kern w:val="0"/>
      <w:sz w:val="18"/>
      <w:szCs w:val="18"/>
      <w14:ligatures w14:val="none"/>
    </w:rPr>
  </w:style>
  <w:style w:type="paragraph" w:styleId="Bibliography">
    <w:name w:val="Bibliography"/>
    <w:basedOn w:val="Normal"/>
    <w:next w:val="Normal"/>
    <w:uiPriority w:val="37"/>
    <w:semiHidden/>
    <w:unhideWhenUsed/>
    <w:locked/>
    <w:rsid w:val="00834F45"/>
  </w:style>
  <w:style w:type="paragraph" w:styleId="BlockText">
    <w:name w:val="Block Text"/>
    <w:basedOn w:val="Normal"/>
    <w:uiPriority w:val="99"/>
    <w:semiHidden/>
    <w:unhideWhenUsed/>
    <w:locked/>
    <w:rsid w:val="00834F4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834F45"/>
    <w:pPr>
      <w:spacing w:after="120"/>
    </w:pPr>
  </w:style>
  <w:style w:type="character" w:customStyle="1" w:styleId="BodyTextChar">
    <w:name w:val="Body Text Char"/>
    <w:basedOn w:val="DefaultParagraphFont"/>
    <w:link w:val="BodyText"/>
    <w:uiPriority w:val="99"/>
    <w:semiHidden/>
    <w:rsid w:val="00834F45"/>
    <w:rPr>
      <w:rFonts w:ascii="Segoe UI" w:hAnsi="Segoe UI" w:cs="Segoe UI"/>
      <w:noProof w:val="0"/>
      <w:color w:val="000000" w:themeColor="text1"/>
      <w:kern w:val="0"/>
      <w:sz w:val="20"/>
      <w14:ligatures w14:val="none"/>
    </w:rPr>
  </w:style>
  <w:style w:type="paragraph" w:styleId="BodyText2">
    <w:name w:val="Body Text 2"/>
    <w:basedOn w:val="Normal"/>
    <w:link w:val="BodyText2Char"/>
    <w:uiPriority w:val="99"/>
    <w:semiHidden/>
    <w:unhideWhenUsed/>
    <w:locked/>
    <w:rsid w:val="00834F45"/>
    <w:pPr>
      <w:spacing w:after="120" w:line="480" w:lineRule="auto"/>
    </w:pPr>
  </w:style>
  <w:style w:type="character" w:customStyle="1" w:styleId="BodyText2Char">
    <w:name w:val="Body Text 2 Char"/>
    <w:basedOn w:val="DefaultParagraphFont"/>
    <w:link w:val="BodyText2"/>
    <w:uiPriority w:val="99"/>
    <w:semiHidden/>
    <w:rsid w:val="00834F45"/>
    <w:rPr>
      <w:rFonts w:ascii="Segoe UI" w:hAnsi="Segoe UI" w:cs="Segoe UI"/>
      <w:noProof w:val="0"/>
      <w:color w:val="000000" w:themeColor="text1"/>
      <w:kern w:val="0"/>
      <w:sz w:val="20"/>
      <w14:ligatures w14:val="none"/>
    </w:rPr>
  </w:style>
  <w:style w:type="paragraph" w:styleId="BodyText3">
    <w:name w:val="Body Text 3"/>
    <w:basedOn w:val="Normal"/>
    <w:link w:val="BodyText3Char"/>
    <w:uiPriority w:val="99"/>
    <w:semiHidden/>
    <w:unhideWhenUsed/>
    <w:locked/>
    <w:rsid w:val="00834F45"/>
    <w:pPr>
      <w:spacing w:after="120"/>
    </w:pPr>
    <w:rPr>
      <w:sz w:val="16"/>
      <w:szCs w:val="16"/>
    </w:rPr>
  </w:style>
  <w:style w:type="character" w:customStyle="1" w:styleId="BodyText3Char">
    <w:name w:val="Body Text 3 Char"/>
    <w:basedOn w:val="DefaultParagraphFont"/>
    <w:link w:val="BodyText3"/>
    <w:uiPriority w:val="99"/>
    <w:semiHidden/>
    <w:rsid w:val="00834F45"/>
    <w:rPr>
      <w:rFonts w:ascii="Segoe UI" w:hAnsi="Segoe UI" w:cs="Segoe UI"/>
      <w:noProof w:val="0"/>
      <w:color w:val="000000" w:themeColor="text1"/>
      <w:kern w:val="0"/>
      <w:sz w:val="16"/>
      <w:szCs w:val="16"/>
      <w14:ligatures w14:val="none"/>
    </w:rPr>
  </w:style>
  <w:style w:type="paragraph" w:styleId="BodyTextFirstIndent">
    <w:name w:val="Body Text First Indent"/>
    <w:basedOn w:val="BodyText"/>
    <w:link w:val="BodyTextFirstIndentChar"/>
    <w:uiPriority w:val="99"/>
    <w:semiHidden/>
    <w:unhideWhenUsed/>
    <w:locked/>
    <w:rsid w:val="00834F45"/>
    <w:pPr>
      <w:spacing w:after="100"/>
      <w:ind w:firstLine="360"/>
    </w:pPr>
  </w:style>
  <w:style w:type="character" w:customStyle="1" w:styleId="BodyTextFirstIndentChar">
    <w:name w:val="Body Text First Indent Char"/>
    <w:basedOn w:val="BodyTextChar"/>
    <w:link w:val="BodyTextFirstIndent"/>
    <w:uiPriority w:val="99"/>
    <w:semiHidden/>
    <w:rsid w:val="00834F45"/>
    <w:rPr>
      <w:rFonts w:ascii="Segoe UI" w:hAnsi="Segoe UI" w:cs="Segoe UI"/>
      <w:noProof w:val="0"/>
      <w:color w:val="000000" w:themeColor="text1"/>
      <w:kern w:val="0"/>
      <w:sz w:val="20"/>
      <w14:ligatures w14:val="none"/>
    </w:rPr>
  </w:style>
  <w:style w:type="paragraph" w:styleId="BodyTextIndent">
    <w:name w:val="Body Text Indent"/>
    <w:basedOn w:val="Normal"/>
    <w:link w:val="BodyTextIndentChar"/>
    <w:uiPriority w:val="99"/>
    <w:semiHidden/>
    <w:unhideWhenUsed/>
    <w:locked/>
    <w:rsid w:val="00834F45"/>
    <w:pPr>
      <w:spacing w:after="120"/>
      <w:ind w:left="283"/>
    </w:pPr>
  </w:style>
  <w:style w:type="character" w:customStyle="1" w:styleId="BodyTextIndentChar">
    <w:name w:val="Body Text Indent Char"/>
    <w:basedOn w:val="DefaultParagraphFont"/>
    <w:link w:val="BodyTextIndent"/>
    <w:uiPriority w:val="99"/>
    <w:semiHidden/>
    <w:rsid w:val="00834F45"/>
    <w:rPr>
      <w:rFonts w:ascii="Segoe UI" w:hAnsi="Segoe UI" w:cs="Segoe UI"/>
      <w:noProof w:val="0"/>
      <w:color w:val="000000" w:themeColor="text1"/>
      <w:kern w:val="0"/>
      <w:sz w:val="20"/>
      <w14:ligatures w14:val="none"/>
    </w:rPr>
  </w:style>
  <w:style w:type="paragraph" w:styleId="BodyTextFirstIndent2">
    <w:name w:val="Body Text First Indent 2"/>
    <w:basedOn w:val="BodyTextIndent"/>
    <w:link w:val="BodyTextFirstIndent2Char"/>
    <w:uiPriority w:val="99"/>
    <w:semiHidden/>
    <w:unhideWhenUsed/>
    <w:locked/>
    <w:rsid w:val="00834F45"/>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834F45"/>
    <w:rPr>
      <w:rFonts w:ascii="Segoe UI" w:hAnsi="Segoe UI" w:cs="Segoe UI"/>
      <w:noProof w:val="0"/>
      <w:color w:val="000000" w:themeColor="text1"/>
      <w:kern w:val="0"/>
      <w:sz w:val="20"/>
      <w14:ligatures w14:val="none"/>
    </w:rPr>
  </w:style>
  <w:style w:type="paragraph" w:styleId="BodyTextIndent2">
    <w:name w:val="Body Text Indent 2"/>
    <w:basedOn w:val="Normal"/>
    <w:link w:val="BodyTextIndent2Char"/>
    <w:uiPriority w:val="99"/>
    <w:semiHidden/>
    <w:unhideWhenUsed/>
    <w:locked/>
    <w:rsid w:val="00834F45"/>
    <w:pPr>
      <w:spacing w:after="120" w:line="480" w:lineRule="auto"/>
      <w:ind w:left="283"/>
    </w:pPr>
  </w:style>
  <w:style w:type="character" w:customStyle="1" w:styleId="BodyTextIndent2Char">
    <w:name w:val="Body Text Indent 2 Char"/>
    <w:basedOn w:val="DefaultParagraphFont"/>
    <w:link w:val="BodyTextIndent2"/>
    <w:uiPriority w:val="99"/>
    <w:semiHidden/>
    <w:rsid w:val="00834F45"/>
    <w:rPr>
      <w:rFonts w:ascii="Segoe UI" w:hAnsi="Segoe UI" w:cs="Segoe UI"/>
      <w:noProof w:val="0"/>
      <w:color w:val="000000" w:themeColor="text1"/>
      <w:kern w:val="0"/>
      <w:sz w:val="20"/>
      <w14:ligatures w14:val="none"/>
    </w:rPr>
  </w:style>
  <w:style w:type="paragraph" w:styleId="BodyTextIndent3">
    <w:name w:val="Body Text Indent 3"/>
    <w:basedOn w:val="Normal"/>
    <w:link w:val="BodyTextIndent3Char"/>
    <w:uiPriority w:val="99"/>
    <w:semiHidden/>
    <w:unhideWhenUsed/>
    <w:locked/>
    <w:rsid w:val="00834F4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34F45"/>
    <w:rPr>
      <w:rFonts w:ascii="Segoe UI" w:hAnsi="Segoe UI" w:cs="Segoe UI"/>
      <w:noProof w:val="0"/>
      <w:color w:val="000000" w:themeColor="text1"/>
      <w:kern w:val="0"/>
      <w:sz w:val="16"/>
      <w:szCs w:val="16"/>
      <w14:ligatures w14:val="none"/>
    </w:rPr>
  </w:style>
  <w:style w:type="character" w:styleId="BookTitle">
    <w:name w:val="Book Title"/>
    <w:basedOn w:val="DefaultParagraphFont"/>
    <w:uiPriority w:val="33"/>
    <w:locked/>
    <w:rsid w:val="00834F45"/>
    <w:rPr>
      <w:b/>
      <w:bCs/>
      <w:i/>
      <w:iCs/>
      <w:noProof w:val="0"/>
      <w:spacing w:val="5"/>
    </w:rPr>
  </w:style>
  <w:style w:type="paragraph" w:styleId="Caption">
    <w:name w:val="caption"/>
    <w:basedOn w:val="Normal"/>
    <w:next w:val="Normal"/>
    <w:uiPriority w:val="35"/>
    <w:semiHidden/>
    <w:unhideWhenUsed/>
    <w:locked/>
    <w:rsid w:val="00834F45"/>
    <w:pPr>
      <w:spacing w:before="0" w:after="200"/>
    </w:pPr>
    <w:rPr>
      <w:i/>
      <w:iCs/>
      <w:color w:val="0E2841" w:themeColor="text2"/>
      <w:sz w:val="18"/>
      <w:szCs w:val="18"/>
    </w:rPr>
  </w:style>
  <w:style w:type="paragraph" w:styleId="Closing">
    <w:name w:val="Closing"/>
    <w:basedOn w:val="Normal"/>
    <w:link w:val="ClosingChar"/>
    <w:uiPriority w:val="99"/>
    <w:semiHidden/>
    <w:unhideWhenUsed/>
    <w:locked/>
    <w:rsid w:val="00834F45"/>
    <w:pPr>
      <w:spacing w:before="0" w:after="0"/>
      <w:ind w:left="4252"/>
    </w:pPr>
  </w:style>
  <w:style w:type="character" w:customStyle="1" w:styleId="ClosingChar">
    <w:name w:val="Closing Char"/>
    <w:basedOn w:val="DefaultParagraphFont"/>
    <w:link w:val="Closing"/>
    <w:uiPriority w:val="99"/>
    <w:semiHidden/>
    <w:rsid w:val="00834F45"/>
    <w:rPr>
      <w:rFonts w:ascii="Segoe UI" w:hAnsi="Segoe UI" w:cs="Segoe UI"/>
      <w:noProof w:val="0"/>
      <w:color w:val="000000" w:themeColor="text1"/>
      <w:kern w:val="0"/>
      <w:sz w:val="20"/>
      <w14:ligatures w14:val="none"/>
    </w:rPr>
  </w:style>
  <w:style w:type="table" w:styleId="ColorfulGrid">
    <w:name w:val="Colorful Grid"/>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834F45"/>
    <w:rPr>
      <w:noProof w:val="0"/>
      <w:sz w:val="16"/>
      <w:szCs w:val="16"/>
    </w:rPr>
  </w:style>
  <w:style w:type="paragraph" w:styleId="CommentText">
    <w:name w:val="annotation text"/>
    <w:basedOn w:val="Normal"/>
    <w:link w:val="CommentTextChar"/>
    <w:uiPriority w:val="99"/>
    <w:unhideWhenUsed/>
    <w:locked/>
    <w:rsid w:val="00834F45"/>
    <w:rPr>
      <w:szCs w:val="20"/>
    </w:rPr>
  </w:style>
  <w:style w:type="character" w:customStyle="1" w:styleId="CommentTextChar">
    <w:name w:val="Comment Text Char"/>
    <w:basedOn w:val="DefaultParagraphFont"/>
    <w:link w:val="CommentText"/>
    <w:uiPriority w:val="99"/>
    <w:rsid w:val="00834F45"/>
    <w:rPr>
      <w:rFonts w:ascii="Segoe UI" w:hAnsi="Segoe UI" w:cs="Segoe UI"/>
      <w:noProof w:val="0"/>
      <w:color w:val="000000"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locked/>
    <w:rsid w:val="00834F45"/>
    <w:rPr>
      <w:b/>
      <w:bCs/>
    </w:rPr>
  </w:style>
  <w:style w:type="character" w:customStyle="1" w:styleId="CommentSubjectChar">
    <w:name w:val="Comment Subject Char"/>
    <w:basedOn w:val="CommentTextChar"/>
    <w:link w:val="CommentSubject"/>
    <w:uiPriority w:val="99"/>
    <w:semiHidden/>
    <w:rsid w:val="00834F45"/>
    <w:rPr>
      <w:rFonts w:ascii="Segoe UI" w:hAnsi="Segoe UI" w:cs="Segoe UI"/>
      <w:b/>
      <w:bCs/>
      <w:noProof w:val="0"/>
      <w:color w:val="000000" w:themeColor="text1"/>
      <w:kern w:val="0"/>
      <w:sz w:val="20"/>
      <w:szCs w:val="20"/>
      <w14:ligatures w14:val="none"/>
    </w:rPr>
  </w:style>
  <w:style w:type="table" w:styleId="DarkList">
    <w:name w:val="Dark List"/>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locked/>
    <w:rsid w:val="00834F45"/>
  </w:style>
  <w:style w:type="character" w:customStyle="1" w:styleId="DateChar">
    <w:name w:val="Date Char"/>
    <w:basedOn w:val="DefaultParagraphFont"/>
    <w:link w:val="Date"/>
    <w:uiPriority w:val="99"/>
    <w:semiHidden/>
    <w:rsid w:val="00834F45"/>
    <w:rPr>
      <w:rFonts w:ascii="Segoe UI" w:hAnsi="Segoe UI" w:cs="Segoe UI"/>
      <w:noProof w:val="0"/>
      <w:color w:val="000000" w:themeColor="text1"/>
      <w:kern w:val="0"/>
      <w:sz w:val="20"/>
      <w14:ligatures w14:val="none"/>
    </w:rPr>
  </w:style>
  <w:style w:type="paragraph" w:styleId="DocumentMap">
    <w:name w:val="Document Map"/>
    <w:basedOn w:val="Normal"/>
    <w:link w:val="DocumentMapChar"/>
    <w:uiPriority w:val="99"/>
    <w:semiHidden/>
    <w:unhideWhenUsed/>
    <w:locked/>
    <w:rsid w:val="00834F45"/>
    <w:pPr>
      <w:spacing w:before="0" w:after="0"/>
    </w:pPr>
    <w:rPr>
      <w:sz w:val="16"/>
      <w:szCs w:val="16"/>
    </w:rPr>
  </w:style>
  <w:style w:type="character" w:customStyle="1" w:styleId="DocumentMapChar">
    <w:name w:val="Document Map Char"/>
    <w:basedOn w:val="DefaultParagraphFont"/>
    <w:link w:val="DocumentMap"/>
    <w:uiPriority w:val="99"/>
    <w:semiHidden/>
    <w:rsid w:val="00834F45"/>
    <w:rPr>
      <w:rFonts w:ascii="Segoe UI" w:hAnsi="Segoe UI" w:cs="Segoe UI"/>
      <w:noProof w:val="0"/>
      <w:color w:val="000000" w:themeColor="text1"/>
      <w:kern w:val="0"/>
      <w:sz w:val="16"/>
      <w:szCs w:val="16"/>
      <w14:ligatures w14:val="none"/>
    </w:rPr>
  </w:style>
  <w:style w:type="paragraph" w:styleId="E-mailSignature">
    <w:name w:val="E-mail Signature"/>
    <w:basedOn w:val="Normal"/>
    <w:link w:val="E-mailSignatureChar"/>
    <w:uiPriority w:val="99"/>
    <w:semiHidden/>
    <w:unhideWhenUsed/>
    <w:locked/>
    <w:rsid w:val="00834F45"/>
    <w:pPr>
      <w:spacing w:before="0" w:after="0"/>
    </w:pPr>
  </w:style>
  <w:style w:type="character" w:customStyle="1" w:styleId="E-mailSignatureChar">
    <w:name w:val="E-mail Signature Char"/>
    <w:basedOn w:val="DefaultParagraphFont"/>
    <w:link w:val="E-mailSignature"/>
    <w:uiPriority w:val="99"/>
    <w:semiHidden/>
    <w:rsid w:val="00834F45"/>
    <w:rPr>
      <w:rFonts w:ascii="Segoe UI" w:hAnsi="Segoe UI" w:cs="Segoe UI"/>
      <w:noProof w:val="0"/>
      <w:color w:val="000000" w:themeColor="text1"/>
      <w:kern w:val="0"/>
      <w:sz w:val="20"/>
      <w14:ligatures w14:val="none"/>
    </w:rPr>
  </w:style>
  <w:style w:type="character" w:styleId="Emphasis">
    <w:name w:val="Emphasis"/>
    <w:basedOn w:val="DefaultParagraphFont"/>
    <w:uiPriority w:val="20"/>
    <w:locked/>
    <w:rsid w:val="00834F45"/>
    <w:rPr>
      <w:i/>
      <w:iCs/>
      <w:noProof w:val="0"/>
    </w:rPr>
  </w:style>
  <w:style w:type="character" w:styleId="EndnoteReference">
    <w:name w:val="endnote reference"/>
    <w:basedOn w:val="DefaultParagraphFont"/>
    <w:uiPriority w:val="99"/>
    <w:semiHidden/>
    <w:unhideWhenUsed/>
    <w:locked/>
    <w:rsid w:val="00834F45"/>
    <w:rPr>
      <w:noProof w:val="0"/>
      <w:vertAlign w:val="superscript"/>
    </w:rPr>
  </w:style>
  <w:style w:type="paragraph" w:styleId="EndnoteText">
    <w:name w:val="endnote text"/>
    <w:basedOn w:val="Normal"/>
    <w:link w:val="EndnoteTextChar"/>
    <w:uiPriority w:val="99"/>
    <w:semiHidden/>
    <w:unhideWhenUsed/>
    <w:locked/>
    <w:rsid w:val="00834F45"/>
    <w:pPr>
      <w:spacing w:before="0" w:after="0"/>
    </w:pPr>
    <w:rPr>
      <w:szCs w:val="20"/>
    </w:rPr>
  </w:style>
  <w:style w:type="character" w:customStyle="1" w:styleId="EndnoteTextChar">
    <w:name w:val="Endnote Text Char"/>
    <w:basedOn w:val="DefaultParagraphFont"/>
    <w:link w:val="EndnoteText"/>
    <w:uiPriority w:val="99"/>
    <w:semiHidden/>
    <w:rsid w:val="00834F45"/>
    <w:rPr>
      <w:rFonts w:ascii="Segoe UI" w:hAnsi="Segoe UI" w:cs="Segoe UI"/>
      <w:noProof w:val="0"/>
      <w:color w:val="000000" w:themeColor="text1"/>
      <w:kern w:val="0"/>
      <w:sz w:val="20"/>
      <w:szCs w:val="20"/>
      <w14:ligatures w14:val="none"/>
    </w:rPr>
  </w:style>
  <w:style w:type="paragraph" w:styleId="EnvelopeAddress">
    <w:name w:val="envelope address"/>
    <w:basedOn w:val="Normal"/>
    <w:uiPriority w:val="99"/>
    <w:semiHidden/>
    <w:unhideWhenUsed/>
    <w:locked/>
    <w:rsid w:val="00834F45"/>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834F45"/>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834F45"/>
    <w:rPr>
      <w:noProof w:val="0"/>
      <w:color w:val="96607D" w:themeColor="followedHyperlink"/>
      <w:u w:val="single"/>
    </w:rPr>
  </w:style>
  <w:style w:type="character" w:styleId="FootnoteReference">
    <w:name w:val="footnote reference"/>
    <w:basedOn w:val="DefaultParagraphFont"/>
    <w:uiPriority w:val="99"/>
    <w:semiHidden/>
    <w:unhideWhenUsed/>
    <w:locked/>
    <w:rsid w:val="00834F45"/>
    <w:rPr>
      <w:noProof w:val="0"/>
      <w:vertAlign w:val="superscript"/>
    </w:rPr>
  </w:style>
  <w:style w:type="paragraph" w:styleId="FootnoteText">
    <w:name w:val="footnote text"/>
    <w:basedOn w:val="Normal"/>
    <w:link w:val="FootnoteTextChar"/>
    <w:uiPriority w:val="99"/>
    <w:semiHidden/>
    <w:unhideWhenUsed/>
    <w:locked/>
    <w:rsid w:val="00834F45"/>
    <w:pPr>
      <w:spacing w:before="0" w:after="0"/>
    </w:pPr>
    <w:rPr>
      <w:szCs w:val="20"/>
    </w:rPr>
  </w:style>
  <w:style w:type="character" w:customStyle="1" w:styleId="FootnoteTextChar">
    <w:name w:val="Footnote Text Char"/>
    <w:basedOn w:val="DefaultParagraphFont"/>
    <w:link w:val="FootnoteText"/>
    <w:uiPriority w:val="99"/>
    <w:semiHidden/>
    <w:rsid w:val="00834F45"/>
    <w:rPr>
      <w:rFonts w:ascii="Segoe UI" w:hAnsi="Segoe UI" w:cs="Segoe UI"/>
      <w:noProof w:val="0"/>
      <w:color w:val="000000" w:themeColor="text1"/>
      <w:kern w:val="0"/>
      <w:sz w:val="20"/>
      <w:szCs w:val="20"/>
      <w14:ligatures w14:val="none"/>
    </w:rPr>
  </w:style>
  <w:style w:type="table" w:styleId="GridTable1Light">
    <w:name w:val="Grid Table 1 Light"/>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834F45"/>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834F45"/>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834F45"/>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834F45"/>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834F45"/>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834F45"/>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834F45"/>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834F45"/>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834F45"/>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834F45"/>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834F45"/>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834F45"/>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locked/>
    <w:rsid w:val="00834F45"/>
    <w:rPr>
      <w:noProof w:val="0"/>
      <w:color w:val="2B579A"/>
      <w:shd w:val="clear" w:color="auto" w:fill="E1DFDD"/>
    </w:rPr>
  </w:style>
  <w:style w:type="character" w:styleId="HTMLAcronym">
    <w:name w:val="HTML Acronym"/>
    <w:basedOn w:val="DefaultParagraphFont"/>
    <w:uiPriority w:val="99"/>
    <w:semiHidden/>
    <w:unhideWhenUsed/>
    <w:locked/>
    <w:rsid w:val="00834F45"/>
    <w:rPr>
      <w:noProof w:val="0"/>
    </w:rPr>
  </w:style>
  <w:style w:type="paragraph" w:styleId="HTMLAddress">
    <w:name w:val="HTML Address"/>
    <w:basedOn w:val="Normal"/>
    <w:link w:val="HTMLAddressChar"/>
    <w:uiPriority w:val="99"/>
    <w:semiHidden/>
    <w:unhideWhenUsed/>
    <w:locked/>
    <w:rsid w:val="00834F45"/>
    <w:pPr>
      <w:spacing w:before="0" w:after="0"/>
    </w:pPr>
    <w:rPr>
      <w:i/>
      <w:iCs/>
    </w:rPr>
  </w:style>
  <w:style w:type="character" w:customStyle="1" w:styleId="HTMLAddressChar">
    <w:name w:val="HTML Address Char"/>
    <w:basedOn w:val="DefaultParagraphFont"/>
    <w:link w:val="HTMLAddress"/>
    <w:uiPriority w:val="99"/>
    <w:semiHidden/>
    <w:rsid w:val="00834F45"/>
    <w:rPr>
      <w:rFonts w:ascii="Segoe UI" w:hAnsi="Segoe UI" w:cs="Segoe UI"/>
      <w:i/>
      <w:iCs/>
      <w:noProof w:val="0"/>
      <w:color w:val="000000" w:themeColor="text1"/>
      <w:kern w:val="0"/>
      <w:sz w:val="20"/>
      <w14:ligatures w14:val="none"/>
    </w:rPr>
  </w:style>
  <w:style w:type="character" w:styleId="HTMLCite">
    <w:name w:val="HTML Cite"/>
    <w:basedOn w:val="DefaultParagraphFont"/>
    <w:uiPriority w:val="99"/>
    <w:semiHidden/>
    <w:unhideWhenUsed/>
    <w:locked/>
    <w:rsid w:val="00834F45"/>
    <w:rPr>
      <w:i/>
      <w:iCs/>
      <w:noProof w:val="0"/>
    </w:rPr>
  </w:style>
  <w:style w:type="character" w:styleId="HTMLCode">
    <w:name w:val="HTML Code"/>
    <w:basedOn w:val="DefaultParagraphFont"/>
    <w:uiPriority w:val="99"/>
    <w:semiHidden/>
    <w:unhideWhenUsed/>
    <w:locked/>
    <w:rsid w:val="00834F45"/>
    <w:rPr>
      <w:rFonts w:ascii="Consolas" w:hAnsi="Consolas"/>
      <w:noProof w:val="0"/>
      <w:sz w:val="20"/>
      <w:szCs w:val="20"/>
    </w:rPr>
  </w:style>
  <w:style w:type="character" w:styleId="HTMLDefinition">
    <w:name w:val="HTML Definition"/>
    <w:basedOn w:val="DefaultParagraphFont"/>
    <w:uiPriority w:val="99"/>
    <w:semiHidden/>
    <w:unhideWhenUsed/>
    <w:locked/>
    <w:rsid w:val="00834F45"/>
    <w:rPr>
      <w:i/>
      <w:iCs/>
      <w:noProof w:val="0"/>
    </w:rPr>
  </w:style>
  <w:style w:type="character" w:styleId="HTMLKeyboard">
    <w:name w:val="HTML Keyboard"/>
    <w:basedOn w:val="DefaultParagraphFont"/>
    <w:uiPriority w:val="99"/>
    <w:semiHidden/>
    <w:unhideWhenUsed/>
    <w:locked/>
    <w:rsid w:val="00834F45"/>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834F45"/>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834F45"/>
    <w:rPr>
      <w:rFonts w:ascii="Consolas" w:hAnsi="Consolas" w:cs="Segoe UI"/>
      <w:noProof w:val="0"/>
      <w:color w:val="000000" w:themeColor="text1"/>
      <w:kern w:val="0"/>
      <w:sz w:val="20"/>
      <w:szCs w:val="20"/>
      <w14:ligatures w14:val="none"/>
    </w:rPr>
  </w:style>
  <w:style w:type="character" w:styleId="HTMLSample">
    <w:name w:val="HTML Sample"/>
    <w:basedOn w:val="DefaultParagraphFont"/>
    <w:uiPriority w:val="99"/>
    <w:semiHidden/>
    <w:unhideWhenUsed/>
    <w:locked/>
    <w:rsid w:val="00834F45"/>
    <w:rPr>
      <w:rFonts w:ascii="Consolas" w:hAnsi="Consolas"/>
      <w:noProof w:val="0"/>
      <w:sz w:val="24"/>
      <w:szCs w:val="24"/>
    </w:rPr>
  </w:style>
  <w:style w:type="character" w:styleId="HTMLTypewriter">
    <w:name w:val="HTML Typewriter"/>
    <w:basedOn w:val="DefaultParagraphFont"/>
    <w:uiPriority w:val="99"/>
    <w:semiHidden/>
    <w:unhideWhenUsed/>
    <w:locked/>
    <w:rsid w:val="00834F45"/>
    <w:rPr>
      <w:rFonts w:ascii="Consolas" w:hAnsi="Consolas"/>
      <w:noProof w:val="0"/>
      <w:sz w:val="20"/>
      <w:szCs w:val="20"/>
    </w:rPr>
  </w:style>
  <w:style w:type="character" w:styleId="HTMLVariable">
    <w:name w:val="HTML Variable"/>
    <w:basedOn w:val="DefaultParagraphFont"/>
    <w:uiPriority w:val="99"/>
    <w:semiHidden/>
    <w:unhideWhenUsed/>
    <w:locked/>
    <w:rsid w:val="00834F45"/>
    <w:rPr>
      <w:i/>
      <w:iCs/>
      <w:noProof w:val="0"/>
    </w:rPr>
  </w:style>
  <w:style w:type="paragraph" w:styleId="Index1">
    <w:name w:val="index 1"/>
    <w:basedOn w:val="Normal"/>
    <w:next w:val="Normal"/>
    <w:uiPriority w:val="99"/>
    <w:semiHidden/>
    <w:unhideWhenUsed/>
    <w:locked/>
    <w:rsid w:val="00834F45"/>
    <w:pPr>
      <w:spacing w:before="0" w:after="0"/>
      <w:ind w:left="200" w:hanging="200"/>
    </w:pPr>
  </w:style>
  <w:style w:type="paragraph" w:styleId="Index2">
    <w:name w:val="index 2"/>
    <w:basedOn w:val="Normal"/>
    <w:next w:val="Normal"/>
    <w:uiPriority w:val="99"/>
    <w:semiHidden/>
    <w:unhideWhenUsed/>
    <w:locked/>
    <w:rsid w:val="00834F45"/>
    <w:pPr>
      <w:spacing w:before="0" w:after="0"/>
      <w:ind w:left="400" w:hanging="200"/>
    </w:pPr>
  </w:style>
  <w:style w:type="paragraph" w:styleId="Index3">
    <w:name w:val="index 3"/>
    <w:basedOn w:val="Normal"/>
    <w:next w:val="Normal"/>
    <w:uiPriority w:val="99"/>
    <w:semiHidden/>
    <w:unhideWhenUsed/>
    <w:locked/>
    <w:rsid w:val="00834F45"/>
    <w:pPr>
      <w:spacing w:before="0" w:after="0"/>
      <w:ind w:left="600" w:hanging="200"/>
    </w:pPr>
  </w:style>
  <w:style w:type="paragraph" w:styleId="Index4">
    <w:name w:val="index 4"/>
    <w:basedOn w:val="Normal"/>
    <w:next w:val="Normal"/>
    <w:uiPriority w:val="99"/>
    <w:semiHidden/>
    <w:unhideWhenUsed/>
    <w:locked/>
    <w:rsid w:val="00834F45"/>
    <w:pPr>
      <w:spacing w:before="0" w:after="0"/>
      <w:ind w:left="800" w:hanging="200"/>
    </w:pPr>
  </w:style>
  <w:style w:type="paragraph" w:styleId="Index5">
    <w:name w:val="index 5"/>
    <w:basedOn w:val="Normal"/>
    <w:next w:val="Normal"/>
    <w:uiPriority w:val="99"/>
    <w:semiHidden/>
    <w:unhideWhenUsed/>
    <w:locked/>
    <w:rsid w:val="00834F45"/>
    <w:pPr>
      <w:spacing w:before="0" w:after="0"/>
      <w:ind w:left="1000" w:hanging="200"/>
    </w:pPr>
  </w:style>
  <w:style w:type="paragraph" w:styleId="Index6">
    <w:name w:val="index 6"/>
    <w:basedOn w:val="Normal"/>
    <w:next w:val="Normal"/>
    <w:uiPriority w:val="99"/>
    <w:semiHidden/>
    <w:unhideWhenUsed/>
    <w:locked/>
    <w:rsid w:val="00834F45"/>
    <w:pPr>
      <w:spacing w:before="0" w:after="0"/>
      <w:ind w:left="1200" w:hanging="200"/>
    </w:pPr>
  </w:style>
  <w:style w:type="paragraph" w:styleId="Index7">
    <w:name w:val="index 7"/>
    <w:basedOn w:val="Normal"/>
    <w:next w:val="Normal"/>
    <w:uiPriority w:val="99"/>
    <w:semiHidden/>
    <w:unhideWhenUsed/>
    <w:locked/>
    <w:rsid w:val="00834F45"/>
    <w:pPr>
      <w:spacing w:before="0" w:after="0"/>
      <w:ind w:left="1400" w:hanging="200"/>
    </w:pPr>
  </w:style>
  <w:style w:type="paragraph" w:styleId="Index8">
    <w:name w:val="index 8"/>
    <w:basedOn w:val="Normal"/>
    <w:next w:val="Normal"/>
    <w:uiPriority w:val="99"/>
    <w:semiHidden/>
    <w:unhideWhenUsed/>
    <w:locked/>
    <w:rsid w:val="00834F45"/>
    <w:pPr>
      <w:spacing w:before="0" w:after="0"/>
      <w:ind w:left="1600" w:hanging="200"/>
    </w:pPr>
  </w:style>
  <w:style w:type="paragraph" w:styleId="Index9">
    <w:name w:val="index 9"/>
    <w:basedOn w:val="Normal"/>
    <w:next w:val="Normal"/>
    <w:uiPriority w:val="99"/>
    <w:semiHidden/>
    <w:unhideWhenUsed/>
    <w:locked/>
    <w:rsid w:val="00834F45"/>
    <w:pPr>
      <w:spacing w:before="0" w:after="0"/>
      <w:ind w:left="1800" w:hanging="200"/>
    </w:pPr>
  </w:style>
  <w:style w:type="paragraph" w:styleId="IndexHeading">
    <w:name w:val="index heading"/>
    <w:basedOn w:val="Normal"/>
    <w:next w:val="Index1"/>
    <w:uiPriority w:val="99"/>
    <w:semiHidden/>
    <w:unhideWhenUsed/>
    <w:locked/>
    <w:rsid w:val="00834F45"/>
    <w:rPr>
      <w:rFonts w:asciiTheme="majorHAnsi" w:eastAsiaTheme="majorEastAsia" w:hAnsiTheme="majorHAnsi" w:cstheme="majorBidi"/>
      <w:b/>
      <w:bCs/>
    </w:rPr>
  </w:style>
  <w:style w:type="table" w:styleId="LightGrid">
    <w:name w:val="Light Grid"/>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locked/>
    <w:rsid w:val="00834F45"/>
    <w:pPr>
      <w:spacing w:after="0" w:line="240" w:lineRule="auto"/>
    </w:pPr>
    <w:rPr>
      <w:rFonts w:eastAsiaTheme="minorEastAsia"/>
      <w:color w:val="000000" w:themeColor="text1" w:themeShade="BF"/>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834F45"/>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834F45"/>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834F45"/>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834F45"/>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834F45"/>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834F45"/>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locked/>
    <w:rsid w:val="00834F45"/>
    <w:rPr>
      <w:noProof w:val="0"/>
    </w:rPr>
  </w:style>
  <w:style w:type="paragraph" w:styleId="List">
    <w:name w:val="List"/>
    <w:basedOn w:val="Normal"/>
    <w:uiPriority w:val="99"/>
    <w:semiHidden/>
    <w:unhideWhenUsed/>
    <w:locked/>
    <w:rsid w:val="00834F45"/>
    <w:pPr>
      <w:ind w:left="283" w:hanging="283"/>
      <w:contextualSpacing/>
    </w:pPr>
  </w:style>
  <w:style w:type="paragraph" w:styleId="List2">
    <w:name w:val="List 2"/>
    <w:basedOn w:val="Normal"/>
    <w:uiPriority w:val="99"/>
    <w:semiHidden/>
    <w:unhideWhenUsed/>
    <w:locked/>
    <w:rsid w:val="00834F45"/>
    <w:pPr>
      <w:ind w:left="566" w:hanging="283"/>
      <w:contextualSpacing/>
    </w:pPr>
  </w:style>
  <w:style w:type="paragraph" w:styleId="List3">
    <w:name w:val="List 3"/>
    <w:basedOn w:val="Normal"/>
    <w:uiPriority w:val="99"/>
    <w:semiHidden/>
    <w:unhideWhenUsed/>
    <w:locked/>
    <w:rsid w:val="00834F45"/>
    <w:pPr>
      <w:ind w:left="849" w:hanging="283"/>
      <w:contextualSpacing/>
    </w:pPr>
  </w:style>
  <w:style w:type="paragraph" w:styleId="List4">
    <w:name w:val="List 4"/>
    <w:basedOn w:val="Normal"/>
    <w:uiPriority w:val="99"/>
    <w:semiHidden/>
    <w:unhideWhenUsed/>
    <w:locked/>
    <w:rsid w:val="00834F45"/>
    <w:pPr>
      <w:ind w:left="1132" w:hanging="283"/>
      <w:contextualSpacing/>
    </w:pPr>
  </w:style>
  <w:style w:type="paragraph" w:styleId="List5">
    <w:name w:val="List 5"/>
    <w:basedOn w:val="Normal"/>
    <w:uiPriority w:val="99"/>
    <w:semiHidden/>
    <w:unhideWhenUsed/>
    <w:locked/>
    <w:rsid w:val="00834F45"/>
    <w:pPr>
      <w:ind w:left="1415" w:hanging="283"/>
      <w:contextualSpacing/>
    </w:pPr>
  </w:style>
  <w:style w:type="paragraph" w:styleId="ListBullet">
    <w:name w:val="List Bullet"/>
    <w:basedOn w:val="Normal"/>
    <w:uiPriority w:val="99"/>
    <w:semiHidden/>
    <w:unhideWhenUsed/>
    <w:locked/>
    <w:rsid w:val="00834F45"/>
    <w:pPr>
      <w:tabs>
        <w:tab w:val="num" w:pos="360"/>
      </w:tabs>
      <w:ind w:left="360" w:hanging="360"/>
      <w:contextualSpacing/>
    </w:pPr>
  </w:style>
  <w:style w:type="paragraph" w:styleId="ListBullet2">
    <w:name w:val="List Bullet 2"/>
    <w:basedOn w:val="Normal"/>
    <w:uiPriority w:val="99"/>
    <w:semiHidden/>
    <w:unhideWhenUsed/>
    <w:locked/>
    <w:rsid w:val="00834F45"/>
    <w:pPr>
      <w:tabs>
        <w:tab w:val="num" w:pos="643"/>
      </w:tabs>
      <w:ind w:left="643" w:hanging="360"/>
      <w:contextualSpacing/>
    </w:pPr>
  </w:style>
  <w:style w:type="paragraph" w:styleId="ListBullet3">
    <w:name w:val="List Bullet 3"/>
    <w:basedOn w:val="Normal"/>
    <w:uiPriority w:val="99"/>
    <w:semiHidden/>
    <w:unhideWhenUsed/>
    <w:locked/>
    <w:rsid w:val="00834F45"/>
    <w:pPr>
      <w:tabs>
        <w:tab w:val="num" w:pos="926"/>
      </w:tabs>
      <w:ind w:left="926" w:hanging="360"/>
      <w:contextualSpacing/>
    </w:pPr>
  </w:style>
  <w:style w:type="paragraph" w:styleId="ListBullet4">
    <w:name w:val="List Bullet 4"/>
    <w:basedOn w:val="Normal"/>
    <w:uiPriority w:val="99"/>
    <w:semiHidden/>
    <w:unhideWhenUsed/>
    <w:locked/>
    <w:rsid w:val="00834F45"/>
    <w:pPr>
      <w:tabs>
        <w:tab w:val="num" w:pos="1209"/>
      </w:tabs>
      <w:ind w:left="1209" w:hanging="360"/>
      <w:contextualSpacing/>
    </w:pPr>
  </w:style>
  <w:style w:type="paragraph" w:styleId="ListBullet5">
    <w:name w:val="List Bullet 5"/>
    <w:basedOn w:val="Normal"/>
    <w:uiPriority w:val="99"/>
    <w:semiHidden/>
    <w:unhideWhenUsed/>
    <w:locked/>
    <w:rsid w:val="00834F45"/>
    <w:pPr>
      <w:tabs>
        <w:tab w:val="num" w:pos="1492"/>
      </w:tabs>
      <w:ind w:left="1492" w:hanging="360"/>
      <w:contextualSpacing/>
    </w:pPr>
  </w:style>
  <w:style w:type="paragraph" w:styleId="ListContinue">
    <w:name w:val="List Continue"/>
    <w:basedOn w:val="Normal"/>
    <w:uiPriority w:val="99"/>
    <w:semiHidden/>
    <w:unhideWhenUsed/>
    <w:locked/>
    <w:rsid w:val="00834F45"/>
    <w:pPr>
      <w:spacing w:after="120"/>
      <w:ind w:left="283"/>
      <w:contextualSpacing/>
    </w:pPr>
  </w:style>
  <w:style w:type="paragraph" w:styleId="ListContinue2">
    <w:name w:val="List Continue 2"/>
    <w:basedOn w:val="Normal"/>
    <w:uiPriority w:val="99"/>
    <w:semiHidden/>
    <w:unhideWhenUsed/>
    <w:locked/>
    <w:rsid w:val="00834F45"/>
    <w:pPr>
      <w:spacing w:after="120"/>
      <w:ind w:left="566"/>
      <w:contextualSpacing/>
    </w:pPr>
  </w:style>
  <w:style w:type="paragraph" w:styleId="ListContinue3">
    <w:name w:val="List Continue 3"/>
    <w:basedOn w:val="Normal"/>
    <w:uiPriority w:val="99"/>
    <w:semiHidden/>
    <w:unhideWhenUsed/>
    <w:locked/>
    <w:rsid w:val="00834F45"/>
    <w:pPr>
      <w:spacing w:after="120"/>
      <w:ind w:left="849"/>
      <w:contextualSpacing/>
    </w:pPr>
  </w:style>
  <w:style w:type="paragraph" w:styleId="ListContinue4">
    <w:name w:val="List Continue 4"/>
    <w:basedOn w:val="Normal"/>
    <w:uiPriority w:val="99"/>
    <w:semiHidden/>
    <w:unhideWhenUsed/>
    <w:locked/>
    <w:rsid w:val="00834F45"/>
    <w:pPr>
      <w:spacing w:after="120"/>
      <w:ind w:left="1132"/>
      <w:contextualSpacing/>
    </w:pPr>
  </w:style>
  <w:style w:type="paragraph" w:styleId="ListContinue5">
    <w:name w:val="List Continue 5"/>
    <w:basedOn w:val="Normal"/>
    <w:uiPriority w:val="99"/>
    <w:semiHidden/>
    <w:unhideWhenUsed/>
    <w:locked/>
    <w:rsid w:val="00834F45"/>
    <w:pPr>
      <w:spacing w:after="120"/>
      <w:ind w:left="1415"/>
      <w:contextualSpacing/>
    </w:pPr>
  </w:style>
  <w:style w:type="paragraph" w:styleId="ListNumber">
    <w:name w:val="List Number"/>
    <w:basedOn w:val="Normal"/>
    <w:uiPriority w:val="99"/>
    <w:semiHidden/>
    <w:unhideWhenUsed/>
    <w:locked/>
    <w:rsid w:val="00834F45"/>
    <w:pPr>
      <w:tabs>
        <w:tab w:val="num" w:pos="360"/>
      </w:tabs>
      <w:ind w:left="360" w:hanging="360"/>
      <w:contextualSpacing/>
    </w:pPr>
  </w:style>
  <w:style w:type="paragraph" w:styleId="ListNumber2">
    <w:name w:val="List Number 2"/>
    <w:basedOn w:val="Normal"/>
    <w:uiPriority w:val="99"/>
    <w:semiHidden/>
    <w:unhideWhenUsed/>
    <w:locked/>
    <w:rsid w:val="00834F45"/>
    <w:pPr>
      <w:tabs>
        <w:tab w:val="num" w:pos="643"/>
      </w:tabs>
      <w:ind w:left="643" w:hanging="360"/>
      <w:contextualSpacing/>
    </w:pPr>
  </w:style>
  <w:style w:type="paragraph" w:styleId="ListNumber3">
    <w:name w:val="List Number 3"/>
    <w:basedOn w:val="Normal"/>
    <w:uiPriority w:val="99"/>
    <w:semiHidden/>
    <w:unhideWhenUsed/>
    <w:locked/>
    <w:rsid w:val="00834F45"/>
    <w:pPr>
      <w:tabs>
        <w:tab w:val="num" w:pos="926"/>
      </w:tabs>
      <w:ind w:left="926" w:hanging="360"/>
      <w:contextualSpacing/>
    </w:pPr>
  </w:style>
  <w:style w:type="paragraph" w:styleId="ListNumber4">
    <w:name w:val="List Number 4"/>
    <w:basedOn w:val="Normal"/>
    <w:uiPriority w:val="99"/>
    <w:semiHidden/>
    <w:unhideWhenUsed/>
    <w:locked/>
    <w:rsid w:val="00834F45"/>
    <w:pPr>
      <w:tabs>
        <w:tab w:val="num" w:pos="1209"/>
      </w:tabs>
      <w:ind w:left="1209" w:hanging="360"/>
      <w:contextualSpacing/>
    </w:pPr>
  </w:style>
  <w:style w:type="paragraph" w:styleId="ListNumber5">
    <w:name w:val="List Number 5"/>
    <w:basedOn w:val="Normal"/>
    <w:uiPriority w:val="99"/>
    <w:semiHidden/>
    <w:unhideWhenUsed/>
    <w:locked/>
    <w:rsid w:val="00834F45"/>
    <w:pPr>
      <w:tabs>
        <w:tab w:val="num" w:pos="1492"/>
      </w:tabs>
      <w:ind w:left="1492" w:hanging="360"/>
      <w:contextualSpacing/>
    </w:pPr>
  </w:style>
  <w:style w:type="table" w:styleId="ListTable1Light">
    <w:name w:val="List Table 1 Light"/>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834F45"/>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834F45"/>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834F45"/>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834F45"/>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834F45"/>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834F45"/>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834F45"/>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834F45"/>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834F45"/>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834F45"/>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834F45"/>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834F45"/>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834F45"/>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834F45"/>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kern w:val="0"/>
      <w:sz w:val="20"/>
      <w:szCs w:val="20"/>
      <w14:ligatures w14:val="none"/>
    </w:rPr>
  </w:style>
  <w:style w:type="character" w:customStyle="1" w:styleId="MacroTextChar">
    <w:name w:val="Macro Text Char"/>
    <w:basedOn w:val="DefaultParagraphFont"/>
    <w:link w:val="MacroText"/>
    <w:uiPriority w:val="99"/>
    <w:semiHidden/>
    <w:rsid w:val="00834F45"/>
    <w:rPr>
      <w:rFonts w:ascii="Consolas" w:hAnsi="Consolas" w:cs="Segoe UI"/>
      <w:noProof w:val="0"/>
      <w:color w:val="000000" w:themeColor="text1"/>
      <w:kern w:val="0"/>
      <w:sz w:val="20"/>
      <w:szCs w:val="20"/>
      <w14:ligatures w14:val="none"/>
    </w:rPr>
  </w:style>
  <w:style w:type="table" w:styleId="MediumGrid1">
    <w:name w:val="Medium Grid 1"/>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834F45"/>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834F45"/>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834F45"/>
    <w:rPr>
      <w:noProof w:val="0"/>
      <w:color w:val="2B579A"/>
      <w:shd w:val="clear" w:color="auto" w:fill="E1DFDD"/>
    </w:rPr>
  </w:style>
  <w:style w:type="paragraph" w:styleId="MessageHeader">
    <w:name w:val="Message Header"/>
    <w:basedOn w:val="Normal"/>
    <w:link w:val="MessageHeaderChar"/>
    <w:uiPriority w:val="99"/>
    <w:semiHidden/>
    <w:unhideWhenUsed/>
    <w:locked/>
    <w:rsid w:val="00834F45"/>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34F45"/>
    <w:rPr>
      <w:rFonts w:asciiTheme="majorHAnsi" w:eastAsiaTheme="majorEastAsia" w:hAnsiTheme="majorHAnsi" w:cstheme="majorBidi"/>
      <w:noProof w:val="0"/>
      <w:color w:val="000000" w:themeColor="text1"/>
      <w:kern w:val="0"/>
      <w:sz w:val="24"/>
      <w:szCs w:val="24"/>
      <w:shd w:val="pct20" w:color="auto" w:fill="auto"/>
      <w14:ligatures w14:val="none"/>
    </w:rPr>
  </w:style>
  <w:style w:type="paragraph" w:styleId="NoSpacing">
    <w:name w:val="No Spacing"/>
    <w:uiPriority w:val="1"/>
    <w:locked/>
    <w:rsid w:val="00834F45"/>
    <w:pPr>
      <w:spacing w:after="0" w:line="240" w:lineRule="auto"/>
    </w:pPr>
    <w:rPr>
      <w:rFonts w:ascii="Segoe UI" w:hAnsi="Segoe UI" w:cs="Segoe UI"/>
      <w:color w:val="000000" w:themeColor="text1"/>
      <w:kern w:val="0"/>
      <w:sz w:val="20"/>
      <w14:ligatures w14:val="none"/>
    </w:rPr>
  </w:style>
  <w:style w:type="paragraph" w:styleId="NormalWeb">
    <w:name w:val="Normal (Web)"/>
    <w:basedOn w:val="Normal"/>
    <w:uiPriority w:val="99"/>
    <w:semiHidden/>
    <w:unhideWhenUsed/>
    <w:locked/>
    <w:rsid w:val="00834F45"/>
    <w:rPr>
      <w:rFonts w:ascii="Times New Roman" w:hAnsi="Times New Roman" w:cs="Times New Roman"/>
      <w:sz w:val="24"/>
      <w:szCs w:val="24"/>
    </w:rPr>
  </w:style>
  <w:style w:type="paragraph" w:styleId="NormalIndent">
    <w:name w:val="Normal Indent"/>
    <w:basedOn w:val="Normal"/>
    <w:uiPriority w:val="99"/>
    <w:semiHidden/>
    <w:unhideWhenUsed/>
    <w:locked/>
    <w:rsid w:val="00834F45"/>
    <w:pPr>
      <w:ind w:left="720"/>
    </w:pPr>
  </w:style>
  <w:style w:type="paragraph" w:styleId="NoteHeading">
    <w:name w:val="Note Heading"/>
    <w:basedOn w:val="Normal"/>
    <w:next w:val="Normal"/>
    <w:link w:val="NoteHeadingChar"/>
    <w:uiPriority w:val="99"/>
    <w:semiHidden/>
    <w:unhideWhenUsed/>
    <w:locked/>
    <w:rsid w:val="00834F45"/>
    <w:pPr>
      <w:spacing w:before="0" w:after="0"/>
    </w:pPr>
  </w:style>
  <w:style w:type="character" w:customStyle="1" w:styleId="NoteHeadingChar">
    <w:name w:val="Note Heading Char"/>
    <w:basedOn w:val="DefaultParagraphFont"/>
    <w:link w:val="NoteHeading"/>
    <w:uiPriority w:val="99"/>
    <w:semiHidden/>
    <w:rsid w:val="00834F45"/>
    <w:rPr>
      <w:rFonts w:ascii="Segoe UI" w:hAnsi="Segoe UI" w:cs="Segoe UI"/>
      <w:noProof w:val="0"/>
      <w:color w:val="000000" w:themeColor="text1"/>
      <w:kern w:val="0"/>
      <w:sz w:val="20"/>
      <w14:ligatures w14:val="none"/>
    </w:rPr>
  </w:style>
  <w:style w:type="table" w:styleId="PlainTable1">
    <w:name w:val="Plain Table 1"/>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834F45"/>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834F45"/>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834F45"/>
    <w:rPr>
      <w:rFonts w:ascii="Consolas" w:hAnsi="Consolas" w:cs="Segoe UI"/>
      <w:noProof w:val="0"/>
      <w:color w:val="000000" w:themeColor="text1"/>
      <w:kern w:val="0"/>
      <w:sz w:val="21"/>
      <w:szCs w:val="21"/>
      <w14:ligatures w14:val="none"/>
    </w:rPr>
  </w:style>
  <w:style w:type="paragraph" w:styleId="Salutation">
    <w:name w:val="Salutation"/>
    <w:basedOn w:val="Normal"/>
    <w:next w:val="Normal"/>
    <w:link w:val="SalutationChar"/>
    <w:uiPriority w:val="99"/>
    <w:semiHidden/>
    <w:unhideWhenUsed/>
    <w:locked/>
    <w:rsid w:val="00834F45"/>
  </w:style>
  <w:style w:type="character" w:customStyle="1" w:styleId="SalutationChar">
    <w:name w:val="Salutation Char"/>
    <w:basedOn w:val="DefaultParagraphFont"/>
    <w:link w:val="Salutation"/>
    <w:uiPriority w:val="99"/>
    <w:semiHidden/>
    <w:rsid w:val="00834F45"/>
    <w:rPr>
      <w:rFonts w:ascii="Segoe UI" w:hAnsi="Segoe UI" w:cs="Segoe UI"/>
      <w:noProof w:val="0"/>
      <w:color w:val="000000" w:themeColor="text1"/>
      <w:kern w:val="0"/>
      <w:sz w:val="20"/>
      <w14:ligatures w14:val="none"/>
    </w:rPr>
  </w:style>
  <w:style w:type="paragraph" w:styleId="Signature">
    <w:name w:val="Signature"/>
    <w:basedOn w:val="Normal"/>
    <w:link w:val="SignatureChar"/>
    <w:uiPriority w:val="99"/>
    <w:semiHidden/>
    <w:unhideWhenUsed/>
    <w:locked/>
    <w:rsid w:val="00834F45"/>
    <w:pPr>
      <w:spacing w:before="0" w:after="0"/>
      <w:ind w:left="4252"/>
    </w:pPr>
  </w:style>
  <w:style w:type="character" w:customStyle="1" w:styleId="SignatureChar">
    <w:name w:val="Signature Char"/>
    <w:basedOn w:val="DefaultParagraphFont"/>
    <w:link w:val="Signature"/>
    <w:uiPriority w:val="99"/>
    <w:semiHidden/>
    <w:rsid w:val="00834F45"/>
    <w:rPr>
      <w:rFonts w:ascii="Segoe UI" w:hAnsi="Segoe UI" w:cs="Segoe UI"/>
      <w:noProof w:val="0"/>
      <w:color w:val="000000" w:themeColor="text1"/>
      <w:kern w:val="0"/>
      <w:sz w:val="20"/>
      <w14:ligatures w14:val="none"/>
    </w:rPr>
  </w:style>
  <w:style w:type="character" w:styleId="SmartHyperlink">
    <w:name w:val="Smart Hyperlink"/>
    <w:basedOn w:val="DefaultParagraphFont"/>
    <w:uiPriority w:val="99"/>
    <w:semiHidden/>
    <w:unhideWhenUsed/>
    <w:locked/>
    <w:rsid w:val="00834F45"/>
    <w:rPr>
      <w:noProof w:val="0"/>
      <w:u w:val="dotted"/>
    </w:rPr>
  </w:style>
  <w:style w:type="character" w:styleId="SmartLink">
    <w:name w:val="Smart Link"/>
    <w:basedOn w:val="DefaultParagraphFont"/>
    <w:uiPriority w:val="99"/>
    <w:semiHidden/>
    <w:unhideWhenUsed/>
    <w:locked/>
    <w:rsid w:val="00834F45"/>
    <w:rPr>
      <w:noProof w:val="0"/>
      <w:color w:val="0000FF"/>
      <w:u w:val="single"/>
      <w:shd w:val="clear" w:color="auto" w:fill="F3F2F1"/>
    </w:rPr>
  </w:style>
  <w:style w:type="character" w:styleId="Strong">
    <w:name w:val="Strong"/>
    <w:basedOn w:val="DefaultParagraphFont"/>
    <w:uiPriority w:val="22"/>
    <w:locked/>
    <w:rsid w:val="00834F45"/>
    <w:rPr>
      <w:b/>
      <w:bCs/>
      <w:noProof w:val="0"/>
    </w:rPr>
  </w:style>
  <w:style w:type="character" w:styleId="SubtleEmphasis">
    <w:name w:val="Subtle Emphasis"/>
    <w:basedOn w:val="DefaultParagraphFont"/>
    <w:uiPriority w:val="19"/>
    <w:locked/>
    <w:rsid w:val="00834F45"/>
    <w:rPr>
      <w:i/>
      <w:iCs/>
      <w:noProof w:val="0"/>
      <w:color w:val="404040" w:themeColor="text1" w:themeTint="BF"/>
    </w:rPr>
  </w:style>
  <w:style w:type="character" w:styleId="SubtleReference">
    <w:name w:val="Subtle Reference"/>
    <w:basedOn w:val="DefaultParagraphFont"/>
    <w:uiPriority w:val="31"/>
    <w:locked/>
    <w:rsid w:val="00834F45"/>
    <w:rPr>
      <w:smallCaps/>
      <w:noProof w:val="0"/>
      <w:color w:val="5A5A5A" w:themeColor="text1" w:themeTint="A5"/>
    </w:rPr>
  </w:style>
  <w:style w:type="table" w:styleId="Table3Deffects1">
    <w:name w:val="Table 3D effects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834F45"/>
    <w:pPr>
      <w:spacing w:before="100" w:after="100" w:line="240" w:lineRule="auto"/>
    </w:pPr>
    <w:rPr>
      <w:rFonts w:eastAsiaTheme="minorEastAsia"/>
      <w:color w:val="000080"/>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834F45"/>
    <w:pPr>
      <w:spacing w:before="100" w:after="100" w:line="240" w:lineRule="auto"/>
    </w:pPr>
    <w:rPr>
      <w:rFonts w:eastAsiaTheme="minorEastAsia"/>
      <w:color w:val="FFFFFF"/>
      <w:kern w:val="0"/>
      <w:sz w:val="20"/>
      <w:szCs w:val="20"/>
      <w:lang w:val="en-US"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834F45"/>
    <w:pPr>
      <w:spacing w:before="100" w:after="100" w:line="240" w:lineRule="auto"/>
    </w:pPr>
    <w:rPr>
      <w:rFonts w:eastAsiaTheme="minorEastAsia"/>
      <w:b/>
      <w:bCs/>
      <w:kern w:val="0"/>
      <w:sz w:val="20"/>
      <w:szCs w:val="20"/>
      <w:lang w:val="en-US"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834F45"/>
    <w:pPr>
      <w:spacing w:before="100" w:after="100" w:line="240" w:lineRule="auto"/>
    </w:pPr>
    <w:rPr>
      <w:rFonts w:eastAsiaTheme="minorEastAsia"/>
      <w:b/>
      <w:bCs/>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834F45"/>
    <w:pPr>
      <w:spacing w:before="100" w:after="100" w:line="240" w:lineRule="auto"/>
    </w:pPr>
    <w:rPr>
      <w:rFonts w:eastAsiaTheme="minorEastAsia"/>
      <w:b/>
      <w:bCs/>
      <w:kern w:val="0"/>
      <w:sz w:val="20"/>
      <w:szCs w:val="20"/>
      <w:lang w:val="en-US"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834F45"/>
    <w:pPr>
      <w:spacing w:after="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834F45"/>
    <w:pPr>
      <w:spacing w:before="100" w:after="100" w:line="240" w:lineRule="auto"/>
    </w:pPr>
    <w:rPr>
      <w:rFonts w:eastAsiaTheme="minorEastAsia"/>
      <w:b/>
      <w:bCs/>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834F45"/>
    <w:pPr>
      <w:spacing w:after="0" w:line="240" w:lineRule="auto"/>
    </w:pPr>
    <w:rPr>
      <w:rFonts w:eastAsiaTheme="minorEastAsia"/>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834F45"/>
    <w:pPr>
      <w:spacing w:after="0"/>
      <w:ind w:left="200" w:hanging="200"/>
    </w:pPr>
  </w:style>
  <w:style w:type="paragraph" w:styleId="TableofFigures">
    <w:name w:val="table of figures"/>
    <w:basedOn w:val="Normal"/>
    <w:next w:val="Normal"/>
    <w:uiPriority w:val="99"/>
    <w:semiHidden/>
    <w:unhideWhenUsed/>
    <w:locked/>
    <w:rsid w:val="00834F45"/>
    <w:pPr>
      <w:spacing w:after="0"/>
    </w:pPr>
  </w:style>
  <w:style w:type="table" w:styleId="TableProfessional">
    <w:name w:val="Table Professional"/>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834F45"/>
    <w:pPr>
      <w:spacing w:before="100" w:after="100" w:line="240" w:lineRule="auto"/>
    </w:pPr>
    <w:rPr>
      <w:rFonts w:eastAsiaTheme="minorEastAsia"/>
      <w:kern w:val="0"/>
      <w:sz w:val="20"/>
      <w:szCs w:val="20"/>
      <w:lang w:val="en-US"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834F45"/>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834F45"/>
  </w:style>
  <w:style w:type="paragraph" w:styleId="TOC2">
    <w:name w:val="toc 2"/>
    <w:basedOn w:val="Normal"/>
    <w:next w:val="Normal"/>
    <w:uiPriority w:val="39"/>
    <w:semiHidden/>
    <w:unhideWhenUsed/>
    <w:locked/>
    <w:rsid w:val="00834F45"/>
    <w:pPr>
      <w:ind w:left="200"/>
    </w:pPr>
  </w:style>
  <w:style w:type="paragraph" w:styleId="TOC3">
    <w:name w:val="toc 3"/>
    <w:basedOn w:val="Normal"/>
    <w:next w:val="Normal"/>
    <w:uiPriority w:val="39"/>
    <w:semiHidden/>
    <w:unhideWhenUsed/>
    <w:locked/>
    <w:rsid w:val="00834F45"/>
    <w:pPr>
      <w:ind w:left="400"/>
    </w:pPr>
  </w:style>
  <w:style w:type="paragraph" w:styleId="TOC4">
    <w:name w:val="toc 4"/>
    <w:basedOn w:val="Normal"/>
    <w:next w:val="Normal"/>
    <w:uiPriority w:val="39"/>
    <w:semiHidden/>
    <w:unhideWhenUsed/>
    <w:locked/>
    <w:rsid w:val="00834F45"/>
    <w:pPr>
      <w:ind w:left="600"/>
    </w:pPr>
  </w:style>
  <w:style w:type="paragraph" w:styleId="TOC5">
    <w:name w:val="toc 5"/>
    <w:basedOn w:val="Normal"/>
    <w:next w:val="Normal"/>
    <w:uiPriority w:val="39"/>
    <w:semiHidden/>
    <w:unhideWhenUsed/>
    <w:locked/>
    <w:rsid w:val="00834F45"/>
    <w:pPr>
      <w:ind w:left="800"/>
    </w:pPr>
  </w:style>
  <w:style w:type="paragraph" w:styleId="TOC6">
    <w:name w:val="toc 6"/>
    <w:basedOn w:val="Normal"/>
    <w:next w:val="Normal"/>
    <w:uiPriority w:val="39"/>
    <w:semiHidden/>
    <w:unhideWhenUsed/>
    <w:locked/>
    <w:rsid w:val="00834F45"/>
    <w:pPr>
      <w:ind w:left="1000"/>
    </w:pPr>
  </w:style>
  <w:style w:type="paragraph" w:styleId="TOC7">
    <w:name w:val="toc 7"/>
    <w:basedOn w:val="Normal"/>
    <w:next w:val="Normal"/>
    <w:uiPriority w:val="39"/>
    <w:semiHidden/>
    <w:unhideWhenUsed/>
    <w:locked/>
    <w:rsid w:val="00834F45"/>
    <w:pPr>
      <w:ind w:left="1200"/>
    </w:pPr>
  </w:style>
  <w:style w:type="paragraph" w:styleId="TOC8">
    <w:name w:val="toc 8"/>
    <w:basedOn w:val="Normal"/>
    <w:next w:val="Normal"/>
    <w:uiPriority w:val="39"/>
    <w:semiHidden/>
    <w:unhideWhenUsed/>
    <w:locked/>
    <w:rsid w:val="00834F45"/>
    <w:pPr>
      <w:ind w:left="1400"/>
    </w:pPr>
  </w:style>
  <w:style w:type="paragraph" w:styleId="TOC9">
    <w:name w:val="toc 9"/>
    <w:basedOn w:val="Normal"/>
    <w:next w:val="Normal"/>
    <w:uiPriority w:val="39"/>
    <w:semiHidden/>
    <w:unhideWhenUsed/>
    <w:locked/>
    <w:rsid w:val="00834F45"/>
    <w:pPr>
      <w:ind w:left="1600"/>
    </w:pPr>
  </w:style>
  <w:style w:type="paragraph" w:styleId="TOCHeading">
    <w:name w:val="TOC Heading"/>
    <w:basedOn w:val="Heading1"/>
    <w:next w:val="Normal"/>
    <w:uiPriority w:val="39"/>
    <w:semiHidden/>
    <w:unhideWhenUsed/>
    <w:qFormat/>
    <w:locked/>
    <w:rsid w:val="00834F45"/>
    <w:pPr>
      <w:spacing w:before="240" w:after="0" w:line="240" w:lineRule="auto"/>
      <w:outlineLvl w:val="9"/>
    </w:pPr>
    <w:rPr>
      <w:rFonts w:asciiTheme="majorHAnsi" w:hAnsiTheme="majorHAnsi"/>
      <w:b w:val="0"/>
      <w:color w:val="0F4761" w:themeColor="accent1" w:themeShade="BF"/>
    </w:rPr>
  </w:style>
  <w:style w:type="character" w:styleId="UnresolvedMention">
    <w:name w:val="Unresolved Mention"/>
    <w:basedOn w:val="DefaultParagraphFont"/>
    <w:uiPriority w:val="99"/>
    <w:semiHidden/>
    <w:unhideWhenUsed/>
    <w:locked/>
    <w:rsid w:val="00834F45"/>
    <w:rPr>
      <w:noProof w:val="0"/>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ecb.europa.eu/events/pdf/conferences/ref_eu/Ardagna_paper.pdf"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my.oxfordeconomics.com/reports/f9082eD9bc0F415fbFfB2b"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svg"/><Relationship Id="rId25" Type="http://schemas.openxmlformats.org/officeDocument/2006/relationships/hyperlink" Target="https://www.imf.org/external/pubs/nft/op/246/op246.pdf" TargetMode="External"/><Relationship Id="rId33" Type="http://schemas.openxmlformats.org/officeDocument/2006/relationships/hyperlink" Target="https://my.oxfordeconomics.com/reports/b49D0226b2764dC58A169d/UKAplanforgrowth-nex"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hnb.hr/documents/20182/120676/mauro.pdf/0aa42fc3-57f0-4746-8ba6-ec675fee2fbb" TargetMode="External"/><Relationship Id="rId29" Type="http://schemas.openxmlformats.org/officeDocument/2006/relationships/image" Target="media/image12.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ecb.europa.eu/events/pdf/conferences/ref_eu/Ardagna_paper.pdf" TargetMode="External"/><Relationship Id="rId32" Type="http://schemas.openxmlformats.org/officeDocument/2006/relationships/hyperlink" Target="https://my.oxfordeconomics.com/reportaction/551B508c93F740C18D0F32/Toc" TargetMode="External"/><Relationship Id="rId5" Type="http://schemas.openxmlformats.org/officeDocument/2006/relationships/footnotes" Target="footnotes.xml"/><Relationship Id="rId15" Type="http://schemas.openxmlformats.org/officeDocument/2006/relationships/hyperlink" Target="https://my.oxfordeconomics.com/reportaction/6558E9Db95634cBc81c2d2/Toc" TargetMode="External"/><Relationship Id="rId23" Type="http://schemas.openxmlformats.org/officeDocument/2006/relationships/image" Target="media/image8.sv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imf.org/external/pubs/nft/op/246/op246.pdf" TargetMode="External"/><Relationship Id="rId31" Type="http://schemas.openxmlformats.org/officeDocument/2006/relationships/hyperlink" Target="https://www.elibrary.imf.org/display/book/9781557751188/ch03.xml"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0.svg"/><Relationship Id="rId30" Type="http://schemas.openxmlformats.org/officeDocument/2006/relationships/hyperlink" Target="https://my.oxfordeconomics.com/reports/f9082eD9bc0F415fbFfB2b" TargetMode="External"/><Relationship Id="rId35" Type="http://schemas.openxmlformats.org/officeDocument/2006/relationships/glossaryDocument" Target="glossary/document.xml"/><Relationship Id="rId8" Type="http://schemas.openxmlformats.org/officeDocument/2006/relationships/image" Target="media/image2.svg"/></Relationships>
</file>

<file path=word/_rels/footer3.xml.rels><?xml version="1.0" encoding="UTF-8" standalone="yes"?>
<Relationships xmlns="http://schemas.openxmlformats.org/package/2006/relationships"><Relationship Id="rId2" Type="http://schemas.openxmlformats.org/officeDocument/2006/relationships/hyperlink" Target="mailto:aslater@oxfordeconomics.com" TargetMode="External"/><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DD174653-AFDB-44B9-A595-A7F179ACE3B9}"/>
      </w:docPartPr>
      <w:docPartBody>
        <w:p w:rsidR="00360927" w:rsidRDefault="00360927">
          <w:r w:rsidRPr="00D32FE1">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27"/>
    <w:rsid w:val="00050F6E"/>
    <w:rsid w:val="00056A59"/>
    <w:rsid w:val="0009363F"/>
    <w:rsid w:val="00094ACA"/>
    <w:rsid w:val="002A2421"/>
    <w:rsid w:val="002E3F45"/>
    <w:rsid w:val="00360927"/>
    <w:rsid w:val="003A23C1"/>
    <w:rsid w:val="003D578E"/>
    <w:rsid w:val="00441FAB"/>
    <w:rsid w:val="004E0100"/>
    <w:rsid w:val="00562FE0"/>
    <w:rsid w:val="00590EE1"/>
    <w:rsid w:val="005F703F"/>
    <w:rsid w:val="00741F52"/>
    <w:rsid w:val="00777DB5"/>
    <w:rsid w:val="007B220E"/>
    <w:rsid w:val="007C10BA"/>
    <w:rsid w:val="0088365E"/>
    <w:rsid w:val="00933EB7"/>
    <w:rsid w:val="009354FE"/>
    <w:rsid w:val="009B4B20"/>
    <w:rsid w:val="009D64C5"/>
    <w:rsid w:val="00A27ADB"/>
    <w:rsid w:val="00A65F64"/>
    <w:rsid w:val="00BF4785"/>
    <w:rsid w:val="00CB37D0"/>
    <w:rsid w:val="00CC0ECD"/>
    <w:rsid w:val="00D128FB"/>
    <w:rsid w:val="00F5232C"/>
    <w:rsid w:val="00F61162"/>
    <w:rsid w:val="00F97357"/>
    <w:rsid w:val="00FF1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2082</Words>
  <Characters>12797</Characters>
  <Application>Microsoft Office Word</Application>
  <DocSecurity>4</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2</cp:revision>
  <dcterms:created xsi:type="dcterms:W3CDTF">2025-02-12T17:25:00Z</dcterms:created>
  <dcterms:modified xsi:type="dcterms:W3CDTF">2025-02-12T17:25:00Z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2025-02-12T16:53:52.000Z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v0.8.1.0</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Economist|eallenby@oxfordeconomics.com_x000d_;Adam Slater|Lead Economist|aslater@oxfordeconomics.com_x000d_</vt:lpwstr>
  </property>
  <property fmtid="{D5CDD505-2E9C-101B-9397-08002B2CF9AE}" pid="14" name="OEP_EXHIBIT_FILEPATHS">
    <vt:lpwstr/>
  </property>
  <property fmtid="{D5CDD505-2E9C-101B-9397-08002B2CF9AE}" pid="15" name="OEP_CATEGORIES">
    <vt:lpwstr>AnalysisbyRegion-Europe-UnitedKingdom,Macro-ResearchBriefings-UnitedKingdom</vt:lpwstr>
  </property>
  <property fmtid="{D5CDD505-2E9C-101B-9397-08002B2CF9AE}" pid="16" name="OEP_TAGS">
    <vt:lpwstr>Key Themes:fiscal policy,sovereign debt</vt:lpwstr>
  </property>
  <property fmtid="{D5CDD505-2E9C-101B-9397-08002B2CF9AE}" pid="17" name="OEP_PRODUCT_CODE">
    <vt:lpwstr/>
  </property>
  <property fmtid="{D5CDD505-2E9C-101B-9397-08002B2CF9AE}" pid="18" name="OEP_DATA_FILEPATH">
    <vt:lpwstr/>
  </property>
  <property fmtid="{D5CDD505-2E9C-101B-9397-08002B2CF9AE}" pid="19" name="OEP_PUBLISH_DATE">
    <vt:lpwstr/>
  </property>
</Properties>
</file>