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9BDF" w14:textId="04C20F9E" w:rsidR="001A31AA" w:rsidRPr="00A07AE5" w:rsidRDefault="00A07AE5" w:rsidP="00671631">
      <w:pPr>
        <w:pStyle w:val="Bullet"/>
      </w:pPr>
      <w:r>
        <w:t xml:space="preserve">The </w:t>
      </w:r>
      <w:r w:rsidR="001A31AA" w:rsidRPr="00A07AE5">
        <w:t>April increase in employers' national insurance contributions will weaken the UK labour market, increasing unemployment. Sectors with the greatest reliance on lower paying roles</w:t>
      </w:r>
      <w:r>
        <w:t>,</w:t>
      </w:r>
      <w:r w:rsidR="001A31AA" w:rsidRPr="00A07AE5">
        <w:t xml:space="preserve"> such as hospitality, art and recreation, and wholesale and retail</w:t>
      </w:r>
      <w:r>
        <w:t>,</w:t>
      </w:r>
      <w:r w:rsidR="001A31AA" w:rsidRPr="00A07AE5">
        <w:t xml:space="preserve"> look highly vulnerable to job losses.</w:t>
      </w:r>
    </w:p>
    <w:p w14:paraId="47373A7E" w14:textId="760D121E" w:rsidR="00A31FA2" w:rsidRPr="00A07AE5" w:rsidRDefault="00D21B97" w:rsidP="00671631">
      <w:pPr>
        <w:pStyle w:val="Bullet"/>
      </w:pPr>
      <w:r>
        <w:t>T</w:t>
      </w:r>
      <w:r w:rsidR="001A31AA" w:rsidRPr="00A07AE5">
        <w:t>o quantify the</w:t>
      </w:r>
      <w:r w:rsidR="00CC3E99" w:rsidRPr="00A07AE5">
        <w:t xml:space="preserve"> potential </w:t>
      </w:r>
      <w:r>
        <w:t xml:space="preserve">effects, we modelled the </w:t>
      </w:r>
      <w:r w:rsidR="009E6444" w:rsidRPr="00A07AE5">
        <w:t xml:space="preserve">increase in employers' </w:t>
      </w:r>
      <w:r w:rsidR="009E6444">
        <w:t>NICs</w:t>
      </w:r>
      <w:r w:rsidR="00A07AE5">
        <w:t>. The results suggest the hike</w:t>
      </w:r>
      <w:r w:rsidR="00671631" w:rsidRPr="00A07AE5">
        <w:t xml:space="preserve"> will </w:t>
      </w:r>
      <w:r w:rsidR="00CC3E99" w:rsidRPr="00A07AE5">
        <w:t>cut</w:t>
      </w:r>
      <w:r w:rsidR="00671631" w:rsidRPr="00A07AE5">
        <w:t xml:space="preserve"> employment by 55,000 and pay growth by 0.</w:t>
      </w:r>
      <w:proofErr w:type="gramStart"/>
      <w:r w:rsidR="00CC3E99" w:rsidRPr="00A07AE5">
        <w:t>2ppts, and</w:t>
      </w:r>
      <w:proofErr w:type="gramEnd"/>
      <w:r w:rsidR="00671631" w:rsidRPr="00A07AE5">
        <w:t xml:space="preserve"> rais</w:t>
      </w:r>
      <w:r w:rsidR="00CC3E99" w:rsidRPr="00A07AE5">
        <w:t>e</w:t>
      </w:r>
      <w:r w:rsidR="00671631" w:rsidRPr="00A07AE5">
        <w:t xml:space="preserve"> </w:t>
      </w:r>
      <w:r w:rsidR="0090469C" w:rsidRPr="00A07AE5">
        <w:t xml:space="preserve">the </w:t>
      </w:r>
      <w:r w:rsidR="00671631" w:rsidRPr="00A07AE5">
        <w:t xml:space="preserve">unemployment </w:t>
      </w:r>
      <w:r w:rsidR="0090469C" w:rsidRPr="00A07AE5">
        <w:t xml:space="preserve">rate </w:t>
      </w:r>
      <w:r w:rsidR="00671631" w:rsidRPr="00A07AE5">
        <w:t>by 0.2ppts</w:t>
      </w:r>
      <w:r w:rsidR="00A31FA2" w:rsidRPr="00A07AE5">
        <w:t>.</w:t>
      </w:r>
      <w:r w:rsidR="001A31AA" w:rsidRPr="00A07AE5">
        <w:t xml:space="preserve"> </w:t>
      </w:r>
      <w:r w:rsidRPr="00D21B97">
        <w:t xml:space="preserve">But we think the </w:t>
      </w:r>
      <w:r w:rsidR="007B4E1D">
        <w:t xml:space="preserve">secondary threshold cut and simultaneous increase in </w:t>
      </w:r>
      <w:r w:rsidRPr="00D21B97">
        <w:t>the national living wage</w:t>
      </w:r>
      <w:r w:rsidR="007B4E1D">
        <w:t>,</w:t>
      </w:r>
      <w:r w:rsidRPr="00D21B97">
        <w:t xml:space="preserve"> at a time when corporate profitability is already weak</w:t>
      </w:r>
      <w:r>
        <w:t xml:space="preserve">, </w:t>
      </w:r>
      <w:r w:rsidRPr="00D21B97">
        <w:t xml:space="preserve">could </w:t>
      </w:r>
      <w:r>
        <w:t>yield</w:t>
      </w:r>
      <w:r w:rsidRPr="00D21B97">
        <w:t xml:space="preserve"> nonlinear results. </w:t>
      </w:r>
      <w:proofErr w:type="gramStart"/>
      <w:r w:rsidRPr="00D21B97">
        <w:t>So</w:t>
      </w:r>
      <w:proofErr w:type="gramEnd"/>
      <w:r w:rsidRPr="00D21B97">
        <w:t xml:space="preserve"> the impact on jobs could be bigger than our modelling indicates</w:t>
      </w:r>
      <w:r w:rsidR="004C4558" w:rsidRPr="00A07AE5">
        <w:t>.</w:t>
      </w:r>
    </w:p>
    <w:p w14:paraId="1764ABBE" w14:textId="32272C42" w:rsidR="00C87C97" w:rsidRPr="00A07AE5" w:rsidRDefault="00C87C97" w:rsidP="00C87C97">
      <w:pPr>
        <w:pStyle w:val="Bullet"/>
      </w:pPr>
      <w:r w:rsidRPr="00A07AE5">
        <w:t xml:space="preserve">This year's large increase in labour costs is the latest in a series of cost pressures </w:t>
      </w:r>
      <w:r w:rsidR="00981473" w:rsidRPr="00A07AE5">
        <w:t xml:space="preserve">that have already </w:t>
      </w:r>
      <w:r w:rsidR="00427FED" w:rsidRPr="00A07AE5">
        <w:t>push</w:t>
      </w:r>
      <w:r w:rsidR="00981473" w:rsidRPr="00A07AE5">
        <w:t>ed</w:t>
      </w:r>
      <w:r w:rsidR="00427FED" w:rsidRPr="00A07AE5">
        <w:t xml:space="preserve"> </w:t>
      </w:r>
      <w:r w:rsidR="004C4BD5" w:rsidRPr="00A07AE5">
        <w:t xml:space="preserve">corporate </w:t>
      </w:r>
      <w:r w:rsidR="00427FED" w:rsidRPr="00A07AE5">
        <w:t>profitability to</w:t>
      </w:r>
      <w:r w:rsidR="00353ECB" w:rsidRPr="00A07AE5">
        <w:t xml:space="preserve"> a </w:t>
      </w:r>
      <w:r w:rsidR="00FB6752" w:rsidRPr="00A07AE5">
        <w:t>23</w:t>
      </w:r>
      <w:r w:rsidR="00353ECB" w:rsidRPr="00A07AE5">
        <w:t>-year low</w:t>
      </w:r>
      <w:r w:rsidRPr="00A07AE5">
        <w:t xml:space="preserve">. </w:t>
      </w:r>
      <w:r w:rsidR="00981473" w:rsidRPr="00A07AE5">
        <w:t>We're concerned about</w:t>
      </w:r>
      <w:r w:rsidR="00353ECB" w:rsidRPr="00A07AE5">
        <w:t xml:space="preserve"> the ability and willingness of firms to absorb </w:t>
      </w:r>
      <w:r w:rsidR="005E7C24" w:rsidRPr="00A07AE5">
        <w:t>extra</w:t>
      </w:r>
      <w:r w:rsidR="00353ECB" w:rsidRPr="00A07AE5">
        <w:t xml:space="preserve"> cost </w:t>
      </w:r>
      <w:r w:rsidR="004C4BD5" w:rsidRPr="00A07AE5">
        <w:t>rises</w:t>
      </w:r>
      <w:r w:rsidR="00353ECB" w:rsidRPr="00A07AE5">
        <w:t xml:space="preserve">, particularly against </w:t>
      </w:r>
      <w:r w:rsidRPr="00A07AE5">
        <w:t>a backdrop of soft demand</w:t>
      </w:r>
      <w:r w:rsidR="00427FED" w:rsidRPr="00A07AE5">
        <w:t>.</w:t>
      </w:r>
    </w:p>
    <w:p w14:paraId="17E3BE76" w14:textId="281B258D" w:rsidR="008F5AB4" w:rsidRPr="00A07AE5" w:rsidRDefault="00671631" w:rsidP="00A31FA2">
      <w:pPr>
        <w:pStyle w:val="Bullet"/>
      </w:pPr>
      <w:r w:rsidRPr="00A07AE5">
        <w:t xml:space="preserve">The large cut in the point at which firms start paying NICs will </w:t>
      </w:r>
      <w:r w:rsidR="006361FD" w:rsidRPr="00A07AE5">
        <w:t>raise</w:t>
      </w:r>
      <w:r w:rsidRPr="00A07AE5">
        <w:t xml:space="preserve"> the cost of lower paid roles</w:t>
      </w:r>
      <w:r w:rsidR="00A07AE5" w:rsidRPr="00A07AE5">
        <w:t xml:space="preserve"> significantly</w:t>
      </w:r>
      <w:r w:rsidRPr="00A07AE5">
        <w:t>, particularly given the national living wage will also rise sharply</w:t>
      </w:r>
      <w:r w:rsidR="008226DD" w:rsidRPr="00A07AE5">
        <w:t xml:space="preserve">. </w:t>
      </w:r>
      <w:r w:rsidR="006536F1" w:rsidRPr="00A07AE5">
        <w:t>We calculate the total cost of salary and NICs for a</w:t>
      </w:r>
      <w:r w:rsidR="00E27CB4" w:rsidRPr="00A07AE5">
        <w:t xml:space="preserve"> full-time</w:t>
      </w:r>
      <w:r w:rsidR="006536F1" w:rsidRPr="00A07AE5">
        <w:t xml:space="preserve"> worker on the </w:t>
      </w:r>
      <w:r w:rsidR="00A07AE5">
        <w:t>living wage</w:t>
      </w:r>
      <w:r w:rsidR="00A07AE5" w:rsidRPr="00A07AE5">
        <w:t xml:space="preserve"> </w:t>
      </w:r>
      <w:r w:rsidR="006536F1" w:rsidRPr="00A07AE5">
        <w:t>will increase by 44% between 2021-2025.</w:t>
      </w:r>
    </w:p>
    <w:p w14:paraId="14B91EE9" w14:textId="7D0D5A81" w:rsidR="00407877" w:rsidRPr="00A07AE5" w:rsidRDefault="00125B75" w:rsidP="00A31FA2">
      <w:r w:rsidRPr="00A07AE5">
        <w:t xml:space="preserve">The labour market is a key source of uncertainty for the UK economy in 2025. We </w:t>
      </w:r>
      <w:r w:rsidR="00A07AE5">
        <w:t>recently</w:t>
      </w:r>
      <w:r w:rsidRPr="00A07AE5">
        <w:t xml:space="preserve"> </w:t>
      </w:r>
      <w:r w:rsidR="00A07AE5">
        <w:t>examined</w:t>
      </w:r>
      <w:r w:rsidRPr="00A07AE5">
        <w:t xml:space="preserve"> the </w:t>
      </w:r>
      <w:hyperlink r:id="rId11" w:history="1">
        <w:r w:rsidRPr="00A07AE5">
          <w:rPr>
            <w:rStyle w:val="Hyperlink"/>
          </w:rPr>
          <w:t>key uncertainties</w:t>
        </w:r>
      </w:hyperlink>
      <w:r w:rsidRPr="00A07AE5">
        <w:t xml:space="preserve"> and </w:t>
      </w:r>
      <w:hyperlink r:id="rId12" w:history="1">
        <w:r w:rsidRPr="00A07AE5">
          <w:rPr>
            <w:rStyle w:val="Hyperlink"/>
          </w:rPr>
          <w:t>the challenges posed by data problems</w:t>
        </w:r>
      </w:hyperlink>
      <w:r w:rsidRPr="00A07AE5">
        <w:t>. Here, we look at how April's increases in the employers' national insurance contributions and national living wage might impact labour market</w:t>
      </w:r>
      <w:r w:rsidR="00EF44F5">
        <w:t xml:space="preserve"> prospects</w:t>
      </w:r>
      <w:r w:rsidRPr="00A07AE5">
        <w:t>.</w:t>
      </w:r>
    </w:p>
    <w:p w14:paraId="4329F4B4" w14:textId="77777777" w:rsidR="00CF322C" w:rsidRPr="00A07AE5" w:rsidRDefault="00A22411" w:rsidP="009C0BCD">
      <w:r w:rsidRPr="00A07AE5">
        <w:t>From the start of April, the rate of employer NICs will increase to 15% from 13.8%. The point at which firms start paying the tax will fall to £5,000 a year, from £9,100 a year now. The impact of these changes will be mitigated by the Employment Allowance rising to £10,000 from £5,000, with the eligibility threshold being removed.</w:t>
      </w:r>
      <w:r w:rsidR="00A43E1D" w:rsidRPr="00A07AE5">
        <w:t xml:space="preserve"> </w:t>
      </w:r>
      <w:r w:rsidR="00B13C68" w:rsidRPr="00A07AE5">
        <w:t>T</w:t>
      </w:r>
      <w:r w:rsidR="00A43E1D" w:rsidRPr="00A07AE5">
        <w:t>he national living wage will</w:t>
      </w:r>
      <w:r w:rsidR="00B13C68" w:rsidRPr="00A07AE5">
        <w:t xml:space="preserve"> also</w:t>
      </w:r>
      <w:r w:rsidR="00A43E1D" w:rsidRPr="00A07AE5">
        <w:t xml:space="preserve"> increase </w:t>
      </w:r>
      <w:r w:rsidR="00B13C68" w:rsidRPr="00A07AE5">
        <w:t xml:space="preserve">in April, rising </w:t>
      </w:r>
      <w:r w:rsidR="00A43E1D" w:rsidRPr="00A07AE5">
        <w:t>by 6.7% to £12.21 an hour.</w:t>
      </w:r>
    </w:p>
    <w:p w14:paraId="33E9B61E" w14:textId="13B3EFAF" w:rsidR="00A31FA2" w:rsidRPr="00A07AE5" w:rsidRDefault="00A31FA2" w:rsidP="00CF322C">
      <w:pPr>
        <w:pStyle w:val="ExhibitTitle"/>
        <w:jc w:val="center"/>
      </w:pPr>
      <w:bookmarkStart w:id="0" w:name="_Ref190373959"/>
      <w:r w:rsidRPr="00A07AE5">
        <w:t xml:space="preserve">Chart </w:t>
      </w:r>
      <w:r w:rsidRPr="00A07AE5">
        <w:fldChar w:fldCharType="begin"/>
      </w:r>
      <w:r w:rsidR="00CF322C" w:rsidRPr="00A07AE5">
        <w:instrText>SEQ CHART</w:instrText>
      </w:r>
      <w:r w:rsidRPr="00A07AE5">
        <w:fldChar w:fldCharType="separate"/>
      </w:r>
      <w:r w:rsidR="000B079F">
        <w:rPr>
          <w:noProof/>
        </w:rPr>
        <w:t>1</w:t>
      </w:r>
      <w:r w:rsidRPr="00A07AE5">
        <w:fldChar w:fldCharType="end"/>
      </w:r>
      <w:bookmarkEnd w:id="0"/>
      <w:r w:rsidRPr="00A07AE5">
        <w:t xml:space="preserve">: </w:t>
      </w:r>
      <w:r w:rsidR="006202EF" w:rsidRPr="00A07AE5">
        <w:t>Our model</w:t>
      </w:r>
      <w:r w:rsidR="00EF44F5">
        <w:t>ling</w:t>
      </w:r>
      <w:r w:rsidR="006202EF" w:rsidRPr="00A07AE5">
        <w:t xml:space="preserve"> suggests the NICS rise will have </w:t>
      </w:r>
      <w:r w:rsidR="00EF44F5">
        <w:t xml:space="preserve">a </w:t>
      </w:r>
      <w:r w:rsidR="006202EF" w:rsidRPr="00A07AE5">
        <w:t>small impact on headcount and pay growth</w:t>
      </w:r>
    </w:p>
    <w:p w14:paraId="4E5AD95F" w14:textId="78D580D2" w:rsidR="00CF322C" w:rsidRPr="00A07AE5" w:rsidRDefault="00CF322C" w:rsidP="00CF322C">
      <w:pPr>
        <w:spacing w:after="0"/>
        <w:jc w:val="center"/>
      </w:pPr>
      <w:r w:rsidRPr="00A07AE5">
        <w:rPr>
          <w:noProof/>
        </w:rPr>
        <w:drawing>
          <wp:inline distT="0" distB="0" distL="0" distR="0" wp14:anchorId="31BBE7EF" wp14:editId="1D8C5EFD">
            <wp:extent cx="4006964" cy="3140642"/>
            <wp:effectExtent l="0" t="0" r="0" b="3175"/>
            <wp:docPr id="17023480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4807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2C5F" w14:textId="46515DB0" w:rsidR="00A31FA2" w:rsidRPr="00A07AE5" w:rsidRDefault="00CF322C" w:rsidP="00CF322C">
      <w:pPr>
        <w:pStyle w:val="ExhibitSource"/>
        <w:jc w:val="center"/>
      </w:pPr>
      <w:r w:rsidRPr="00A07AE5">
        <w:t>Sources: Oxford Economics, Haver Analytics</w:t>
      </w:r>
    </w:p>
    <w:p w14:paraId="72822407" w14:textId="4B03E83C" w:rsidR="00A31FA2" w:rsidRPr="00A07AE5" w:rsidRDefault="00A31FA2" w:rsidP="00A31FA2">
      <w:pPr>
        <w:pStyle w:val="ExhibitSource"/>
        <w:jc w:val="center"/>
        <w:sectPr w:rsidR="00A31FA2" w:rsidRPr="00A07AE5" w:rsidSect="00CF322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2665" w:right="1276" w:bottom="838" w:left="1134" w:header="708" w:footer="300" w:gutter="0"/>
          <w:cols w:space="708"/>
          <w:titlePg/>
          <w:docGrid w:linePitch="360"/>
        </w:sectPr>
      </w:pPr>
    </w:p>
    <w:p w14:paraId="0ACBE5F5" w14:textId="4707B313" w:rsidR="00D2314D" w:rsidRPr="00A07AE5" w:rsidRDefault="004C4558" w:rsidP="005D719A">
      <w:r w:rsidRPr="00A07AE5">
        <w:lastRenderedPageBreak/>
        <w:t xml:space="preserve">Our starting point for </w:t>
      </w:r>
      <w:r w:rsidR="00FA3D0A" w:rsidRPr="00A07AE5">
        <w:t>assessing</w:t>
      </w:r>
      <w:r w:rsidRPr="00A07AE5">
        <w:t xml:space="preserve"> the impact was a scenario </w:t>
      </w:r>
      <w:r w:rsidR="00EF44F5">
        <w:t xml:space="preserve">developed </w:t>
      </w:r>
      <w:r w:rsidRPr="00A07AE5">
        <w:t xml:space="preserve">on our </w:t>
      </w:r>
      <w:hyperlink r:id="rId21" w:history="1">
        <w:r w:rsidRPr="00A07AE5">
          <w:rPr>
            <w:rStyle w:val="Hyperlink"/>
          </w:rPr>
          <w:t>Global Economic Model</w:t>
        </w:r>
      </w:hyperlink>
      <w:r w:rsidRPr="00A07AE5">
        <w:t xml:space="preserve">. We applied the pre-Budget national insurance rates and thresholds to our current baseline, imposing the shocks 'ex ante' to fully capture any second-round effects. </w:t>
      </w:r>
      <w:r w:rsidR="00EF44F5" w:rsidRPr="00A07AE5">
        <w:t>Th</w:t>
      </w:r>
      <w:r w:rsidR="00EF44F5">
        <w:t>is</w:t>
      </w:r>
      <w:r w:rsidR="00EF44F5" w:rsidRPr="00A07AE5">
        <w:t xml:space="preserve"> </w:t>
      </w:r>
      <w:r w:rsidRPr="00A07AE5">
        <w:t xml:space="preserve">scenario </w:t>
      </w:r>
      <w:r w:rsidR="00EF44F5" w:rsidRPr="00A07AE5">
        <w:t>suggest</w:t>
      </w:r>
      <w:r w:rsidR="00EF44F5">
        <w:t>s</w:t>
      </w:r>
      <w:r w:rsidR="00EF44F5" w:rsidRPr="00A07AE5">
        <w:t xml:space="preserve"> </w:t>
      </w:r>
      <w:r w:rsidRPr="00A07AE5">
        <w:t xml:space="preserve">employment, pay growth, and corporate profits would be higher had NICs not been increased, while unemployment and inflation would be lower. </w:t>
      </w:r>
      <w:r w:rsidR="00245AF9" w:rsidRPr="00A07AE5">
        <w:t xml:space="preserve">However, the </w:t>
      </w:r>
      <w:r w:rsidR="00EF44F5">
        <w:t>effects</w:t>
      </w:r>
      <w:r w:rsidR="00EF44F5" w:rsidRPr="00A07AE5">
        <w:t xml:space="preserve"> </w:t>
      </w:r>
      <w:r w:rsidR="00245AF9" w:rsidRPr="00A07AE5">
        <w:t>were relatively small. The peak impact on employment was 55,000 jobs in H1 2026 (</w:t>
      </w:r>
      <w:r w:rsidR="00E17190" w:rsidRPr="00D21B97">
        <w:rPr>
          <w:b/>
          <w:color w:val="003469"/>
        </w:rPr>
        <w:fldChar w:fldCharType="begin"/>
      </w:r>
      <w:r w:rsidR="00D21B97" w:rsidRPr="00D21B97">
        <w:rPr>
          <w:b/>
          <w:color w:val="003469"/>
        </w:rPr>
        <w:instrText xml:space="preserve">REF _Ref190373959 \h \* Charformat </w:instrText>
      </w:r>
      <w:r w:rsidR="00E17190" w:rsidRPr="00D21B97">
        <w:rPr>
          <w:b/>
          <w:color w:val="003469"/>
        </w:rPr>
      </w:r>
      <w:r w:rsidR="00E17190" w:rsidRPr="00D21B97">
        <w:rPr>
          <w:b/>
          <w:color w:val="003469"/>
        </w:rPr>
        <w:fldChar w:fldCharType="separate"/>
      </w:r>
      <w:r w:rsidR="000B079F" w:rsidRPr="000B079F">
        <w:rPr>
          <w:b/>
          <w:color w:val="003469"/>
        </w:rPr>
        <w:t>Chart 1</w:t>
      </w:r>
      <w:r w:rsidR="00E17190" w:rsidRPr="00D21B97">
        <w:rPr>
          <w:b/>
          <w:color w:val="003469"/>
        </w:rPr>
        <w:fldChar w:fldCharType="end"/>
      </w:r>
      <w:r w:rsidR="00245AF9" w:rsidRPr="00A07AE5">
        <w:t>)</w:t>
      </w:r>
      <w:r w:rsidR="000766B9" w:rsidRPr="00A07AE5">
        <w:t>. U</w:t>
      </w:r>
      <w:r w:rsidR="00245AF9" w:rsidRPr="00A07AE5">
        <w:t xml:space="preserve">nemployment </w:t>
      </w:r>
      <w:r w:rsidR="000766B9" w:rsidRPr="00A07AE5">
        <w:t xml:space="preserve">was </w:t>
      </w:r>
      <w:r w:rsidR="00245AF9" w:rsidRPr="00A07AE5">
        <w:t>0.2ppts lower</w:t>
      </w:r>
      <w:r w:rsidR="000766B9" w:rsidRPr="00A07AE5">
        <w:t xml:space="preserve"> in our scenario, while pay growth was 0.2ppts higher</w:t>
      </w:r>
      <w:r w:rsidR="00245AF9" w:rsidRPr="00A07AE5">
        <w:t>.</w:t>
      </w:r>
    </w:p>
    <w:p w14:paraId="2B892C7C" w14:textId="57CE0FDF" w:rsidR="004D347E" w:rsidRPr="00A07AE5" w:rsidRDefault="004D347E" w:rsidP="005D719A">
      <w:r w:rsidRPr="00A07AE5">
        <w:t xml:space="preserve">But it's difficult </w:t>
      </w:r>
      <w:r w:rsidR="000807DD" w:rsidRPr="00A07AE5">
        <w:t xml:space="preserve">to derive a precise estimate for the likely impact </w:t>
      </w:r>
      <w:r w:rsidRPr="00A07AE5">
        <w:t>fr</w:t>
      </w:r>
      <w:r w:rsidR="000807DD" w:rsidRPr="00A07AE5">
        <w:t>om</w:t>
      </w:r>
      <w:r w:rsidRPr="00A07AE5">
        <w:t xml:space="preserve"> a top-down model</w:t>
      </w:r>
      <w:r w:rsidR="000807DD" w:rsidRPr="00A07AE5">
        <w:t>,</w:t>
      </w:r>
      <w:r w:rsidRPr="00A07AE5">
        <w:t xml:space="preserve"> </w:t>
      </w:r>
      <w:r w:rsidR="00410D64" w:rsidRPr="00A07AE5">
        <w:t xml:space="preserve">because </w:t>
      </w:r>
      <w:r w:rsidR="00406591" w:rsidRPr="00A07AE5">
        <w:t>the combination of changes in NICs rates and thresholds is likely to give rise to nonlinearities</w:t>
      </w:r>
      <w:r w:rsidRPr="00A07AE5">
        <w:t xml:space="preserve">. </w:t>
      </w:r>
      <w:proofErr w:type="gramStart"/>
      <w:r w:rsidRPr="00A07AE5">
        <w:t>So</w:t>
      </w:r>
      <w:proofErr w:type="gramEnd"/>
      <w:r w:rsidRPr="00A07AE5">
        <w:t xml:space="preserve"> we need to assess further evidence to come to a </w:t>
      </w:r>
      <w:r w:rsidR="00406591" w:rsidRPr="00A07AE5">
        <w:t>firmer conclusion.</w:t>
      </w:r>
    </w:p>
    <w:p w14:paraId="2ED410E9" w14:textId="167BCD6D" w:rsidR="00D2314D" w:rsidRPr="00A07AE5" w:rsidRDefault="00D2314D" w:rsidP="0047796C">
      <w:pPr>
        <w:pStyle w:val="Heading3"/>
      </w:pPr>
      <w:r w:rsidRPr="00A07AE5">
        <w:t xml:space="preserve">Survey evidence points to lower headcount and </w:t>
      </w:r>
      <w:r w:rsidR="004617CB" w:rsidRPr="00A07AE5">
        <w:t>–</w:t>
      </w:r>
      <w:r w:rsidRPr="00A07AE5">
        <w:t xml:space="preserve"> to a lesser extent </w:t>
      </w:r>
      <w:r w:rsidR="004617CB" w:rsidRPr="00A07AE5">
        <w:t>–</w:t>
      </w:r>
      <w:r w:rsidRPr="00A07AE5">
        <w:t xml:space="preserve"> softer pay growth</w:t>
      </w:r>
    </w:p>
    <w:p w14:paraId="3DFF26FF" w14:textId="2F8353EF" w:rsidR="00245AF9" w:rsidRPr="00A07AE5" w:rsidRDefault="00430A04" w:rsidP="005D719A">
      <w:r w:rsidRPr="00A07AE5">
        <w:t>S</w:t>
      </w:r>
      <w:r w:rsidR="00D2314D" w:rsidRPr="00A07AE5">
        <w:t xml:space="preserve">urvey evidence </w:t>
      </w:r>
      <w:r w:rsidRPr="00A07AE5">
        <w:t>is consistent with the transmission channels flagged by our scenario</w:t>
      </w:r>
      <w:r w:rsidR="00D2314D" w:rsidRPr="00A07AE5">
        <w:t xml:space="preserve">. </w:t>
      </w:r>
      <w:r w:rsidR="00502108" w:rsidRPr="00A07AE5">
        <w:t xml:space="preserve">Since the NICs increase was announced, the Bank of England has </w:t>
      </w:r>
      <w:r w:rsidR="004E1622" w:rsidRPr="00A07AE5">
        <w:t>asked firms responding to</w:t>
      </w:r>
      <w:r w:rsidR="00502108" w:rsidRPr="00A07AE5">
        <w:t xml:space="preserve"> its </w:t>
      </w:r>
      <w:hyperlink r:id="rId22" w:history="1">
        <w:r w:rsidR="00D2314D" w:rsidRPr="00A07AE5">
          <w:rPr>
            <w:rStyle w:val="Hyperlink"/>
          </w:rPr>
          <w:t>Decision Maker Panel</w:t>
        </w:r>
      </w:hyperlink>
      <w:r w:rsidR="00D2314D" w:rsidRPr="00A07AE5">
        <w:t xml:space="preserve"> how they planned to react. More than half expect to lower margins, raise prices, and reduce headcount. The proportion expecting to offer smaller pay rises was lower, but at </w:t>
      </w:r>
      <w:r w:rsidR="004E1622" w:rsidRPr="00A07AE5">
        <w:t>nearly</w:t>
      </w:r>
      <w:r w:rsidR="00D2314D" w:rsidRPr="00A07AE5">
        <w:t xml:space="preserve"> 40% was still high</w:t>
      </w:r>
      <w:r w:rsidR="00502108" w:rsidRPr="00A07AE5">
        <w:t xml:space="preserve"> (</w:t>
      </w:r>
      <w:r w:rsidR="00E17190" w:rsidRPr="00D21B97">
        <w:rPr>
          <w:b/>
          <w:color w:val="003469"/>
        </w:rPr>
        <w:fldChar w:fldCharType="begin"/>
      </w:r>
      <w:r w:rsidR="00D21B97" w:rsidRPr="00D21B97">
        <w:rPr>
          <w:b/>
          <w:color w:val="003469"/>
        </w:rPr>
        <w:instrText xml:space="preserve">REF _Ref190373960 \h \* Charformat </w:instrText>
      </w:r>
      <w:r w:rsidR="00E17190" w:rsidRPr="00D21B97">
        <w:rPr>
          <w:b/>
          <w:color w:val="003469"/>
        </w:rPr>
      </w:r>
      <w:r w:rsidR="00E17190" w:rsidRPr="00D21B97">
        <w:rPr>
          <w:b/>
          <w:color w:val="003469"/>
        </w:rPr>
        <w:fldChar w:fldCharType="separate"/>
      </w:r>
      <w:r w:rsidR="000B079F" w:rsidRPr="000B079F">
        <w:rPr>
          <w:b/>
          <w:color w:val="003469"/>
        </w:rPr>
        <w:t>Chart 2</w:t>
      </w:r>
      <w:r w:rsidR="00E17190" w:rsidRPr="00D21B97">
        <w:rPr>
          <w:b/>
          <w:color w:val="003469"/>
        </w:rPr>
        <w:fldChar w:fldCharType="end"/>
      </w:r>
      <w:r w:rsidR="00502108" w:rsidRPr="00A07AE5">
        <w:t>).</w:t>
      </w:r>
    </w:p>
    <w:p w14:paraId="21D6DD86" w14:textId="43E07230" w:rsidR="009D5405" w:rsidRPr="00A07AE5" w:rsidRDefault="009D5405" w:rsidP="0047796C">
      <w:pPr>
        <w:pStyle w:val="ExhibitTitle"/>
      </w:pPr>
      <w:bookmarkStart w:id="1" w:name="_Ref190373960"/>
      <w:r w:rsidRPr="00A07AE5">
        <w:t xml:space="preserve">Chart </w:t>
      </w:r>
      <w:r w:rsidRPr="00A07AE5">
        <w:fldChar w:fldCharType="begin"/>
      </w:r>
      <w:r w:rsidR="00E17190" w:rsidRPr="00A07AE5">
        <w:instrText>SEQ CHART</w:instrText>
      </w:r>
      <w:r w:rsidRPr="00A07AE5">
        <w:fldChar w:fldCharType="separate"/>
      </w:r>
      <w:r w:rsidR="000B079F">
        <w:rPr>
          <w:noProof/>
        </w:rPr>
        <w:t>2</w:t>
      </w:r>
      <w:r w:rsidRPr="00A07AE5">
        <w:fldChar w:fldCharType="end"/>
      </w:r>
      <w:bookmarkEnd w:id="1"/>
      <w:r w:rsidRPr="00A07AE5">
        <w:t>: Most firms expect to lower headcount and pay growth because of the NICs rise</w:t>
      </w:r>
    </w:p>
    <w:p w14:paraId="1F17E2A0" w14:textId="165CC6FA" w:rsidR="00D2314D" w:rsidRPr="00A07AE5" w:rsidRDefault="00D2314D" w:rsidP="0047796C">
      <w:pPr>
        <w:spacing w:after="0"/>
      </w:pPr>
      <w:r w:rsidRPr="00A07AE5">
        <w:rPr>
          <w:noProof/>
        </w:rPr>
        <w:drawing>
          <wp:inline distT="0" distB="0" distL="0" distR="0" wp14:anchorId="004A2796" wp14:editId="77AA7026">
            <wp:extent cx="3250933" cy="2548068"/>
            <wp:effectExtent l="0" t="0" r="6985" b="5080"/>
            <wp:docPr id="10123917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91760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74E3" w14:textId="33DDDE52" w:rsidR="009D5405" w:rsidRPr="00A07AE5" w:rsidRDefault="00D2314D" w:rsidP="0047796C">
      <w:pPr>
        <w:pStyle w:val="ExhibitSource"/>
      </w:pPr>
      <w:r w:rsidRPr="00A07AE5">
        <w:t>Source: Bank of England Decision Maker Panel</w:t>
      </w:r>
    </w:p>
    <w:p w14:paraId="1D9240BC" w14:textId="40A69E1B" w:rsidR="00431364" w:rsidRPr="00A07AE5" w:rsidRDefault="00512F0C" w:rsidP="005D719A">
      <w:r w:rsidRPr="00A07AE5">
        <w:t>Business surveys tell a similar story on the likely impact on headcount</w:t>
      </w:r>
      <w:r w:rsidR="00431364" w:rsidRPr="00A07AE5">
        <w:t xml:space="preserve">. The CIPD's </w:t>
      </w:r>
      <w:hyperlink r:id="rId25" w:history="1">
        <w:r w:rsidR="00431364" w:rsidRPr="00A07AE5">
          <w:rPr>
            <w:rStyle w:val="Hyperlink"/>
          </w:rPr>
          <w:t>latest labour market outlook</w:t>
        </w:r>
      </w:hyperlink>
      <w:r w:rsidR="00431364" w:rsidRPr="00A07AE5">
        <w:t xml:space="preserve"> report</w:t>
      </w:r>
      <w:r w:rsidR="006C7C38" w:rsidRPr="00A07AE5">
        <w:t>ed</w:t>
      </w:r>
      <w:r w:rsidR="00431364" w:rsidRPr="00A07AE5">
        <w:t xml:space="preserve"> a softening in employment expectations, with firms set to recruit less and the share of </w:t>
      </w:r>
      <w:r w:rsidR="005E7DAC" w:rsidRPr="00A07AE5">
        <w:t>respondents</w:t>
      </w:r>
      <w:r w:rsidR="00431364" w:rsidRPr="00A07AE5">
        <w:t xml:space="preserve"> expecting to make redundancies increasing. These results continued</w:t>
      </w:r>
      <w:r w:rsidR="00AD7C3A" w:rsidRPr="00A07AE5">
        <w:t xml:space="preserve"> the</w:t>
      </w:r>
      <w:r w:rsidR="00431364" w:rsidRPr="00A07AE5">
        <w:t xml:space="preserve"> trend</w:t>
      </w:r>
      <w:r w:rsidR="00AD7C3A" w:rsidRPr="00A07AE5">
        <w:t xml:space="preserve"> of cooling labour market conditions </w:t>
      </w:r>
      <w:r w:rsidR="00431364" w:rsidRPr="00A07AE5">
        <w:t>that w</w:t>
      </w:r>
      <w:r w:rsidR="00AD7C3A" w:rsidRPr="00A07AE5">
        <w:t>as</w:t>
      </w:r>
      <w:r w:rsidR="00431364" w:rsidRPr="00A07AE5">
        <w:t xml:space="preserve"> well established prior to the Budget</w:t>
      </w:r>
      <w:r w:rsidRPr="00A07AE5">
        <w:t>.</w:t>
      </w:r>
    </w:p>
    <w:p w14:paraId="3B2BA718" w14:textId="37A3F6AB" w:rsidR="009D5405" w:rsidRPr="00A07AE5" w:rsidRDefault="006C7C38" w:rsidP="005D719A">
      <w:r w:rsidRPr="00A07AE5">
        <w:t xml:space="preserve">Meanwhile, </w:t>
      </w:r>
      <w:r w:rsidR="00512F0C" w:rsidRPr="00A07AE5">
        <w:t>the latest CBI and BCC surveys reported a marked weakening in employment expectations</w:t>
      </w:r>
      <w:r w:rsidRPr="00A07AE5">
        <w:t xml:space="preserve"> across all sectors</w:t>
      </w:r>
      <w:r w:rsidR="00512F0C" w:rsidRPr="00A07AE5">
        <w:t xml:space="preserve">. Still, the scale of the fall shouldn't be exaggerated – based on past relationships, the </w:t>
      </w:r>
      <w:r w:rsidR="005A2A30" w:rsidRPr="00A07AE5">
        <w:t xml:space="preserve">average </w:t>
      </w:r>
      <w:r w:rsidR="00512F0C" w:rsidRPr="00A07AE5">
        <w:t xml:space="preserve">results </w:t>
      </w:r>
      <w:r w:rsidR="005738B1" w:rsidRPr="00A07AE5">
        <w:t xml:space="preserve">from the two business organisations </w:t>
      </w:r>
      <w:r w:rsidR="00512F0C" w:rsidRPr="00A07AE5">
        <w:t xml:space="preserve">are consistent with </w:t>
      </w:r>
      <w:r w:rsidR="00E6072C" w:rsidRPr="00A07AE5">
        <w:t xml:space="preserve">modest </w:t>
      </w:r>
      <w:r w:rsidR="00512F0C" w:rsidRPr="00A07AE5">
        <w:t>year-on-year growth in the workforce jobs measure of employment in H1 2025</w:t>
      </w:r>
      <w:r w:rsidR="00E92100" w:rsidRPr="00A07AE5">
        <w:t xml:space="preserve"> (</w:t>
      </w:r>
      <w:r w:rsidR="00E17190" w:rsidRPr="00D21B97">
        <w:rPr>
          <w:b/>
          <w:color w:val="003469"/>
        </w:rPr>
        <w:fldChar w:fldCharType="begin"/>
      </w:r>
      <w:r w:rsidR="00D21B97" w:rsidRPr="00D21B97">
        <w:rPr>
          <w:b/>
          <w:color w:val="003469"/>
        </w:rPr>
        <w:instrText xml:space="preserve">REF _Ref190373961 \h \* Charformat </w:instrText>
      </w:r>
      <w:r w:rsidR="00E17190" w:rsidRPr="00D21B97">
        <w:rPr>
          <w:b/>
          <w:color w:val="003469"/>
        </w:rPr>
      </w:r>
      <w:r w:rsidR="00E17190" w:rsidRPr="00D21B97">
        <w:rPr>
          <w:b/>
          <w:color w:val="003469"/>
        </w:rPr>
        <w:fldChar w:fldCharType="separate"/>
      </w:r>
      <w:r w:rsidR="000B079F" w:rsidRPr="000B079F">
        <w:rPr>
          <w:b/>
          <w:color w:val="003469"/>
        </w:rPr>
        <w:t>Chart 3</w:t>
      </w:r>
      <w:r w:rsidR="00E17190" w:rsidRPr="00D21B97">
        <w:rPr>
          <w:b/>
          <w:color w:val="003469"/>
        </w:rPr>
        <w:fldChar w:fldCharType="end"/>
      </w:r>
      <w:r w:rsidR="00E92100" w:rsidRPr="00A07AE5">
        <w:t>)</w:t>
      </w:r>
      <w:r w:rsidR="00512F0C" w:rsidRPr="00A07AE5">
        <w:t>.</w:t>
      </w:r>
      <w:r w:rsidR="00431364" w:rsidRPr="00A07AE5">
        <w:t xml:space="preserve"> This implies modest quarter-on-quarter declines in jobs in H1, but not a dramatic shakeout.</w:t>
      </w:r>
      <w:r w:rsidR="00811EC1" w:rsidRPr="00A07AE5">
        <w:t xml:space="preserve"> The GfK survey suggests households have </w:t>
      </w:r>
      <w:r w:rsidR="00B877FB" w:rsidRPr="00A07AE5">
        <w:t xml:space="preserve">come to </w:t>
      </w:r>
      <w:r w:rsidR="00811EC1" w:rsidRPr="00A07AE5">
        <w:t xml:space="preserve">a similar </w:t>
      </w:r>
      <w:r w:rsidR="00B877FB" w:rsidRPr="00A07AE5">
        <w:t>conclusion on the likely impact of the NICs increase</w:t>
      </w:r>
      <w:r w:rsidR="00811EC1" w:rsidRPr="00A07AE5">
        <w:t xml:space="preserve">, </w:t>
      </w:r>
      <w:r w:rsidR="00B877FB" w:rsidRPr="00A07AE5">
        <w:t xml:space="preserve">with a modest increase in the balance of respondents </w:t>
      </w:r>
      <w:r w:rsidR="00811EC1" w:rsidRPr="00A07AE5">
        <w:t xml:space="preserve">anticipating </w:t>
      </w:r>
      <w:r w:rsidR="00B877FB" w:rsidRPr="00A07AE5">
        <w:t xml:space="preserve">that </w:t>
      </w:r>
      <w:r w:rsidR="00811EC1" w:rsidRPr="00A07AE5">
        <w:t xml:space="preserve">unemployment </w:t>
      </w:r>
      <w:r w:rsidR="00B877FB" w:rsidRPr="00A07AE5">
        <w:t xml:space="preserve">will rise </w:t>
      </w:r>
      <w:r w:rsidR="00811EC1" w:rsidRPr="00A07AE5">
        <w:t>over the coming year.</w:t>
      </w:r>
    </w:p>
    <w:p w14:paraId="5EB773FC" w14:textId="263B2720" w:rsidR="009D5405" w:rsidRPr="00A07AE5" w:rsidRDefault="009D5405" w:rsidP="0047796C">
      <w:pPr>
        <w:pStyle w:val="ExhibitTitle"/>
      </w:pPr>
      <w:bookmarkStart w:id="2" w:name="_Ref190373961"/>
      <w:r w:rsidRPr="00A07AE5">
        <w:lastRenderedPageBreak/>
        <w:t xml:space="preserve">Chart </w:t>
      </w:r>
      <w:r w:rsidRPr="00A07AE5">
        <w:fldChar w:fldCharType="begin"/>
      </w:r>
      <w:r w:rsidR="00375516" w:rsidRPr="00A07AE5">
        <w:instrText>SEQ CHART</w:instrText>
      </w:r>
      <w:r w:rsidRPr="00A07AE5">
        <w:fldChar w:fldCharType="separate"/>
      </w:r>
      <w:r w:rsidR="000B079F">
        <w:rPr>
          <w:noProof/>
        </w:rPr>
        <w:t>3</w:t>
      </w:r>
      <w:r w:rsidRPr="00A07AE5">
        <w:fldChar w:fldCharType="end"/>
      </w:r>
      <w:bookmarkEnd w:id="2"/>
      <w:r w:rsidRPr="00A07AE5">
        <w:t xml:space="preserve">: </w:t>
      </w:r>
      <w:r w:rsidR="00EA1ACB" w:rsidRPr="00A07AE5">
        <w:t>E</w:t>
      </w:r>
      <w:r w:rsidR="001701B3" w:rsidRPr="00A07AE5">
        <w:t>mployment expectations have softened,</w:t>
      </w:r>
      <w:r w:rsidR="00F42039" w:rsidRPr="00A07AE5">
        <w:t xml:space="preserve"> </w:t>
      </w:r>
      <w:r w:rsidR="00EA1ACB" w:rsidRPr="00A07AE5">
        <w:t xml:space="preserve">with </w:t>
      </w:r>
      <w:r w:rsidR="00F42039" w:rsidRPr="00A07AE5">
        <w:t>survey result</w:t>
      </w:r>
      <w:r w:rsidR="00EA1ACB" w:rsidRPr="00A07AE5">
        <w:t>s</w:t>
      </w:r>
      <w:r w:rsidR="00F42039" w:rsidRPr="00A07AE5">
        <w:t xml:space="preserve"> consistent with f</w:t>
      </w:r>
      <w:r w:rsidR="001701B3" w:rsidRPr="00A07AE5">
        <w:t>lat employment</w:t>
      </w:r>
    </w:p>
    <w:p w14:paraId="1C53CB58" w14:textId="5B9E788D" w:rsidR="00375516" w:rsidRPr="00A07AE5" w:rsidRDefault="00375516" w:rsidP="0047796C">
      <w:pPr>
        <w:spacing w:after="0"/>
      </w:pPr>
      <w:r w:rsidRPr="00A07AE5">
        <w:rPr>
          <w:noProof/>
        </w:rPr>
        <w:drawing>
          <wp:inline distT="0" distB="0" distL="0" distR="0" wp14:anchorId="69838F2A" wp14:editId="10867B52">
            <wp:extent cx="3250933" cy="2548068"/>
            <wp:effectExtent l="0" t="0" r="6985" b="5080"/>
            <wp:docPr id="2057621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2169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9E3B" w14:textId="2C0B01F4" w:rsidR="009D5405" w:rsidRPr="00A07AE5" w:rsidRDefault="00375516" w:rsidP="0047796C">
      <w:pPr>
        <w:pStyle w:val="ExhibitSource"/>
      </w:pPr>
      <w:r w:rsidRPr="00A07AE5">
        <w:t>Source: Oxford Economics calculations using data from Haver Analytics</w:t>
      </w:r>
    </w:p>
    <w:p w14:paraId="1EF98442" w14:textId="30B3AA94" w:rsidR="00D5106D" w:rsidRPr="00A07AE5" w:rsidRDefault="00D5106D" w:rsidP="0047796C">
      <w:pPr>
        <w:pStyle w:val="Heading3"/>
      </w:pPr>
      <w:r w:rsidRPr="00A07AE5">
        <w:t xml:space="preserve">Large threshold change may cause </w:t>
      </w:r>
      <w:r w:rsidR="009429B1">
        <w:t>a bigger</w:t>
      </w:r>
      <w:r w:rsidR="009429B1" w:rsidRPr="00A07AE5">
        <w:t xml:space="preserve"> </w:t>
      </w:r>
      <w:r w:rsidRPr="00A07AE5">
        <w:t>hit to jobs</w:t>
      </w:r>
    </w:p>
    <w:p w14:paraId="09E8B7CF" w14:textId="5DD228AD" w:rsidR="005D719A" w:rsidRPr="00A07AE5" w:rsidRDefault="00D5106D" w:rsidP="00DD63AE">
      <w:r w:rsidRPr="00A07AE5">
        <w:t xml:space="preserve">However, </w:t>
      </w:r>
      <w:r w:rsidR="005E7C24" w:rsidRPr="00A07AE5">
        <w:t xml:space="preserve">three </w:t>
      </w:r>
      <w:r w:rsidRPr="00A07AE5">
        <w:t xml:space="preserve">factors lead us to think the NICs rise </w:t>
      </w:r>
      <w:r w:rsidR="00EF5CCF" w:rsidRPr="00A07AE5">
        <w:t>is likely to</w:t>
      </w:r>
      <w:r w:rsidRPr="00A07AE5">
        <w:t xml:space="preserve"> have a bigger impact on employment than our scenario suggests. First, </w:t>
      </w:r>
      <w:r w:rsidR="00EF5CCF" w:rsidRPr="00A07AE5">
        <w:t>the NICs increase</w:t>
      </w:r>
      <w:r w:rsidRPr="00A07AE5">
        <w:t xml:space="preserve"> will be accompanied by a 6.7% increase in the NLW. </w:t>
      </w:r>
      <w:r w:rsidR="0061226B" w:rsidRPr="00A07AE5">
        <w:t>S</w:t>
      </w:r>
      <w:r w:rsidRPr="00A07AE5">
        <w:t xml:space="preserve">econd, </w:t>
      </w:r>
      <w:r w:rsidR="00EF5CCF" w:rsidRPr="00A07AE5">
        <w:t xml:space="preserve">a large part of the increase in tax revenue from higher NICs will come from lowering the threshold at which firms start paying the tax. </w:t>
      </w:r>
      <w:r w:rsidR="00E704EC" w:rsidRPr="00A07AE5">
        <w:t>Taken together, these factors imply a disproportionate impact on the cost of employing workers in lower-paying roles. T</w:t>
      </w:r>
      <w:r w:rsidR="005E7C24" w:rsidRPr="00A07AE5">
        <w:t>hird, corporate profitability is already weak, raising the risk of a relatively large (non-linear) reaction to these extra cost pressures.</w:t>
      </w:r>
    </w:p>
    <w:p w14:paraId="566A7ACE" w14:textId="7939ADC1" w:rsidR="006B247F" w:rsidRPr="00A07AE5" w:rsidRDefault="001E7742" w:rsidP="00DD63AE">
      <w:r w:rsidRPr="00A07AE5">
        <w:t xml:space="preserve">To demonstrate </w:t>
      </w:r>
      <w:r w:rsidR="00C231BE" w:rsidRPr="00A07AE5">
        <w:t>the scale of th</w:t>
      </w:r>
      <w:r w:rsidR="000F2AD8" w:rsidRPr="00A07AE5">
        <w:t xml:space="preserve">e first two </w:t>
      </w:r>
      <w:r w:rsidR="00C231BE" w:rsidRPr="00A07AE5">
        <w:t>issue</w:t>
      </w:r>
      <w:r w:rsidR="000F2AD8" w:rsidRPr="00A07AE5">
        <w:t>s</w:t>
      </w:r>
      <w:r w:rsidRPr="00A07AE5">
        <w:t xml:space="preserve">, we calculated the </w:t>
      </w:r>
      <w:r w:rsidR="00C231BE" w:rsidRPr="00A07AE5">
        <w:t xml:space="preserve">change in </w:t>
      </w:r>
      <w:r w:rsidR="001E500B" w:rsidRPr="00A07AE5">
        <w:t xml:space="preserve">the </w:t>
      </w:r>
      <w:r w:rsidRPr="00A07AE5">
        <w:t>cost of employing a full-time worker across various points of the income distribution</w:t>
      </w:r>
      <w:r w:rsidR="005E7C24" w:rsidRPr="00A07AE5">
        <w:t>, as well as a worker being paid the NLW</w:t>
      </w:r>
      <w:r w:rsidRPr="00A07AE5">
        <w:t xml:space="preserve">. Our base pay level is the April 2024 reading from the Office for National Statistics' Annual Survey of Hours and Earnings. </w:t>
      </w:r>
      <w:r w:rsidR="005E2022" w:rsidRPr="00A07AE5">
        <w:t xml:space="preserve">For </w:t>
      </w:r>
      <w:r w:rsidR="00B2499C" w:rsidRPr="00A07AE5">
        <w:t>FY</w:t>
      </w:r>
      <w:r w:rsidR="005E2022" w:rsidRPr="00A07AE5">
        <w:t>2025</w:t>
      </w:r>
      <w:r w:rsidR="009429B1">
        <w:t>/</w:t>
      </w:r>
      <w:r w:rsidR="00F131B5" w:rsidRPr="00A07AE5">
        <w:t>26</w:t>
      </w:r>
      <w:r w:rsidR="005E2022" w:rsidRPr="00A07AE5">
        <w:t xml:space="preserve">, the NLW is increased by 6.7%. </w:t>
      </w:r>
      <w:r w:rsidR="005E7C24" w:rsidRPr="00A07AE5">
        <w:t>As even a worker on the</w:t>
      </w:r>
      <w:r w:rsidR="005E2022" w:rsidRPr="00A07AE5">
        <w:t xml:space="preserve"> </w:t>
      </w:r>
      <w:r w:rsidR="005E7C24" w:rsidRPr="00A07AE5">
        <w:t>10th percentile of the income distribution is already paid more than the NLW, w</w:t>
      </w:r>
      <w:r w:rsidRPr="00A07AE5">
        <w:t xml:space="preserve">e've assumed that </w:t>
      </w:r>
      <w:r w:rsidR="005E7C24" w:rsidRPr="00A07AE5">
        <w:t xml:space="preserve">every income decile </w:t>
      </w:r>
      <w:r w:rsidRPr="00A07AE5">
        <w:t>receive</w:t>
      </w:r>
      <w:r w:rsidR="005E7C24" w:rsidRPr="00A07AE5">
        <w:t>s</w:t>
      </w:r>
      <w:r w:rsidRPr="00A07AE5">
        <w:t xml:space="preserve"> a </w:t>
      </w:r>
      <w:r w:rsidR="003B2CB8" w:rsidRPr="00A07AE5">
        <w:t>5</w:t>
      </w:r>
      <w:r w:rsidRPr="00A07AE5">
        <w:t xml:space="preserve">.1% pay increase in April 2025, in line with our forecast for </w:t>
      </w:r>
      <w:r w:rsidR="00FC5FEC" w:rsidRPr="00A07AE5">
        <w:t xml:space="preserve">year-on-year </w:t>
      </w:r>
      <w:r w:rsidRPr="00A07AE5">
        <w:t>growth in average weekly earnings in Q2 2025.</w:t>
      </w:r>
      <w:r w:rsidR="006B247F" w:rsidRPr="00A07AE5">
        <w:t xml:space="preserve"> </w:t>
      </w:r>
    </w:p>
    <w:p w14:paraId="6F14910A" w14:textId="1C85CEAA" w:rsidR="001E7742" w:rsidRPr="00A07AE5" w:rsidRDefault="00903600" w:rsidP="00DD63AE">
      <w:r w:rsidRPr="00A07AE5">
        <w:t>The total cost (salary plus employers' NIC</w:t>
      </w:r>
      <w:r w:rsidR="00C525EB" w:rsidRPr="00A07AE5">
        <w:t>s</w:t>
      </w:r>
      <w:r w:rsidRPr="00A07AE5">
        <w:t>) of employing a worker on the national living wage who works 35 hours per week will rise by 10.6% in April (</w:t>
      </w:r>
      <w:r w:rsidR="00DD63AE" w:rsidRPr="00D21B97">
        <w:rPr>
          <w:b/>
          <w:color w:val="003469"/>
        </w:rPr>
        <w:fldChar w:fldCharType="begin"/>
      </w:r>
      <w:r w:rsidR="00D21B97" w:rsidRPr="00D21B97">
        <w:rPr>
          <w:b/>
          <w:color w:val="003469"/>
        </w:rPr>
        <w:instrText xml:space="preserve">REF _Ref190714331 \h \* Charformat </w:instrText>
      </w:r>
      <w:r w:rsidR="00DD63AE" w:rsidRPr="00D21B97">
        <w:rPr>
          <w:b/>
          <w:color w:val="003469"/>
        </w:rPr>
      </w:r>
      <w:r w:rsidR="00DD63AE" w:rsidRPr="00D21B97">
        <w:rPr>
          <w:b/>
          <w:color w:val="003469"/>
        </w:rPr>
        <w:fldChar w:fldCharType="separate"/>
      </w:r>
      <w:r w:rsidR="000B079F" w:rsidRPr="000B079F">
        <w:rPr>
          <w:b/>
          <w:color w:val="003469"/>
        </w:rPr>
        <w:t>Chart 4</w:t>
      </w:r>
      <w:r w:rsidR="00DD63AE" w:rsidRPr="00D21B97">
        <w:rPr>
          <w:b/>
          <w:color w:val="003469"/>
        </w:rPr>
        <w:fldChar w:fldCharType="end"/>
      </w:r>
      <w:r w:rsidRPr="00A07AE5">
        <w:t xml:space="preserve">). </w:t>
      </w:r>
      <w:r w:rsidR="006B247F" w:rsidRPr="00A07AE5">
        <w:t xml:space="preserve">For a worker at the 10th percentile of the income distribution, the total cost will rise by 8.6% in April. </w:t>
      </w:r>
      <w:r w:rsidR="006473A8" w:rsidRPr="00A07AE5">
        <w:t>T</w:t>
      </w:r>
      <w:r w:rsidRPr="00A07AE5">
        <w:t xml:space="preserve">he increases get progressively smaller moving up the pay distribution, </w:t>
      </w:r>
      <w:r w:rsidR="006473A8" w:rsidRPr="00A07AE5">
        <w:t>but even a</w:t>
      </w:r>
      <w:r w:rsidRPr="00A07AE5">
        <w:t>t the 9</w:t>
      </w:r>
      <w:r w:rsidR="006B247F" w:rsidRPr="00A07AE5">
        <w:t>0th percentile</w:t>
      </w:r>
      <w:r w:rsidR="006473A8" w:rsidRPr="00A07AE5">
        <w:t xml:space="preserve"> we estimate the rise would be </w:t>
      </w:r>
      <w:r w:rsidRPr="00A07AE5">
        <w:t>7</w:t>
      </w:r>
      <w:r w:rsidR="006B247F" w:rsidRPr="00A07AE5">
        <w:t>.2%.</w:t>
      </w:r>
    </w:p>
    <w:p w14:paraId="35ED972A" w14:textId="77777777" w:rsidR="00D70BC8" w:rsidRPr="00A07AE5" w:rsidRDefault="00D70BC8">
      <w:pPr>
        <w:spacing w:before="0" w:after="160" w:line="259" w:lineRule="auto"/>
        <w:rPr>
          <w:rFonts w:ascii="Segoe UI Semibold" w:hAnsi="Segoe UI Semibold" w:cs="Segoe UI Semibold"/>
          <w:color w:val="003469"/>
          <w:szCs w:val="24"/>
        </w:rPr>
      </w:pPr>
      <w:r w:rsidRPr="00A07AE5">
        <w:br w:type="page"/>
      </w:r>
    </w:p>
    <w:p w14:paraId="2DC2EE95" w14:textId="73FE780D" w:rsidR="00A31FA2" w:rsidRPr="00A07AE5" w:rsidRDefault="00A31FA2" w:rsidP="0047796C">
      <w:pPr>
        <w:pStyle w:val="ExhibitTitle"/>
      </w:pPr>
      <w:bookmarkStart w:id="3" w:name="_Ref190714331"/>
      <w:r w:rsidRPr="00A07AE5">
        <w:lastRenderedPageBreak/>
        <w:t xml:space="preserve">Chart </w:t>
      </w:r>
      <w:r w:rsidRPr="00A07AE5">
        <w:fldChar w:fldCharType="begin"/>
      </w:r>
      <w:r w:rsidR="00E17190" w:rsidRPr="00A07AE5">
        <w:instrText>SEQ CHART</w:instrText>
      </w:r>
      <w:r w:rsidRPr="00A07AE5">
        <w:fldChar w:fldCharType="separate"/>
      </w:r>
      <w:r w:rsidR="000B079F">
        <w:rPr>
          <w:noProof/>
        </w:rPr>
        <w:t>4</w:t>
      </w:r>
      <w:r w:rsidRPr="00A07AE5">
        <w:fldChar w:fldCharType="end"/>
      </w:r>
      <w:bookmarkEnd w:id="3"/>
      <w:r w:rsidRPr="00A07AE5">
        <w:t xml:space="preserve">: </w:t>
      </w:r>
      <w:r w:rsidR="00313EFD" w:rsidRPr="00A07AE5">
        <w:t>The cost of employing lower paid workers will rise disproportionately</w:t>
      </w:r>
    </w:p>
    <w:p w14:paraId="6FF3EA21" w14:textId="261B238E" w:rsidR="00ED2E7A" w:rsidRPr="00A07AE5" w:rsidRDefault="00ED2E7A" w:rsidP="0047796C">
      <w:pPr>
        <w:spacing w:after="0"/>
      </w:pPr>
      <w:r w:rsidRPr="00A07AE5">
        <w:rPr>
          <w:noProof/>
        </w:rPr>
        <w:drawing>
          <wp:inline distT="0" distB="0" distL="0" distR="0" wp14:anchorId="7A2FB7C1" wp14:editId="332F3B12">
            <wp:extent cx="3250933" cy="2548068"/>
            <wp:effectExtent l="0" t="0" r="6985" b="5080"/>
            <wp:docPr id="218127389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27389" name="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9EFF" w14:textId="518581E7" w:rsidR="00A31FA2" w:rsidRPr="00A07AE5" w:rsidRDefault="00ED2E7A" w:rsidP="0047796C">
      <w:pPr>
        <w:pStyle w:val="ExhibitSource"/>
      </w:pPr>
      <w:r w:rsidRPr="00A07AE5">
        <w:t>Source: Oxford Economics calculations using data from ONS ASHE</w:t>
      </w:r>
    </w:p>
    <w:p w14:paraId="6354074C" w14:textId="4BF54A72" w:rsidR="00160D5A" w:rsidRPr="00A07AE5" w:rsidRDefault="00C87C97" w:rsidP="00026296">
      <w:r w:rsidRPr="00A07AE5">
        <w:t xml:space="preserve">Furthermore, 2025's large cost increase comes on top of a series of big rises in recent years. We calculate that the total cost of salary and NICs for a </w:t>
      </w:r>
      <w:r w:rsidR="00B33AC8" w:rsidRPr="00A07AE5">
        <w:t xml:space="preserve">full-time </w:t>
      </w:r>
      <w:r w:rsidRPr="00A07AE5">
        <w:t>worker on the NLW will increase by 44% between 2021-2025. For a full-time worker</w:t>
      </w:r>
      <w:r w:rsidR="00301926" w:rsidRPr="00A07AE5">
        <w:t xml:space="preserve"> on the median salary</w:t>
      </w:r>
      <w:r w:rsidRPr="00A07AE5">
        <w:t xml:space="preserve">, the increase will be 29%. </w:t>
      </w:r>
    </w:p>
    <w:p w14:paraId="68DEEC60" w14:textId="68769BD0" w:rsidR="002D04D2" w:rsidRPr="00A07AE5" w:rsidRDefault="00C87C97" w:rsidP="00026296">
      <w:r w:rsidRPr="00A07AE5">
        <w:t>Firms have also had to contend with substantial increase</w:t>
      </w:r>
      <w:r w:rsidR="0024496B" w:rsidRPr="00A07AE5">
        <w:t>s</w:t>
      </w:r>
      <w:r w:rsidRPr="00A07AE5">
        <w:t xml:space="preserve"> in </w:t>
      </w:r>
      <w:r w:rsidR="0024496B" w:rsidRPr="00A07AE5">
        <w:t xml:space="preserve">their </w:t>
      </w:r>
      <w:hyperlink r:id="rId30" w:history="1">
        <w:r w:rsidRPr="00A07AE5">
          <w:rPr>
            <w:rStyle w:val="Hyperlink"/>
          </w:rPr>
          <w:t>energy</w:t>
        </w:r>
      </w:hyperlink>
      <w:r w:rsidRPr="00A07AE5">
        <w:t xml:space="preserve"> </w:t>
      </w:r>
      <w:r w:rsidR="0024496B" w:rsidRPr="00A07AE5">
        <w:t xml:space="preserve">and debt servicing </w:t>
      </w:r>
      <w:r w:rsidRPr="00A07AE5">
        <w:t>costs in this period.</w:t>
      </w:r>
      <w:r w:rsidR="00C55984" w:rsidRPr="00A07AE5">
        <w:t xml:space="preserve"> </w:t>
      </w:r>
      <w:r w:rsidR="00080940" w:rsidRPr="00A07AE5">
        <w:t>T</w:t>
      </w:r>
      <w:r w:rsidR="0024496B" w:rsidRPr="00A07AE5">
        <w:t xml:space="preserve">hough these </w:t>
      </w:r>
      <w:r w:rsidR="00511A3F" w:rsidRPr="00A07AE5">
        <w:t xml:space="preserve">non-labour cost </w:t>
      </w:r>
      <w:r w:rsidR="0024496B" w:rsidRPr="00A07AE5">
        <w:t xml:space="preserve">pressures are now starting to fade, </w:t>
      </w:r>
      <w:r w:rsidR="00C55984" w:rsidRPr="00A07AE5">
        <w:t xml:space="preserve">in Q4 the ratio of corporate profits to </w:t>
      </w:r>
      <w:r w:rsidR="00FB6752" w:rsidRPr="00A07AE5">
        <w:t>Gross Value Added at factor cost</w:t>
      </w:r>
      <w:r w:rsidR="00C55984" w:rsidRPr="00A07AE5">
        <w:t xml:space="preserve"> </w:t>
      </w:r>
      <w:r w:rsidR="0024496B" w:rsidRPr="00A07AE5">
        <w:t>dropped to i</w:t>
      </w:r>
      <w:r w:rsidR="00C55984" w:rsidRPr="00A07AE5">
        <w:t>ts lowest level since Q1 200</w:t>
      </w:r>
      <w:r w:rsidR="00FB6752" w:rsidRPr="00A07AE5">
        <w:t>1</w:t>
      </w:r>
      <w:r w:rsidR="00C55984" w:rsidRPr="00A07AE5">
        <w:t xml:space="preserve"> (</w:t>
      </w:r>
      <w:r w:rsidR="00E17190" w:rsidRPr="00D21B97">
        <w:rPr>
          <w:b/>
          <w:color w:val="003469"/>
        </w:rPr>
        <w:fldChar w:fldCharType="begin"/>
      </w:r>
      <w:r w:rsidR="00D21B97" w:rsidRPr="00D21B97">
        <w:rPr>
          <w:b/>
          <w:color w:val="003469"/>
        </w:rPr>
        <w:instrText xml:space="preserve">REF _Ref190373963 \h \* Charformat </w:instrText>
      </w:r>
      <w:r w:rsidR="00E17190" w:rsidRPr="00D21B97">
        <w:rPr>
          <w:b/>
          <w:color w:val="003469"/>
        </w:rPr>
      </w:r>
      <w:r w:rsidR="00E17190" w:rsidRPr="00D21B97">
        <w:rPr>
          <w:b/>
          <w:color w:val="003469"/>
        </w:rPr>
        <w:fldChar w:fldCharType="separate"/>
      </w:r>
      <w:r w:rsidR="000B079F" w:rsidRPr="000B079F">
        <w:rPr>
          <w:b/>
          <w:color w:val="003469"/>
        </w:rPr>
        <w:t>Chart 5</w:t>
      </w:r>
      <w:r w:rsidR="00E17190" w:rsidRPr="00D21B97">
        <w:rPr>
          <w:b/>
          <w:color w:val="003469"/>
        </w:rPr>
        <w:fldChar w:fldCharType="end"/>
      </w:r>
      <w:r w:rsidR="00C55984" w:rsidRPr="00A07AE5">
        <w:t>).</w:t>
      </w:r>
    </w:p>
    <w:p w14:paraId="35D30391" w14:textId="7FC6F600" w:rsidR="00427FED" w:rsidRPr="00A07AE5" w:rsidRDefault="00427FED" w:rsidP="0047796C">
      <w:pPr>
        <w:pStyle w:val="ExhibitTitle"/>
      </w:pPr>
      <w:bookmarkStart w:id="4" w:name="_Ref190373963"/>
      <w:r w:rsidRPr="00A07AE5">
        <w:t xml:space="preserve">Chart </w:t>
      </w:r>
      <w:r w:rsidRPr="00A07AE5">
        <w:fldChar w:fldCharType="begin"/>
      </w:r>
      <w:r w:rsidR="005E7C24" w:rsidRPr="00A07AE5">
        <w:instrText>SEQ CHART</w:instrText>
      </w:r>
      <w:r w:rsidRPr="00A07AE5">
        <w:fldChar w:fldCharType="separate"/>
      </w:r>
      <w:r w:rsidR="000B079F">
        <w:rPr>
          <w:noProof/>
        </w:rPr>
        <w:t>5</w:t>
      </w:r>
      <w:r w:rsidRPr="00A07AE5">
        <w:fldChar w:fldCharType="end"/>
      </w:r>
      <w:bookmarkEnd w:id="4"/>
      <w:r w:rsidRPr="00A07AE5">
        <w:t xml:space="preserve">: </w:t>
      </w:r>
      <w:r w:rsidR="00F02EEE" w:rsidRPr="00A07AE5">
        <w:t xml:space="preserve">Corporate </w:t>
      </w:r>
      <w:r w:rsidR="00526A55" w:rsidRPr="00A07AE5">
        <w:t>profitability is</w:t>
      </w:r>
      <w:r w:rsidR="00F02EEE" w:rsidRPr="00A07AE5">
        <w:t xml:space="preserve"> at a </w:t>
      </w:r>
      <w:r w:rsidR="00FB6752" w:rsidRPr="00A07AE5">
        <w:t>23</w:t>
      </w:r>
      <w:r w:rsidR="00F02EEE" w:rsidRPr="00A07AE5">
        <w:t>-year low, even before the NICs rise</w:t>
      </w:r>
    </w:p>
    <w:p w14:paraId="429A6589" w14:textId="0EA84E82" w:rsidR="005E7C24" w:rsidRPr="00A07AE5" w:rsidRDefault="005E7C24" w:rsidP="0047796C">
      <w:pPr>
        <w:spacing w:after="0"/>
      </w:pPr>
      <w:r w:rsidRPr="00A07AE5">
        <w:rPr>
          <w:noProof/>
        </w:rPr>
        <w:drawing>
          <wp:inline distT="0" distB="0" distL="0" distR="0" wp14:anchorId="69D897A8" wp14:editId="503C4048">
            <wp:extent cx="3250933" cy="2548068"/>
            <wp:effectExtent l="0" t="0" r="6985" b="5080"/>
            <wp:docPr id="136812040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2040" name="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ADFE" w14:textId="09E5FDB1" w:rsidR="00427FED" w:rsidRPr="00A07AE5" w:rsidRDefault="005E7C24" w:rsidP="0047796C">
      <w:pPr>
        <w:pStyle w:val="ExhibitSource"/>
      </w:pPr>
      <w:r w:rsidRPr="00A07AE5">
        <w:t>Source: Haver Analytics</w:t>
      </w:r>
    </w:p>
    <w:p w14:paraId="0376B9C3" w14:textId="2B434A09" w:rsidR="002D04D2" w:rsidRPr="00A07AE5" w:rsidRDefault="000657E3" w:rsidP="002D04D2">
      <w:r w:rsidRPr="00A07AE5">
        <w:t>Given the weakness in profitability, the ability of firms to keep absorbing large rises in labour costs is likely to wan</w:t>
      </w:r>
      <w:r w:rsidR="009429B1">
        <w:t>e</w:t>
      </w:r>
      <w:r w:rsidRPr="00A07AE5">
        <w:t xml:space="preserve">. </w:t>
      </w:r>
      <w:r w:rsidR="002D04D2" w:rsidRPr="00A07AE5">
        <w:t>Firms have been keen to retain workers in recent years</w:t>
      </w:r>
      <w:r w:rsidR="00623D74" w:rsidRPr="00A07AE5">
        <w:t>,</w:t>
      </w:r>
      <w:r w:rsidR="002D04D2" w:rsidRPr="00A07AE5">
        <w:t xml:space="preserve"> with the widespread skills shortages experienced in 2022 fresh in the memory. But that motivation is </w:t>
      </w:r>
      <w:r w:rsidRPr="00A07AE5">
        <w:t xml:space="preserve">also </w:t>
      </w:r>
      <w:r w:rsidR="002D04D2" w:rsidRPr="00A07AE5">
        <w:t xml:space="preserve">likely to </w:t>
      </w:r>
      <w:r w:rsidR="009429B1">
        <w:t>fade</w:t>
      </w:r>
      <w:r w:rsidR="002D04D2" w:rsidRPr="00A07AE5">
        <w:t xml:space="preserve"> the longer that demand remains weak.</w:t>
      </w:r>
      <w:r w:rsidRPr="00A07AE5">
        <w:t xml:space="preserve"> That's particularly the case for </w:t>
      </w:r>
      <w:r w:rsidR="002D04D2" w:rsidRPr="00A07AE5">
        <w:t xml:space="preserve">roles at the lower end of the pay distribution, for which less specialised skills are required. This </w:t>
      </w:r>
      <w:r w:rsidRPr="00A07AE5">
        <w:t xml:space="preserve">suggests </w:t>
      </w:r>
      <w:r w:rsidR="009429B1">
        <w:t>firms</w:t>
      </w:r>
      <w:r w:rsidR="009429B1" w:rsidRPr="00A07AE5">
        <w:t xml:space="preserve"> </w:t>
      </w:r>
      <w:r w:rsidRPr="00A07AE5">
        <w:t xml:space="preserve">may </w:t>
      </w:r>
      <w:r w:rsidR="009429B1">
        <w:t>put</w:t>
      </w:r>
      <w:r w:rsidRPr="00A07AE5">
        <w:t xml:space="preserve"> a greater focus on limiting the increase in the</w:t>
      </w:r>
      <w:r w:rsidR="009429B1">
        <w:t>ir</w:t>
      </w:r>
      <w:r w:rsidRPr="00A07AE5">
        <w:t xml:space="preserve"> pay bill.</w:t>
      </w:r>
    </w:p>
    <w:p w14:paraId="609FCD46" w14:textId="69E5DFFA" w:rsidR="009E078D" w:rsidRPr="00A07AE5" w:rsidRDefault="00601A0F" w:rsidP="0047796C">
      <w:pPr>
        <w:pStyle w:val="Heading3"/>
      </w:pPr>
      <w:r w:rsidRPr="00A07AE5">
        <w:t>Parts of the services sector look most vulnerable</w:t>
      </w:r>
    </w:p>
    <w:p w14:paraId="31FEB9F6" w14:textId="2FEDF20F" w:rsidR="00601A0F" w:rsidRPr="00A07AE5" w:rsidRDefault="00581E09" w:rsidP="00026296">
      <w:r w:rsidRPr="00A07AE5">
        <w:t xml:space="preserve">The wide disparity in impact across the pay distribution will also likely mean significant variation in </w:t>
      </w:r>
      <w:r w:rsidR="009429B1">
        <w:t>the effects</w:t>
      </w:r>
      <w:r w:rsidR="009429B1" w:rsidRPr="00A07AE5">
        <w:t xml:space="preserve"> </w:t>
      </w:r>
      <w:r w:rsidRPr="00A07AE5">
        <w:t xml:space="preserve">across sectors. </w:t>
      </w:r>
      <w:r w:rsidR="00805FC7" w:rsidRPr="00A07AE5">
        <w:t>A worker on the 25th percentile of the pay distribution for the accommodation and food sector earns around £9,000 per year, but for the utilities sector the 25th percentile is</w:t>
      </w:r>
      <w:r w:rsidR="00512463" w:rsidRPr="00A07AE5">
        <w:t xml:space="preserve"> more than four </w:t>
      </w:r>
      <w:r w:rsidR="00512463" w:rsidRPr="00A07AE5">
        <w:lastRenderedPageBreak/>
        <w:t>times higher at</w:t>
      </w:r>
      <w:r w:rsidR="00805FC7" w:rsidRPr="00A07AE5">
        <w:t xml:space="preserve"> £37,500</w:t>
      </w:r>
      <w:r w:rsidR="00394548" w:rsidRPr="00A07AE5">
        <w:t xml:space="preserve"> (</w:t>
      </w:r>
      <w:r w:rsidR="00DD63AE" w:rsidRPr="00D21B97">
        <w:rPr>
          <w:b/>
          <w:color w:val="003469"/>
        </w:rPr>
        <w:fldChar w:fldCharType="begin"/>
      </w:r>
      <w:r w:rsidR="00D21B97" w:rsidRPr="00D21B97">
        <w:rPr>
          <w:b/>
          <w:color w:val="003469"/>
        </w:rPr>
        <w:instrText xml:space="preserve">REF _Ref190714406 \h \* Charformat </w:instrText>
      </w:r>
      <w:r w:rsidR="00DD63AE" w:rsidRPr="00D21B97">
        <w:rPr>
          <w:b/>
          <w:color w:val="003469"/>
        </w:rPr>
      </w:r>
      <w:r w:rsidR="00DD63AE" w:rsidRPr="00D21B97">
        <w:rPr>
          <w:b/>
          <w:color w:val="003469"/>
        </w:rPr>
        <w:fldChar w:fldCharType="separate"/>
      </w:r>
      <w:r w:rsidR="000B079F" w:rsidRPr="000B079F">
        <w:rPr>
          <w:b/>
          <w:color w:val="003469"/>
        </w:rPr>
        <w:t>Chart 6</w:t>
      </w:r>
      <w:r w:rsidR="00DD63AE" w:rsidRPr="00D21B97">
        <w:rPr>
          <w:b/>
          <w:color w:val="003469"/>
        </w:rPr>
        <w:fldChar w:fldCharType="end"/>
      </w:r>
      <w:r w:rsidR="00C63627" w:rsidRPr="00A07AE5">
        <w:t>).</w:t>
      </w:r>
      <w:r w:rsidR="00AC0BC6" w:rsidRPr="00A07AE5">
        <w:t xml:space="preserve"> The five sub-sectors with the greatest reliance on lower paying roles and, therefore, most vulnerable to the NICs and NLW impact</w:t>
      </w:r>
      <w:r w:rsidR="0076397D" w:rsidRPr="00A07AE5">
        <w:t>s</w:t>
      </w:r>
      <w:r w:rsidR="00AC0BC6" w:rsidRPr="00A07AE5">
        <w:t xml:space="preserve"> are all in the services sector, with the accommodation and food, art and recreation</w:t>
      </w:r>
      <w:r w:rsidR="0076397D" w:rsidRPr="00A07AE5">
        <w:t>,</w:t>
      </w:r>
      <w:r w:rsidR="00AC0BC6" w:rsidRPr="00A07AE5">
        <w:t xml:space="preserve"> other services</w:t>
      </w:r>
      <w:r w:rsidR="0076397D" w:rsidRPr="00A07AE5">
        <w:t>, and wholesale and retail sectors</w:t>
      </w:r>
      <w:r w:rsidR="00AC0BC6" w:rsidRPr="00A07AE5">
        <w:t xml:space="preserve"> looking most vulnerable.</w:t>
      </w:r>
    </w:p>
    <w:p w14:paraId="0CDB2B61" w14:textId="6BE62BDA" w:rsidR="00407877" w:rsidRPr="00A07AE5" w:rsidRDefault="00407877" w:rsidP="0047796C">
      <w:pPr>
        <w:pStyle w:val="ExhibitTitle"/>
      </w:pPr>
      <w:bookmarkStart w:id="5" w:name="_Ref190714406"/>
      <w:r w:rsidRPr="00A07AE5">
        <w:t xml:space="preserve">Chart </w:t>
      </w:r>
      <w:r w:rsidRPr="00A07AE5">
        <w:fldChar w:fldCharType="begin"/>
      </w:r>
      <w:r w:rsidR="00E17190" w:rsidRPr="00A07AE5">
        <w:instrText>SEQ CHART</w:instrText>
      </w:r>
      <w:r w:rsidRPr="00A07AE5">
        <w:fldChar w:fldCharType="separate"/>
      </w:r>
      <w:r w:rsidR="000B079F">
        <w:rPr>
          <w:noProof/>
        </w:rPr>
        <w:t>6</w:t>
      </w:r>
      <w:r w:rsidRPr="00A07AE5">
        <w:fldChar w:fldCharType="end"/>
      </w:r>
      <w:bookmarkEnd w:id="5"/>
      <w:r w:rsidRPr="00A07AE5">
        <w:t xml:space="preserve">: </w:t>
      </w:r>
      <w:r w:rsidR="008C22C0" w:rsidRPr="00A07AE5">
        <w:t>Large parts of the services sector are heavily reliant on low paid roles</w:t>
      </w:r>
    </w:p>
    <w:p w14:paraId="7EAD6C24" w14:textId="3E177F6D" w:rsidR="00012CF2" w:rsidRPr="00A07AE5" w:rsidRDefault="00012CF2" w:rsidP="0047796C">
      <w:pPr>
        <w:spacing w:after="0"/>
      </w:pPr>
      <w:r w:rsidRPr="00A07AE5">
        <w:rPr>
          <w:noProof/>
        </w:rPr>
        <w:drawing>
          <wp:inline distT="0" distB="0" distL="0" distR="0" wp14:anchorId="26803DFC" wp14:editId="32D3B96B">
            <wp:extent cx="3250933" cy="2548068"/>
            <wp:effectExtent l="0" t="0" r="6985" b="5080"/>
            <wp:docPr id="56959589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95890" name="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A684" w14:textId="5E5BF972" w:rsidR="00407877" w:rsidRPr="00A07AE5" w:rsidRDefault="00012CF2" w:rsidP="0047796C">
      <w:pPr>
        <w:pStyle w:val="ExhibitSource"/>
      </w:pPr>
      <w:r w:rsidRPr="00A07AE5">
        <w:t>Source: ONS ASHE</w:t>
      </w:r>
    </w:p>
    <w:p w14:paraId="3E869274" w14:textId="20FD2E54" w:rsidR="00D70BC8" w:rsidRPr="00A07AE5" w:rsidRDefault="00AE262E" w:rsidP="006B593B">
      <w:r w:rsidRPr="00A07AE5">
        <w:t xml:space="preserve">These sectors are typically </w:t>
      </w:r>
      <w:r w:rsidR="00D70BC8" w:rsidRPr="00A07AE5">
        <w:t>among</w:t>
      </w:r>
      <w:r w:rsidRPr="00A07AE5">
        <w:t xml:space="preserve"> the most labour-intensive</w:t>
      </w:r>
      <w:r w:rsidR="00E637B4" w:rsidRPr="00A07AE5">
        <w:t xml:space="preserve">. They are </w:t>
      </w:r>
      <w:r w:rsidR="0093628E" w:rsidRPr="00A07AE5">
        <w:t xml:space="preserve">also </w:t>
      </w:r>
      <w:r w:rsidR="00E637B4" w:rsidRPr="00A07AE5">
        <w:t xml:space="preserve">more energy-intensive than the average, so have suffered disproportionately from the energy price shock. And </w:t>
      </w:r>
      <w:r w:rsidR="00E93805" w:rsidRPr="00A07AE5">
        <w:t>they a</w:t>
      </w:r>
      <w:r w:rsidRPr="00A07AE5">
        <w:t>re strongly linked to consumer spending, a part of the economy that has underperformed in recent years</w:t>
      </w:r>
      <w:r w:rsidR="00D70BC8" w:rsidRPr="00A07AE5">
        <w:t>. Indeed, since pandemic-related restrictions were removed</w:t>
      </w:r>
      <w:r w:rsidR="006205DD" w:rsidRPr="00A07AE5">
        <w:t>,</w:t>
      </w:r>
      <w:r w:rsidR="00D70BC8" w:rsidRPr="00A07AE5">
        <w:t xml:space="preserve"> the performance of retail has been </w:t>
      </w:r>
      <w:r w:rsidR="006205DD" w:rsidRPr="00A07AE5">
        <w:t>particularly soft</w:t>
      </w:r>
      <w:r w:rsidR="00D70BC8" w:rsidRPr="00A07AE5">
        <w:t>.</w:t>
      </w:r>
    </w:p>
    <w:p w14:paraId="424CB66E" w14:textId="1369973C" w:rsidR="00D70BC8" w:rsidRPr="00A07AE5" w:rsidRDefault="00E637B4" w:rsidP="006B593B">
      <w:proofErr w:type="gramStart"/>
      <w:r w:rsidRPr="00A07AE5">
        <w:t>So</w:t>
      </w:r>
      <w:proofErr w:type="gramEnd"/>
      <w:r w:rsidRPr="00A07AE5">
        <w:t xml:space="preserve"> we view these sectors as being highly vulnerable to significant job losses.</w:t>
      </w:r>
      <w:r w:rsidR="00D70BC8" w:rsidRPr="00A07AE5">
        <w:t xml:space="preserve"> Consistent with this, the CBI's </w:t>
      </w:r>
      <w:r w:rsidR="006205DD" w:rsidRPr="00A07AE5">
        <w:t>service sector</w:t>
      </w:r>
      <w:r w:rsidR="00D70BC8" w:rsidRPr="00A07AE5">
        <w:t xml:space="preserve"> survey suggests that firms' employment expectations are much weaker in consumer services than in business and professional services. </w:t>
      </w:r>
    </w:p>
    <w:p w14:paraId="721B9493" w14:textId="57B403DD" w:rsidR="00CA0003" w:rsidRPr="00A07AE5" w:rsidRDefault="00CA0003" w:rsidP="006B593B">
      <w:r w:rsidRPr="00A07AE5">
        <w:t>The impact across different sizes of firm may also be uneven.</w:t>
      </w:r>
      <w:r w:rsidR="00410B97" w:rsidRPr="00A07AE5">
        <w:t xml:space="preserve"> For the smallest firms, the changes to the employment allowance </w:t>
      </w:r>
      <w:r w:rsidR="008C402C" w:rsidRPr="00A07AE5">
        <w:t>may</w:t>
      </w:r>
      <w:r w:rsidR="00D559C2" w:rsidRPr="00A07AE5">
        <w:t xml:space="preserve"> mitigate the impact of the NICs increase</w:t>
      </w:r>
      <w:r w:rsidR="00410B97" w:rsidRPr="00A07AE5">
        <w:t xml:space="preserve">, with the CIPD survey </w:t>
      </w:r>
      <w:r w:rsidR="00851A63">
        <w:t>showing</w:t>
      </w:r>
      <w:r w:rsidR="00851A63" w:rsidRPr="00A07AE5">
        <w:t xml:space="preserve"> </w:t>
      </w:r>
      <w:r w:rsidR="00410B97" w:rsidRPr="00A07AE5">
        <w:t>that</w:t>
      </w:r>
      <w:r w:rsidR="00F8651C" w:rsidRPr="00A07AE5">
        <w:t xml:space="preserve"> more than half of small firms expect the </w:t>
      </w:r>
      <w:r w:rsidR="00D559C2" w:rsidRPr="00A07AE5">
        <w:t xml:space="preserve">increase in the employment allowance and removal of the </w:t>
      </w:r>
      <w:r w:rsidR="00F03F4E">
        <w:t xml:space="preserve">eligibility </w:t>
      </w:r>
      <w:r w:rsidR="00D559C2" w:rsidRPr="00A07AE5">
        <w:t>threshold</w:t>
      </w:r>
      <w:r w:rsidR="00F8651C" w:rsidRPr="00A07AE5">
        <w:t xml:space="preserve"> to </w:t>
      </w:r>
      <w:r w:rsidR="00D75E93" w:rsidRPr="00A07AE5">
        <w:t>reduce</w:t>
      </w:r>
      <w:r w:rsidR="00F8651C" w:rsidRPr="00A07AE5">
        <w:t xml:space="preserve"> their costs (</w:t>
      </w:r>
      <w:r w:rsidR="00DD63AE" w:rsidRPr="00D21B97">
        <w:rPr>
          <w:b/>
          <w:color w:val="003469"/>
        </w:rPr>
        <w:fldChar w:fldCharType="begin"/>
      </w:r>
      <w:r w:rsidR="00D21B97" w:rsidRPr="00D21B97">
        <w:rPr>
          <w:b/>
          <w:color w:val="003469"/>
        </w:rPr>
        <w:instrText xml:space="preserve">REF _Ref190714332 \h \* Charformat </w:instrText>
      </w:r>
      <w:r w:rsidR="00DD63AE" w:rsidRPr="00D21B97">
        <w:rPr>
          <w:b/>
          <w:color w:val="003469"/>
        </w:rPr>
      </w:r>
      <w:r w:rsidR="00DD63AE" w:rsidRPr="00D21B97">
        <w:rPr>
          <w:b/>
          <w:color w:val="003469"/>
        </w:rPr>
        <w:fldChar w:fldCharType="separate"/>
      </w:r>
      <w:r w:rsidR="000B079F" w:rsidRPr="000B079F">
        <w:rPr>
          <w:b/>
          <w:color w:val="003469"/>
        </w:rPr>
        <w:t>Chart 7</w:t>
      </w:r>
      <w:r w:rsidR="00DD63AE" w:rsidRPr="00D21B97">
        <w:rPr>
          <w:b/>
          <w:color w:val="003469"/>
        </w:rPr>
        <w:fldChar w:fldCharType="end"/>
      </w:r>
      <w:r w:rsidR="00F8651C" w:rsidRPr="00A07AE5">
        <w:t xml:space="preserve">). </w:t>
      </w:r>
    </w:p>
    <w:p w14:paraId="6C96AA69" w14:textId="2AED05A0" w:rsidR="00CA0003" w:rsidRPr="00A07AE5" w:rsidRDefault="00CA0003" w:rsidP="0047796C">
      <w:pPr>
        <w:pStyle w:val="ExhibitTitle"/>
      </w:pPr>
      <w:bookmarkStart w:id="6" w:name="_Ref190714332"/>
      <w:r w:rsidRPr="00A07AE5">
        <w:t xml:space="preserve">Chart </w:t>
      </w:r>
      <w:r w:rsidRPr="00A07AE5">
        <w:fldChar w:fldCharType="begin"/>
      </w:r>
      <w:r w:rsidR="000B079F">
        <w:instrText>SEQ CHART</w:instrText>
      </w:r>
      <w:r w:rsidRPr="00A07AE5">
        <w:fldChar w:fldCharType="separate"/>
      </w:r>
      <w:r w:rsidR="000B079F">
        <w:rPr>
          <w:noProof/>
        </w:rPr>
        <w:t>7</w:t>
      </w:r>
      <w:r w:rsidRPr="00A07AE5">
        <w:fldChar w:fldCharType="end"/>
      </w:r>
      <w:bookmarkEnd w:id="6"/>
      <w:r w:rsidRPr="00A07AE5">
        <w:t xml:space="preserve">: </w:t>
      </w:r>
      <w:r w:rsidR="003A47AA" w:rsidRPr="00A07AE5">
        <w:t>Smaller firms expect the changes to the employment allowance to mitigate the NICs effect</w:t>
      </w:r>
    </w:p>
    <w:p w14:paraId="7D791C44" w14:textId="32A4E2E1" w:rsidR="000B079F" w:rsidRDefault="000B079F" w:rsidP="0047796C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AA096AB" wp14:editId="7A37B2FD">
            <wp:extent cx="3250933" cy="2548068"/>
            <wp:effectExtent l="0" t="0" r="6985" b="5080"/>
            <wp:docPr id="187665873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58739" name="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4E32" w14:textId="6DD97E65" w:rsidR="00CA0003" w:rsidRPr="00A07AE5" w:rsidRDefault="000B079F" w:rsidP="0047796C">
      <w:pPr>
        <w:pStyle w:val="ExhibitSource"/>
      </w:pPr>
      <w:r>
        <w:t>Source: CIPD</w:t>
      </w:r>
    </w:p>
    <w:p w14:paraId="06AFCEF4" w14:textId="3F19EDD0" w:rsidR="00986532" w:rsidRPr="00A07AE5" w:rsidRDefault="00986532" w:rsidP="00986532">
      <w:r w:rsidRPr="00A07AE5">
        <w:lastRenderedPageBreak/>
        <w:t xml:space="preserve">But equally, smaller firms took on large amounts of debt to get through the pandemic and were more exposed to the subsequent interest rate shock. </w:t>
      </w:r>
      <w:r w:rsidR="00E553E4" w:rsidRPr="00A07AE5">
        <w:t xml:space="preserve">Many have subsequently </w:t>
      </w:r>
      <w:hyperlink r:id="rId37" w:history="1">
        <w:r w:rsidR="00E553E4" w:rsidRPr="00A07AE5">
          <w:rPr>
            <w:rStyle w:val="Hyperlink"/>
          </w:rPr>
          <w:t>deleveraged</w:t>
        </w:r>
      </w:hyperlink>
      <w:r w:rsidR="00E553E4" w:rsidRPr="00A07AE5">
        <w:t xml:space="preserve">, but with interest rates still relatively high and smaller firms tending to be more labour-intensive, we are particularly concerned about the ability of these firms to absorb </w:t>
      </w:r>
      <w:r w:rsidR="00823874" w:rsidRPr="00A07AE5">
        <w:t>another round of cost increases</w:t>
      </w:r>
      <w:r w:rsidR="00E553E4" w:rsidRPr="00A07AE5">
        <w:t>.</w:t>
      </w:r>
    </w:p>
    <w:p w14:paraId="5E5F9F8D" w14:textId="599365A8" w:rsidR="00AE262E" w:rsidRPr="00A07AE5" w:rsidRDefault="005E7ABF" w:rsidP="0047796C">
      <w:pPr>
        <w:pStyle w:val="Heading3"/>
      </w:pPr>
      <w:r w:rsidRPr="00A07AE5">
        <w:t>Our forecast assumes a much bigger impact on employment</w:t>
      </w:r>
      <w:r w:rsidR="003469D3" w:rsidRPr="00A07AE5">
        <w:t xml:space="preserve"> than our scenario implies</w:t>
      </w:r>
    </w:p>
    <w:p w14:paraId="468913C2" w14:textId="5D4B2B66" w:rsidR="006B593B" w:rsidRPr="00A07AE5" w:rsidRDefault="00E9053B" w:rsidP="006B593B">
      <w:r w:rsidRPr="00A07AE5">
        <w:t xml:space="preserve">On balance, we think there's a good chance that the specific circumstances will give rise to a much bigger impact on employment than our </w:t>
      </w:r>
      <w:r w:rsidR="008F66AE" w:rsidRPr="00A07AE5">
        <w:t xml:space="preserve">simple </w:t>
      </w:r>
      <w:r w:rsidRPr="00A07AE5">
        <w:t>model scenario implies. The combination of a simultaneous large rise in the NLW</w:t>
      </w:r>
      <w:r w:rsidR="0078788F" w:rsidRPr="00A07AE5">
        <w:t xml:space="preserve"> and big cut to the starting point for paying NICs is likely to have a disproportionate impact on lower-paid jobs, while the ability and willingness of firms to absorb further cost increases is likely to be limited after the struggles of the past few years.</w:t>
      </w:r>
    </w:p>
    <w:p w14:paraId="0D688F2B" w14:textId="04EA0A11" w:rsidR="002976B7" w:rsidRPr="00A07AE5" w:rsidRDefault="008F66AE" w:rsidP="006B593B">
      <w:r w:rsidRPr="00A07AE5">
        <w:t>T</w:t>
      </w:r>
      <w:r w:rsidR="005A606C" w:rsidRPr="00A07AE5">
        <w:t xml:space="preserve">he uncertainty around our baseline is high, and the problem of unusually noisy data </w:t>
      </w:r>
      <w:r w:rsidR="00851A63">
        <w:t xml:space="preserve">that </w:t>
      </w:r>
      <w:r w:rsidR="005A606C" w:rsidRPr="00A07AE5">
        <w:t xml:space="preserve">we identified </w:t>
      </w:r>
      <w:hyperlink r:id="rId38" w:history="1">
        <w:r w:rsidR="005A606C" w:rsidRPr="00A07AE5">
          <w:rPr>
            <w:rStyle w:val="Hyperlink"/>
          </w:rPr>
          <w:t>previous</w:t>
        </w:r>
        <w:r w:rsidR="00851A63">
          <w:rPr>
            <w:rStyle w:val="Hyperlink"/>
          </w:rPr>
          <w:t>ly</w:t>
        </w:r>
      </w:hyperlink>
      <w:r w:rsidR="005A606C" w:rsidRPr="00A07AE5">
        <w:t xml:space="preserve"> is likely to make it much harder to judge the impact.</w:t>
      </w:r>
      <w:r w:rsidR="00054337" w:rsidRPr="00A07AE5">
        <w:t xml:space="preserve"> Indeed, given the lags associated with data releases, it could be the autumn before we get a firm handle on how the labour market has responded.</w:t>
      </w:r>
    </w:p>
    <w:p w14:paraId="601C81DF" w14:textId="50D116F3" w:rsidR="009E6396" w:rsidRPr="00A07AE5" w:rsidRDefault="00910AD2" w:rsidP="006B593B">
      <w:r w:rsidRPr="00A07AE5">
        <w:t>I</w:t>
      </w:r>
      <w:r w:rsidR="008F66AE" w:rsidRPr="00A07AE5">
        <w:t>f there is evidence of a greater labour market shakeout</w:t>
      </w:r>
      <w:r w:rsidR="00851A63">
        <w:t>,</w:t>
      </w:r>
      <w:r w:rsidR="008F66AE" w:rsidRPr="00A07AE5">
        <w:t xml:space="preserve"> then the earliest indication is likely to come from redundancy notices. The </w:t>
      </w:r>
      <w:hyperlink r:id="rId39" w:history="1">
        <w:r w:rsidR="002976B7" w:rsidRPr="00A07AE5">
          <w:rPr>
            <w:rStyle w:val="Hyperlink"/>
          </w:rPr>
          <w:t>latest outturn</w:t>
        </w:r>
      </w:hyperlink>
      <w:r w:rsidR="008F66AE" w:rsidRPr="00A07AE5">
        <w:t xml:space="preserve"> </w:t>
      </w:r>
      <w:r w:rsidR="002976B7" w:rsidRPr="00A07AE5">
        <w:t>is for</w:t>
      </w:r>
      <w:r w:rsidR="008F66AE" w:rsidRPr="00A07AE5">
        <w:t xml:space="preserve"> the three months to December </w:t>
      </w:r>
      <w:r w:rsidR="002976B7" w:rsidRPr="00A07AE5">
        <w:t xml:space="preserve">and shows the redundancy rate rising modestly compared with the previous three-month period but remaining well below historical norms. </w:t>
      </w:r>
      <w:r w:rsidR="009220DD" w:rsidRPr="00A07AE5">
        <w:t xml:space="preserve">It's too soon for the Budget announcements to have affected the data </w:t>
      </w:r>
      <w:r w:rsidR="00DC7B8B" w:rsidRPr="00A07AE5">
        <w:t xml:space="preserve">published </w:t>
      </w:r>
      <w:r w:rsidR="009220DD" w:rsidRPr="00A07AE5">
        <w:t>so far, but if the redundancy rate continues to pick up over the next couple of months, this cou</w:t>
      </w:r>
      <w:r w:rsidR="00112305" w:rsidRPr="00A07AE5">
        <w:t xml:space="preserve">ld be </w:t>
      </w:r>
      <w:r w:rsidR="00551565" w:rsidRPr="00A07AE5">
        <w:t xml:space="preserve">an </w:t>
      </w:r>
      <w:r w:rsidR="00112305" w:rsidRPr="00A07AE5">
        <w:t>indicat</w:t>
      </w:r>
      <w:r w:rsidR="00551565" w:rsidRPr="00A07AE5">
        <w:t>ion</w:t>
      </w:r>
      <w:r w:rsidR="00112305" w:rsidRPr="00A07AE5">
        <w:t xml:space="preserve"> that the NICs rise </w:t>
      </w:r>
      <w:r w:rsidR="00551565" w:rsidRPr="00A07AE5">
        <w:t>will have</w:t>
      </w:r>
      <w:r w:rsidR="00112305" w:rsidRPr="00A07AE5">
        <w:t xml:space="preserve"> a material impact on employment.</w:t>
      </w:r>
    </w:p>
    <w:sectPr w:rsidR="009E6396" w:rsidRPr="00A07AE5" w:rsidSect="00CF322C">
      <w:pgSz w:w="11906" w:h="16838"/>
      <w:pgMar w:top="1417" w:right="1276" w:bottom="838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78FE6" w14:textId="77777777" w:rsidR="00A31FA2" w:rsidRDefault="00A31FA2" w:rsidP="00A31FA2">
      <w:pPr>
        <w:spacing w:before="0" w:after="0"/>
      </w:pPr>
      <w:r>
        <w:separator/>
      </w:r>
    </w:p>
  </w:endnote>
  <w:endnote w:type="continuationSeparator" w:id="0">
    <w:p w14:paraId="1462EA39" w14:textId="77777777" w:rsidR="00A31FA2" w:rsidRDefault="00A31FA2" w:rsidP="00A31FA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3E5B8" w14:textId="77777777" w:rsidR="004F0C5A" w:rsidRDefault="004F0C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6897A" w14:textId="63DDA559" w:rsidR="00A31FA2" w:rsidRPr="00A31FA2" w:rsidRDefault="00A31FA2" w:rsidP="00A31FA2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  <w:t>Andrew Goodwin - agoodwin@oxfordeconomics.com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F8780" w14:textId="6632D3FD" w:rsidR="00A31FA2" w:rsidRDefault="00A31FA2" w:rsidP="00A31FA2">
    <w:pPr>
      <w:pStyle w:val="Author"/>
    </w:pPr>
    <w:r>
      <w:t>Andrew Goodwin</w:t>
    </w:r>
    <w:r w:rsidR="0047796C">
      <w:t xml:space="preserve"> - </w:t>
    </w:r>
    <w:r>
      <w:t>Chief UK Economist</w:t>
    </w:r>
    <w:r w:rsidR="0047796C">
      <w:t xml:space="preserve"> - </w:t>
    </w:r>
    <w:r>
      <w:t>agoodwin@oxfordeconomics.com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66DD7" w14:textId="77777777" w:rsidR="00A31FA2" w:rsidRDefault="00A31FA2" w:rsidP="00A31FA2">
      <w:pPr>
        <w:spacing w:before="0" w:after="0"/>
      </w:pPr>
      <w:r>
        <w:separator/>
      </w:r>
    </w:p>
  </w:footnote>
  <w:footnote w:type="continuationSeparator" w:id="0">
    <w:p w14:paraId="72CEEAB1" w14:textId="77777777" w:rsidR="00A31FA2" w:rsidRDefault="00A31FA2" w:rsidP="00A31FA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D3ED" w14:textId="77777777" w:rsidR="00A31FA2" w:rsidRDefault="00A31FA2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070B3" w14:textId="33D096F1" w:rsidR="00A31FA2" w:rsidRDefault="00A31FA2" w:rsidP="00A31FA2">
    <w:pPr>
      <w:pStyle w:val="Headline"/>
      <w:spacing w:before="120"/>
      <w:ind w:right="-1000"/>
    </w:pPr>
    <w:r w:rsidRPr="00A31FA2">
      <w:rPr>
        <w:noProof/>
      </w:rPr>
      <w:drawing>
        <wp:anchor distT="0" distB="0" distL="114300" distR="114300" simplePos="0" relativeHeight="251658239" behindDoc="1" locked="1" layoutInCell="1" allowOverlap="1" wp14:anchorId="2C124EDD" wp14:editId="3DB94A6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23" name="Picture 5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42F26" w:rsidRPr="00B42F26">
      <w:t>What the rise in NICs means for the labour market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F9F2C" w14:textId="140F6B7F" w:rsidR="00A31FA2" w:rsidRDefault="00A31FA2" w:rsidP="00A31FA2">
    <w:r w:rsidRPr="00A31FA2">
      <w:rPr>
        <w:noProof/>
      </w:rPr>
      <w:drawing>
        <wp:anchor distT="0" distB="0" distL="114300" distR="114300" simplePos="0" relativeHeight="251659264" behindDoc="1" locked="1" layoutInCell="1" allowOverlap="1" wp14:anchorId="2E9BAD1F" wp14:editId="7C7754C2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1072954686"/>
      <w:lock w:val="sdtLocked"/>
      <w:placeholder>
        <w:docPart w:val="DefaultPlaceholder_-1854013437"/>
      </w:placeholder>
      <w:date w:fullDate="2025-02-18T00:00:00Z">
        <w:dateFormat w:val="d MMMM yyyy"/>
        <w:lid w:val="en-GB"/>
        <w:storeMappedDataAs w:val="dateTime"/>
        <w:calendar w:val="gregorian"/>
      </w:date>
    </w:sdtPr>
    <w:sdtEndPr/>
    <w:sdtContent>
      <w:p w14:paraId="0D99ED85" w14:textId="51A2E21A" w:rsidR="00A31FA2" w:rsidRDefault="00A323A4" w:rsidP="00A31FA2">
        <w:pPr>
          <w:pStyle w:val="PublishDate"/>
          <w:framePr w:w="2835" w:h="340" w:hRule="exact" w:hSpace="180" w:wrap="around" w:vAnchor="page" w:hAnchor="page" w:x="7801" w:y="601" w:anchorLock="1"/>
        </w:pPr>
        <w:r>
          <w:t>18 February 2025</w:t>
        </w:r>
      </w:p>
    </w:sdtContent>
  </w:sdt>
  <w:p w14:paraId="5CF61B1B" w14:textId="2340BE8E" w:rsidR="00A31FA2" w:rsidRDefault="00C6437E" w:rsidP="00A31FA2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</w:t>
    </w:r>
    <w:r w:rsidR="00A31FA2">
      <w:t xml:space="preserve"> | </w:t>
    </w:r>
    <w:r>
      <w:t>UK</w:t>
    </w:r>
  </w:p>
  <w:p w14:paraId="7210774E" w14:textId="2AAC37D7" w:rsidR="00A31FA2" w:rsidRDefault="00B42F26" w:rsidP="00A31FA2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 w:rsidRPr="00B42F26">
      <w:t>What the rise in NICs means for the labour market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EAAA1E9E"/>
    <w:lvl w:ilvl="0" w:tplc="F766AAB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D86DCB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8D3E6D"/>
    <w:multiLevelType w:val="hybridMultilevel"/>
    <w:tmpl w:val="9370A748"/>
    <w:lvl w:ilvl="0" w:tplc="5528530E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3"/>
  </w:num>
  <w:num w:numId="2" w16cid:durableId="2074311132">
    <w:abstractNumId w:val="1"/>
  </w:num>
  <w:num w:numId="3" w16cid:durableId="1590693657">
    <w:abstractNumId w:val="4"/>
  </w:num>
  <w:num w:numId="4" w16cid:durableId="1590037850">
    <w:abstractNumId w:val="0"/>
  </w:num>
  <w:num w:numId="5" w16cid:durableId="554319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1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A2"/>
    <w:rsid w:val="00003BA7"/>
    <w:rsid w:val="00012CF2"/>
    <w:rsid w:val="00012D79"/>
    <w:rsid w:val="00012FFD"/>
    <w:rsid w:val="00022761"/>
    <w:rsid w:val="00026296"/>
    <w:rsid w:val="0004537B"/>
    <w:rsid w:val="00054337"/>
    <w:rsid w:val="0005491E"/>
    <w:rsid w:val="00060719"/>
    <w:rsid w:val="000657E3"/>
    <w:rsid w:val="000766B9"/>
    <w:rsid w:val="000807DD"/>
    <w:rsid w:val="00080940"/>
    <w:rsid w:val="00085EF4"/>
    <w:rsid w:val="000A2BDE"/>
    <w:rsid w:val="000B079F"/>
    <w:rsid w:val="000C0ADF"/>
    <w:rsid w:val="000C3C48"/>
    <w:rsid w:val="000D3E43"/>
    <w:rsid w:val="000E2BD3"/>
    <w:rsid w:val="000F0D60"/>
    <w:rsid w:val="000F2AD8"/>
    <w:rsid w:val="000F3F52"/>
    <w:rsid w:val="000F488A"/>
    <w:rsid w:val="001018E9"/>
    <w:rsid w:val="00102D16"/>
    <w:rsid w:val="00112305"/>
    <w:rsid w:val="00120568"/>
    <w:rsid w:val="00120D7A"/>
    <w:rsid w:val="00124E58"/>
    <w:rsid w:val="00125B75"/>
    <w:rsid w:val="0015303E"/>
    <w:rsid w:val="00160D5A"/>
    <w:rsid w:val="00160F71"/>
    <w:rsid w:val="00161F75"/>
    <w:rsid w:val="0016316B"/>
    <w:rsid w:val="001701B3"/>
    <w:rsid w:val="0017078A"/>
    <w:rsid w:val="00190C04"/>
    <w:rsid w:val="00192CDF"/>
    <w:rsid w:val="001A31AA"/>
    <w:rsid w:val="001A363D"/>
    <w:rsid w:val="001A5775"/>
    <w:rsid w:val="001A6993"/>
    <w:rsid w:val="001A749F"/>
    <w:rsid w:val="001B1091"/>
    <w:rsid w:val="001B2B67"/>
    <w:rsid w:val="001B2C32"/>
    <w:rsid w:val="001D3648"/>
    <w:rsid w:val="001D7057"/>
    <w:rsid w:val="001E0785"/>
    <w:rsid w:val="001E0C4A"/>
    <w:rsid w:val="001E500B"/>
    <w:rsid w:val="001E7742"/>
    <w:rsid w:val="001F3317"/>
    <w:rsid w:val="001F395D"/>
    <w:rsid w:val="00231493"/>
    <w:rsid w:val="0023619E"/>
    <w:rsid w:val="00240224"/>
    <w:rsid w:val="00242E5E"/>
    <w:rsid w:val="00242F9C"/>
    <w:rsid w:val="0024496B"/>
    <w:rsid w:val="00245AF9"/>
    <w:rsid w:val="00246646"/>
    <w:rsid w:val="00250D3A"/>
    <w:rsid w:val="00251EB3"/>
    <w:rsid w:val="00253BE5"/>
    <w:rsid w:val="002615F6"/>
    <w:rsid w:val="00262D94"/>
    <w:rsid w:val="00263E48"/>
    <w:rsid w:val="00272DD8"/>
    <w:rsid w:val="002745D6"/>
    <w:rsid w:val="00275DF1"/>
    <w:rsid w:val="00280D10"/>
    <w:rsid w:val="00282A8A"/>
    <w:rsid w:val="00286754"/>
    <w:rsid w:val="0029566B"/>
    <w:rsid w:val="002976B7"/>
    <w:rsid w:val="002B0162"/>
    <w:rsid w:val="002C1955"/>
    <w:rsid w:val="002D04D2"/>
    <w:rsid w:val="002D0DC9"/>
    <w:rsid w:val="003017D9"/>
    <w:rsid w:val="00301926"/>
    <w:rsid w:val="0031169C"/>
    <w:rsid w:val="00313EFD"/>
    <w:rsid w:val="00316CBE"/>
    <w:rsid w:val="003469D3"/>
    <w:rsid w:val="00353ECB"/>
    <w:rsid w:val="00366624"/>
    <w:rsid w:val="00370974"/>
    <w:rsid w:val="00374E02"/>
    <w:rsid w:val="00375516"/>
    <w:rsid w:val="00394548"/>
    <w:rsid w:val="003A47AA"/>
    <w:rsid w:val="003B0CAB"/>
    <w:rsid w:val="003B2CB8"/>
    <w:rsid w:val="003B715A"/>
    <w:rsid w:val="003C1BB1"/>
    <w:rsid w:val="003C3689"/>
    <w:rsid w:val="003E7F3C"/>
    <w:rsid w:val="003F0F4E"/>
    <w:rsid w:val="003F2AC3"/>
    <w:rsid w:val="0040359C"/>
    <w:rsid w:val="00405A12"/>
    <w:rsid w:val="00405D65"/>
    <w:rsid w:val="00406591"/>
    <w:rsid w:val="00407877"/>
    <w:rsid w:val="00410B97"/>
    <w:rsid w:val="00410D64"/>
    <w:rsid w:val="004258C9"/>
    <w:rsid w:val="00427FED"/>
    <w:rsid w:val="00430A04"/>
    <w:rsid w:val="00431364"/>
    <w:rsid w:val="004458BB"/>
    <w:rsid w:val="004602D9"/>
    <w:rsid w:val="004617CB"/>
    <w:rsid w:val="0046292D"/>
    <w:rsid w:val="0046355E"/>
    <w:rsid w:val="004653A0"/>
    <w:rsid w:val="004677EA"/>
    <w:rsid w:val="0047796C"/>
    <w:rsid w:val="004827E3"/>
    <w:rsid w:val="00495DE7"/>
    <w:rsid w:val="004A2A92"/>
    <w:rsid w:val="004B4F66"/>
    <w:rsid w:val="004C3A2E"/>
    <w:rsid w:val="004C4558"/>
    <w:rsid w:val="004C4BD5"/>
    <w:rsid w:val="004C7923"/>
    <w:rsid w:val="004D347E"/>
    <w:rsid w:val="004D473F"/>
    <w:rsid w:val="004D5B83"/>
    <w:rsid w:val="004D650E"/>
    <w:rsid w:val="004E0A42"/>
    <w:rsid w:val="004E1622"/>
    <w:rsid w:val="004F0C5A"/>
    <w:rsid w:val="00502108"/>
    <w:rsid w:val="00511A3F"/>
    <w:rsid w:val="0051222A"/>
    <w:rsid w:val="00512463"/>
    <w:rsid w:val="00512F0C"/>
    <w:rsid w:val="005176F2"/>
    <w:rsid w:val="00520B43"/>
    <w:rsid w:val="00524103"/>
    <w:rsid w:val="00526A55"/>
    <w:rsid w:val="00535C71"/>
    <w:rsid w:val="005414BA"/>
    <w:rsid w:val="0054280C"/>
    <w:rsid w:val="005473C6"/>
    <w:rsid w:val="00547D16"/>
    <w:rsid w:val="00550729"/>
    <w:rsid w:val="00551565"/>
    <w:rsid w:val="00563FEB"/>
    <w:rsid w:val="005738B1"/>
    <w:rsid w:val="00575045"/>
    <w:rsid w:val="00576CB8"/>
    <w:rsid w:val="0058120C"/>
    <w:rsid w:val="00581E09"/>
    <w:rsid w:val="00591250"/>
    <w:rsid w:val="00592138"/>
    <w:rsid w:val="005A2A30"/>
    <w:rsid w:val="005A606C"/>
    <w:rsid w:val="005D719A"/>
    <w:rsid w:val="005E2022"/>
    <w:rsid w:val="005E404F"/>
    <w:rsid w:val="005E7ABF"/>
    <w:rsid w:val="005E7C24"/>
    <w:rsid w:val="005E7DAC"/>
    <w:rsid w:val="005F04DD"/>
    <w:rsid w:val="005F0616"/>
    <w:rsid w:val="005F2776"/>
    <w:rsid w:val="005F6EE5"/>
    <w:rsid w:val="00601A0F"/>
    <w:rsid w:val="0061226B"/>
    <w:rsid w:val="006125A3"/>
    <w:rsid w:val="006166EE"/>
    <w:rsid w:val="006202EF"/>
    <w:rsid w:val="006205DD"/>
    <w:rsid w:val="00623D74"/>
    <w:rsid w:val="00633BE2"/>
    <w:rsid w:val="006361FD"/>
    <w:rsid w:val="006473A8"/>
    <w:rsid w:val="006536F1"/>
    <w:rsid w:val="00666D3A"/>
    <w:rsid w:val="00671564"/>
    <w:rsid w:val="00671631"/>
    <w:rsid w:val="006739BF"/>
    <w:rsid w:val="0067595A"/>
    <w:rsid w:val="00681894"/>
    <w:rsid w:val="006843A8"/>
    <w:rsid w:val="006A1630"/>
    <w:rsid w:val="006A676D"/>
    <w:rsid w:val="006B247F"/>
    <w:rsid w:val="006B593B"/>
    <w:rsid w:val="006B5F57"/>
    <w:rsid w:val="006B6B57"/>
    <w:rsid w:val="006B76A5"/>
    <w:rsid w:val="006C7C06"/>
    <w:rsid w:val="006C7C38"/>
    <w:rsid w:val="006E2910"/>
    <w:rsid w:val="006F60F1"/>
    <w:rsid w:val="007057B9"/>
    <w:rsid w:val="00730E79"/>
    <w:rsid w:val="0073262E"/>
    <w:rsid w:val="0074116D"/>
    <w:rsid w:val="0076397D"/>
    <w:rsid w:val="00771B82"/>
    <w:rsid w:val="007723AE"/>
    <w:rsid w:val="0077455F"/>
    <w:rsid w:val="00781C8B"/>
    <w:rsid w:val="0078788F"/>
    <w:rsid w:val="00797BFE"/>
    <w:rsid w:val="007A0F18"/>
    <w:rsid w:val="007A3F96"/>
    <w:rsid w:val="007B4E1D"/>
    <w:rsid w:val="007B57CD"/>
    <w:rsid w:val="007D2E37"/>
    <w:rsid w:val="007F5D5D"/>
    <w:rsid w:val="007F7173"/>
    <w:rsid w:val="00805FC7"/>
    <w:rsid w:val="00806316"/>
    <w:rsid w:val="00811EC1"/>
    <w:rsid w:val="008226DD"/>
    <w:rsid w:val="00823874"/>
    <w:rsid w:val="00835013"/>
    <w:rsid w:val="00847933"/>
    <w:rsid w:val="00851A63"/>
    <w:rsid w:val="00855D68"/>
    <w:rsid w:val="0086090E"/>
    <w:rsid w:val="00861871"/>
    <w:rsid w:val="00870E19"/>
    <w:rsid w:val="008742FC"/>
    <w:rsid w:val="00874B7C"/>
    <w:rsid w:val="008828CE"/>
    <w:rsid w:val="0088455B"/>
    <w:rsid w:val="008C22C0"/>
    <w:rsid w:val="008C402C"/>
    <w:rsid w:val="008D4F08"/>
    <w:rsid w:val="008E11F0"/>
    <w:rsid w:val="008E721D"/>
    <w:rsid w:val="008F1A70"/>
    <w:rsid w:val="008F5AB4"/>
    <w:rsid w:val="008F66AE"/>
    <w:rsid w:val="00903600"/>
    <w:rsid w:val="0090469C"/>
    <w:rsid w:val="00910AD2"/>
    <w:rsid w:val="00920D15"/>
    <w:rsid w:val="009220DD"/>
    <w:rsid w:val="00927BE5"/>
    <w:rsid w:val="00931819"/>
    <w:rsid w:val="00933B30"/>
    <w:rsid w:val="0093628E"/>
    <w:rsid w:val="009429B1"/>
    <w:rsid w:val="00942F95"/>
    <w:rsid w:val="009634AC"/>
    <w:rsid w:val="00963AA5"/>
    <w:rsid w:val="00981473"/>
    <w:rsid w:val="0098259F"/>
    <w:rsid w:val="0098370A"/>
    <w:rsid w:val="009839B4"/>
    <w:rsid w:val="00986532"/>
    <w:rsid w:val="00995E6B"/>
    <w:rsid w:val="009B3BC5"/>
    <w:rsid w:val="009B4E82"/>
    <w:rsid w:val="009B723B"/>
    <w:rsid w:val="009C0BCD"/>
    <w:rsid w:val="009C7C16"/>
    <w:rsid w:val="009D5405"/>
    <w:rsid w:val="009D7236"/>
    <w:rsid w:val="009E078D"/>
    <w:rsid w:val="009E07F1"/>
    <w:rsid w:val="009E550F"/>
    <w:rsid w:val="009E5F70"/>
    <w:rsid w:val="009E6396"/>
    <w:rsid w:val="009E6444"/>
    <w:rsid w:val="009F37D1"/>
    <w:rsid w:val="009F3F01"/>
    <w:rsid w:val="00A0401A"/>
    <w:rsid w:val="00A07AE5"/>
    <w:rsid w:val="00A22411"/>
    <w:rsid w:val="00A25234"/>
    <w:rsid w:val="00A27B1D"/>
    <w:rsid w:val="00A31FA2"/>
    <w:rsid w:val="00A323A4"/>
    <w:rsid w:val="00A332D4"/>
    <w:rsid w:val="00A363D3"/>
    <w:rsid w:val="00A43E1D"/>
    <w:rsid w:val="00A50835"/>
    <w:rsid w:val="00A52669"/>
    <w:rsid w:val="00A576A0"/>
    <w:rsid w:val="00A63323"/>
    <w:rsid w:val="00A66B32"/>
    <w:rsid w:val="00A77085"/>
    <w:rsid w:val="00A8507F"/>
    <w:rsid w:val="00A9430E"/>
    <w:rsid w:val="00AB24B7"/>
    <w:rsid w:val="00AB6B99"/>
    <w:rsid w:val="00AC06DF"/>
    <w:rsid w:val="00AC0BC6"/>
    <w:rsid w:val="00AD07ED"/>
    <w:rsid w:val="00AD7C3A"/>
    <w:rsid w:val="00AE262E"/>
    <w:rsid w:val="00AE76E6"/>
    <w:rsid w:val="00AE7928"/>
    <w:rsid w:val="00B04E07"/>
    <w:rsid w:val="00B13C68"/>
    <w:rsid w:val="00B16B5A"/>
    <w:rsid w:val="00B2499C"/>
    <w:rsid w:val="00B3224C"/>
    <w:rsid w:val="00B3358E"/>
    <w:rsid w:val="00B33AC8"/>
    <w:rsid w:val="00B42F26"/>
    <w:rsid w:val="00B53210"/>
    <w:rsid w:val="00B53E33"/>
    <w:rsid w:val="00B60D72"/>
    <w:rsid w:val="00B6639E"/>
    <w:rsid w:val="00B7343B"/>
    <w:rsid w:val="00B846EA"/>
    <w:rsid w:val="00B85280"/>
    <w:rsid w:val="00B877FB"/>
    <w:rsid w:val="00B910EA"/>
    <w:rsid w:val="00B95F59"/>
    <w:rsid w:val="00BA19F4"/>
    <w:rsid w:val="00BA2034"/>
    <w:rsid w:val="00BB6195"/>
    <w:rsid w:val="00BC7B83"/>
    <w:rsid w:val="00BE1485"/>
    <w:rsid w:val="00BE408B"/>
    <w:rsid w:val="00BF6A2A"/>
    <w:rsid w:val="00C040AE"/>
    <w:rsid w:val="00C17065"/>
    <w:rsid w:val="00C231BE"/>
    <w:rsid w:val="00C30713"/>
    <w:rsid w:val="00C525EB"/>
    <w:rsid w:val="00C55984"/>
    <w:rsid w:val="00C63627"/>
    <w:rsid w:val="00C6437E"/>
    <w:rsid w:val="00C65A69"/>
    <w:rsid w:val="00C67A0D"/>
    <w:rsid w:val="00C71A9B"/>
    <w:rsid w:val="00C72052"/>
    <w:rsid w:val="00C72820"/>
    <w:rsid w:val="00C75153"/>
    <w:rsid w:val="00C76458"/>
    <w:rsid w:val="00C84AD7"/>
    <w:rsid w:val="00C87C97"/>
    <w:rsid w:val="00C90D41"/>
    <w:rsid w:val="00C931A1"/>
    <w:rsid w:val="00C93538"/>
    <w:rsid w:val="00C94E3B"/>
    <w:rsid w:val="00C9768F"/>
    <w:rsid w:val="00CA0003"/>
    <w:rsid w:val="00CA4BF3"/>
    <w:rsid w:val="00CB23EC"/>
    <w:rsid w:val="00CB3DF0"/>
    <w:rsid w:val="00CB7716"/>
    <w:rsid w:val="00CC3321"/>
    <w:rsid w:val="00CC3E99"/>
    <w:rsid w:val="00CE3160"/>
    <w:rsid w:val="00CF322C"/>
    <w:rsid w:val="00D01AEE"/>
    <w:rsid w:val="00D21B97"/>
    <w:rsid w:val="00D2314D"/>
    <w:rsid w:val="00D379EC"/>
    <w:rsid w:val="00D41DA5"/>
    <w:rsid w:val="00D44219"/>
    <w:rsid w:val="00D44CFB"/>
    <w:rsid w:val="00D5106D"/>
    <w:rsid w:val="00D559C2"/>
    <w:rsid w:val="00D645EE"/>
    <w:rsid w:val="00D70BC8"/>
    <w:rsid w:val="00D75E93"/>
    <w:rsid w:val="00D802A7"/>
    <w:rsid w:val="00D82250"/>
    <w:rsid w:val="00D965C4"/>
    <w:rsid w:val="00DB0BE6"/>
    <w:rsid w:val="00DB5376"/>
    <w:rsid w:val="00DC0C26"/>
    <w:rsid w:val="00DC3B6C"/>
    <w:rsid w:val="00DC7B8B"/>
    <w:rsid w:val="00DD63AE"/>
    <w:rsid w:val="00DE568D"/>
    <w:rsid w:val="00DF39DC"/>
    <w:rsid w:val="00DF68CB"/>
    <w:rsid w:val="00DF73F9"/>
    <w:rsid w:val="00E01DB5"/>
    <w:rsid w:val="00E10235"/>
    <w:rsid w:val="00E1553F"/>
    <w:rsid w:val="00E17190"/>
    <w:rsid w:val="00E213A8"/>
    <w:rsid w:val="00E23560"/>
    <w:rsid w:val="00E245BE"/>
    <w:rsid w:val="00E27CB4"/>
    <w:rsid w:val="00E553E4"/>
    <w:rsid w:val="00E57C6D"/>
    <w:rsid w:val="00E6072C"/>
    <w:rsid w:val="00E637B4"/>
    <w:rsid w:val="00E704EC"/>
    <w:rsid w:val="00E83E95"/>
    <w:rsid w:val="00E9053B"/>
    <w:rsid w:val="00E92100"/>
    <w:rsid w:val="00E93805"/>
    <w:rsid w:val="00EA0803"/>
    <w:rsid w:val="00EA1ACB"/>
    <w:rsid w:val="00EA2025"/>
    <w:rsid w:val="00EA7F23"/>
    <w:rsid w:val="00EC10CA"/>
    <w:rsid w:val="00EC78CA"/>
    <w:rsid w:val="00ED2E7A"/>
    <w:rsid w:val="00ED615F"/>
    <w:rsid w:val="00ED6FF0"/>
    <w:rsid w:val="00EE1A7D"/>
    <w:rsid w:val="00EF44F5"/>
    <w:rsid w:val="00EF5CCF"/>
    <w:rsid w:val="00EF729E"/>
    <w:rsid w:val="00F02EEE"/>
    <w:rsid w:val="00F03F4E"/>
    <w:rsid w:val="00F112C0"/>
    <w:rsid w:val="00F131B5"/>
    <w:rsid w:val="00F2643F"/>
    <w:rsid w:val="00F32D09"/>
    <w:rsid w:val="00F42039"/>
    <w:rsid w:val="00F52C66"/>
    <w:rsid w:val="00F54BC2"/>
    <w:rsid w:val="00F72F2A"/>
    <w:rsid w:val="00F85FD1"/>
    <w:rsid w:val="00F8651C"/>
    <w:rsid w:val="00FA1910"/>
    <w:rsid w:val="00FA19D6"/>
    <w:rsid w:val="00FA3D0A"/>
    <w:rsid w:val="00FB6752"/>
    <w:rsid w:val="00FC1EA7"/>
    <w:rsid w:val="00FC5FEC"/>
    <w:rsid w:val="00FE0EF6"/>
    <w:rsid w:val="00FE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."/>
  <w:listSeparator w:val=","/>
  <w14:docId w14:val="49C857B3"/>
  <w15:chartTrackingRefBased/>
  <w15:docId w15:val="{5344F707-C397-4E86-A5F2-5197937FF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FA2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FA2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31FA2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1FA2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1FA2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A31FA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A31FA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A31F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A31F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A31F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FA2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31FA2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31FA2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31FA2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31FA2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FA2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FA2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FA2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FA2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31FA2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FA2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A31FA2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A31FA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FA2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1FA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FA2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A31FA2"/>
    <w:rPr>
      <w:noProof w:val="0"/>
    </w:rPr>
  </w:style>
  <w:style w:type="character" w:styleId="Hyperlink">
    <w:name w:val="Hyperlink"/>
    <w:basedOn w:val="DefaultParagraphFont"/>
    <w:uiPriority w:val="99"/>
    <w:unhideWhenUsed/>
    <w:rsid w:val="00A31FA2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A31FA2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A31FA2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A31FA2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A31FA2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A31FA2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A31FA2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A31FA2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A31FA2"/>
    <w:pPr>
      <w:numPr>
        <w:numId w:val="5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A31FA2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A31FA2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A31FA2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A31FA2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A31FA2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A31FA2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A31FA2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A31FA2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A31FA2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A31FA2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A31FA2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31FA2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A31FA2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A31FA2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A31FA2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A31FA2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A31FA2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A31FA2"/>
    <w:rPr>
      <w:b/>
      <w:bCs/>
      <w:noProof w:val="0"/>
    </w:rPr>
  </w:style>
  <w:style w:type="character" w:customStyle="1" w:styleId="Italics">
    <w:name w:val="Italics"/>
    <w:uiPriority w:val="1"/>
    <w:qFormat/>
    <w:rsid w:val="00A31FA2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A31FA2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26" Type="http://schemas.openxmlformats.org/officeDocument/2006/relationships/image" Target="media/image7.png"/><Relationship Id="rId39" Type="http://schemas.openxmlformats.org/officeDocument/2006/relationships/hyperlink" Target="https://www.ons.gov.uk/employmentandlabourmarket/peoplenotinwork/redundancies/datasets/redundancieslevelsandratesseasonallyadjustedred01sa" TargetMode="External"/><Relationship Id="rId21" Type="http://schemas.openxmlformats.org/officeDocument/2006/relationships/hyperlink" Target="https://www.oxfordeconomics.com/service/subscription-services/macro/global-economic-model/" TargetMode="External"/><Relationship Id="rId34" Type="http://schemas.openxmlformats.org/officeDocument/2006/relationships/image" Target="media/image14.sv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image" Target="media/image10.sv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d96F0447efA14f46a16D77/Toc" TargetMode="External"/><Relationship Id="rId24" Type="http://schemas.openxmlformats.org/officeDocument/2006/relationships/image" Target="media/image6.svg"/><Relationship Id="rId32" Type="http://schemas.openxmlformats.org/officeDocument/2006/relationships/image" Target="media/image12.svg"/><Relationship Id="rId37" Type="http://schemas.openxmlformats.org/officeDocument/2006/relationships/hyperlink" Target="https://my.oxfordeconomics.com/reportaction/1b7E7eBb218149A2b23Cdb/Toc" TargetMode="Externa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5.png"/><Relationship Id="rId28" Type="http://schemas.openxmlformats.org/officeDocument/2006/relationships/image" Target="media/image9.png"/><Relationship Id="rId36" Type="http://schemas.openxmlformats.org/officeDocument/2006/relationships/image" Target="media/image16.svg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hyperlink" Target="https://www.bankofengland.co.uk/decision-maker-panel/2025/january-2025" TargetMode="External"/><Relationship Id="rId27" Type="http://schemas.openxmlformats.org/officeDocument/2006/relationships/image" Target="media/image8.svg"/><Relationship Id="rId30" Type="http://schemas.openxmlformats.org/officeDocument/2006/relationships/hyperlink" Target="https://my.oxfordeconomics.com/reports/dc771fCee289487a9436f8" TargetMode="External"/><Relationship Id="rId35" Type="http://schemas.openxmlformats.org/officeDocument/2006/relationships/image" Target="media/image1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82c78c4b281F426bb3f52b/Toc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www.cipd.org/contentassets/cf73843a106949d9b16ac2bc9b526278/8792-lmo-winter-2024-25-web.pdf" TargetMode="External"/><Relationship Id="rId33" Type="http://schemas.openxmlformats.org/officeDocument/2006/relationships/image" Target="media/image13.png"/><Relationship Id="rId38" Type="http://schemas.openxmlformats.org/officeDocument/2006/relationships/hyperlink" Target="https://my.oxfordeconomics.com/reportaction/82c78c4b281F426bb3f52b/T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261818-35A8-4516-909D-CCA3D5B8CD62}"/>
      </w:docPartPr>
      <w:docPartBody>
        <w:p w:rsidR="00750DC5" w:rsidRDefault="00750DC5">
          <w:r w:rsidRPr="002815B3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C5"/>
    <w:rsid w:val="0004537B"/>
    <w:rsid w:val="00251EB3"/>
    <w:rsid w:val="00272DD8"/>
    <w:rsid w:val="004C3A2E"/>
    <w:rsid w:val="006B5F57"/>
    <w:rsid w:val="006B6B57"/>
    <w:rsid w:val="006E2910"/>
    <w:rsid w:val="00750DC5"/>
    <w:rsid w:val="00A363D3"/>
    <w:rsid w:val="00C94E3B"/>
    <w:rsid w:val="00DB5376"/>
    <w:rsid w:val="00DF39DC"/>
    <w:rsid w:val="00F3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7" ma:contentTypeDescription="Create a new document." ma:contentTypeScope="" ma:versionID="23030a2609a0bfe461689b6bacd9a9f4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83983b71c34b7d262d94b4ad995a0d1c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26E937-8EE3-4C37-B5EB-66BFE358AE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FBBEA0-B68B-4F63-A322-E2EFE2C42D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12F8D2-B36B-4924-A418-6C975E4F7170}">
  <ds:schemaRefs>
    <ds:schemaRef ds:uri="http://schemas.openxmlformats.org/package/2006/metadata/core-properties"/>
    <ds:schemaRef ds:uri="http://purl.org/dc/elements/1.1/"/>
    <ds:schemaRef ds:uri="http://www.w3.org/XML/1998/namespace"/>
    <ds:schemaRef ds:uri="http://purl.org/dc/dcmitype/"/>
    <ds:schemaRef ds:uri="http://schemas.microsoft.com/office/2006/documentManagement/types"/>
    <ds:schemaRef ds:uri="6ec33f61-c765-4e3b-9958-53c32fd1fd0b"/>
    <ds:schemaRef ds:uri="http://purl.org/dc/terms/"/>
    <ds:schemaRef ds:uri="http://schemas.microsoft.com/office/infopath/2007/PartnerControls"/>
    <ds:schemaRef ds:uri="6c77b332-7df6-4eff-997f-266963d55fc4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85F3EF7-96CC-48BD-982D-1AB5CD889A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6</Pages>
  <Words>1948</Words>
  <Characters>11197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Matthew Swannell</cp:lastModifiedBy>
  <cp:revision>28</cp:revision>
  <dcterms:created xsi:type="dcterms:W3CDTF">2025-02-18T13:00:00Z</dcterms:created>
  <dcterms:modified xsi:type="dcterms:W3CDTF">2025-08-05T14:43:00Z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2025-02-18T13:54:23.000Z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v0.8.1.0</vt:lpwstr>
  </property>
  <property fmtid="{D5CDD505-2E9C-101B-9397-08002B2CF9AE}" pid="10" name="OEP_ANALYST_FULLNAME">
    <vt:lpwstr>Andrew Goodwin</vt:lpwstr>
  </property>
  <property fmtid="{D5CDD505-2E9C-101B-9397-08002B2CF9AE}" pid="11" name="OEP_ANALYST_JOBTITLE">
    <vt:lpwstr>Chief UK Economist</vt:lpwstr>
  </property>
  <property fmtid="{D5CDD505-2E9C-101B-9397-08002B2CF9AE}" pid="12" name="OEP_ANALYST_EMAIL">
    <vt:lpwstr>agoodwin@oxfordeconomics.com</vt:lpwstr>
  </property>
  <property fmtid="{D5CDD505-2E9C-101B-9397-08002B2CF9AE}" pid="13" name="OEP_AUTHORS">
    <vt:lpwstr>Andrew Goodwin|Chief UK Economist|agoodwin@oxfordeconomics.com_x000d_</vt:lpwstr>
  </property>
  <property fmtid="{D5CDD505-2E9C-101B-9397-08002B2CF9AE}" pid="14" name="OEP_EXHIBIT_FILEPATHS">
    <vt:lpwstr>Z:\UK Team\UK Research Briefing\20250218 RB UK Labour market - NICs &amp; NLWs - Charts.xlsx</vt:lpwstr>
  </property>
  <property fmtid="{D5CDD505-2E9C-101B-9397-08002B2CF9AE}" pid="15" name="OEP_CATEGORIES">
    <vt:lpwstr>AnalysisbyRegion-Europe-UnitedKingdom,Macro-ResearchBriefings-UnitedKingdom</vt:lpwstr>
  </property>
  <property fmtid="{D5CDD505-2E9C-101B-9397-08002B2CF9AE}" pid="16" name="OEP_TAGS">
    <vt:lpwstr>Key Themes:labour trends,fiscal policy,politics</vt:lpwstr>
  </property>
  <property fmtid="{D5CDD505-2E9C-101B-9397-08002B2CF9AE}" pid="17" name="OEP_PRODUCT_CODE">
    <vt:lpwstr>8512Dd98595F43E480dB85</vt:lpwstr>
  </property>
  <property fmtid="{D5CDD505-2E9C-101B-9397-08002B2CF9AE}" pid="18" name="OEP_PUBLISH_DATE">
    <vt:lpwstr/>
  </property>
  <property fmtid="{D5CDD505-2E9C-101B-9397-08002B2CF9AE}" pid="19" name="ContentTypeId">
    <vt:lpwstr>0x01010009401BB7205AF745BAD4FA98BDE0B98F</vt:lpwstr>
  </property>
  <property fmtid="{D5CDD505-2E9C-101B-9397-08002B2CF9AE}" pid="20" name="OEP_KEY_THEMES">
    <vt:lpwstr>labour trends,fiscal policy,politics</vt:lpwstr>
  </property>
</Properties>
</file>