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B5CF2" w14:textId="2750ABD7" w:rsidR="00877CF1" w:rsidRDefault="004F45BE" w:rsidP="00877CF1">
      <w:pPr>
        <w:pStyle w:val="Bullet"/>
      </w:pPr>
      <w:r>
        <w:t>Large</w:t>
      </w:r>
      <w:r w:rsidR="001D4949">
        <w:t xml:space="preserve"> regulated price increases, higher oil prices, weaker sterling, </w:t>
      </w:r>
      <w:r w:rsidR="00F619D4">
        <w:t xml:space="preserve">and </w:t>
      </w:r>
      <w:r w:rsidR="006F66E6">
        <w:t xml:space="preserve">the impact of policy measures from </w:t>
      </w:r>
      <w:r w:rsidR="009A676D">
        <w:t>October's Budget</w:t>
      </w:r>
      <w:r w:rsidR="00CE69B2">
        <w:t xml:space="preserve"> will combine to </w:t>
      </w:r>
      <w:r w:rsidR="008460B9">
        <w:t>cause an inflationary surge this year</w:t>
      </w:r>
      <w:r w:rsidR="009A676D">
        <w:t xml:space="preserve">. We now expect CPI </w:t>
      </w:r>
      <w:r w:rsidR="0065307B">
        <w:t>inflation to average 3.2% in 2025</w:t>
      </w:r>
      <w:r w:rsidR="009A0358">
        <w:t>.</w:t>
      </w:r>
      <w:r w:rsidR="000B35B4">
        <w:t xml:space="preserve"> </w:t>
      </w:r>
      <w:r w:rsidR="008460B9">
        <w:t xml:space="preserve">But most of these pressures should prove temporary and we expect inflation to </w:t>
      </w:r>
      <w:r w:rsidR="00044210">
        <w:t>drop back close to the 2% target by the end of next year.</w:t>
      </w:r>
    </w:p>
    <w:p w14:paraId="7C3C8645" w14:textId="3D5E12C1" w:rsidR="00877CF1" w:rsidRDefault="00415BF0" w:rsidP="00235DBA">
      <w:pPr>
        <w:pStyle w:val="Bullet"/>
      </w:pPr>
      <w:r>
        <w:t xml:space="preserve">Ofgem's energy price cap </w:t>
      </w:r>
      <w:r w:rsidR="00F52EDF">
        <w:t>will</w:t>
      </w:r>
      <w:r>
        <w:t xml:space="preserve"> rise by 6.4% from April</w:t>
      </w:r>
      <w:r w:rsidR="008F676C">
        <w:t xml:space="preserve">, </w:t>
      </w:r>
      <w:r w:rsidR="00BE7BC5">
        <w:t>and</w:t>
      </w:r>
      <w:r w:rsidR="008F676C">
        <w:t xml:space="preserve"> </w:t>
      </w:r>
      <w:r w:rsidR="00A767FE">
        <w:t>gas prices</w:t>
      </w:r>
      <w:r w:rsidR="00A05591">
        <w:t xml:space="preserve"> </w:t>
      </w:r>
      <w:r w:rsidR="00235DBA">
        <w:t xml:space="preserve">are likely to remain </w:t>
      </w:r>
      <w:r w:rsidR="00A830E7">
        <w:t>elevated through</w:t>
      </w:r>
      <w:r w:rsidR="00235DBA">
        <w:t xml:space="preserve"> much of this year.</w:t>
      </w:r>
      <w:r w:rsidR="005A59D2">
        <w:t xml:space="preserve"> Meanwhile, the </w:t>
      </w:r>
      <w:r w:rsidR="00FF4D59">
        <w:t xml:space="preserve">sterling oil price has </w:t>
      </w:r>
      <w:r w:rsidR="00FD5BCB">
        <w:t xml:space="preserve">leapt almost 7% since October, </w:t>
      </w:r>
      <w:r w:rsidR="00485EDC">
        <w:t xml:space="preserve">and our commodities team sees </w:t>
      </w:r>
      <w:r w:rsidR="00830CB4">
        <w:t>oil</w:t>
      </w:r>
      <w:r w:rsidR="00485EDC">
        <w:t xml:space="preserve"> prices staying close to current level</w:t>
      </w:r>
      <w:r w:rsidR="004D41D3">
        <w:t xml:space="preserve">s. </w:t>
      </w:r>
      <w:r w:rsidR="00A83D92">
        <w:t xml:space="preserve">We expect </w:t>
      </w:r>
      <w:r w:rsidR="00062DEA">
        <w:t xml:space="preserve">the drag </w:t>
      </w:r>
      <w:r w:rsidR="00066658">
        <w:t xml:space="preserve">of 1ppt </w:t>
      </w:r>
      <w:r w:rsidR="00062DEA">
        <w:t xml:space="preserve">on CPI inflation </w:t>
      </w:r>
      <w:r w:rsidR="00066658">
        <w:t xml:space="preserve">from these two categories </w:t>
      </w:r>
      <w:r w:rsidR="00830CB4">
        <w:t>last year</w:t>
      </w:r>
      <w:r w:rsidR="00066658">
        <w:t xml:space="preserve"> to </w:t>
      </w:r>
      <w:r w:rsidR="006B5E92">
        <w:t xml:space="preserve">almost </w:t>
      </w:r>
      <w:r w:rsidR="00066658">
        <w:t xml:space="preserve">disappear entirely </w:t>
      </w:r>
      <w:r w:rsidR="006B5269">
        <w:t>in 2025.</w:t>
      </w:r>
    </w:p>
    <w:p w14:paraId="1947D11E" w14:textId="2F551E10" w:rsidR="00877CF1" w:rsidRDefault="00255CC2" w:rsidP="004A1828">
      <w:pPr>
        <w:pStyle w:val="Bullet"/>
      </w:pPr>
      <w:r>
        <w:t>We</w:t>
      </w:r>
      <w:r w:rsidR="00926691">
        <w:t xml:space="preserve">aker </w:t>
      </w:r>
      <w:r w:rsidR="00735534">
        <w:t>sterling</w:t>
      </w:r>
      <w:r w:rsidR="00ED1126">
        <w:t xml:space="preserve"> </w:t>
      </w:r>
      <w:r w:rsidR="00277496">
        <w:t>will push up the prices of imported goods</w:t>
      </w:r>
      <w:r w:rsidR="004A1828">
        <w:t xml:space="preserve">, particularly in import-intensive inflation categories like food and core goods. </w:t>
      </w:r>
      <w:r w:rsidR="00BE1D42">
        <w:t xml:space="preserve">We also expect firms to pass on some of the rise in labour costs caused by increases in employers' national insurance contributions </w:t>
      </w:r>
      <w:r w:rsidR="006405D2">
        <w:t>and the national living wage announced in October's Budget</w:t>
      </w:r>
      <w:r w:rsidR="004A1828">
        <w:t xml:space="preserve">, which </w:t>
      </w:r>
      <w:r w:rsidR="00BE4D71">
        <w:t>is likely to slow the fallback in services inflation</w:t>
      </w:r>
      <w:r w:rsidR="00330589">
        <w:t xml:space="preserve"> this year</w:t>
      </w:r>
      <w:r w:rsidR="00C54A96">
        <w:t>.</w:t>
      </w:r>
    </w:p>
    <w:p w14:paraId="4BBB288D" w14:textId="75337038" w:rsidR="00D8267C" w:rsidRDefault="00AA10FE" w:rsidP="00877CF1">
      <w:pPr>
        <w:pStyle w:val="Bullet"/>
      </w:pPr>
      <w:r>
        <w:t>T</w:t>
      </w:r>
      <w:r w:rsidR="008B30DC">
        <w:t xml:space="preserve">he </w:t>
      </w:r>
      <w:r w:rsidR="00320CB9">
        <w:t xml:space="preserve">upward pressures on </w:t>
      </w:r>
      <w:r w:rsidR="008B30DC">
        <w:t xml:space="preserve">inflation </w:t>
      </w:r>
      <w:r w:rsidR="000E4474">
        <w:t xml:space="preserve">largely </w:t>
      </w:r>
      <w:r w:rsidR="00ED2155">
        <w:t xml:space="preserve">come from </w:t>
      </w:r>
      <w:r w:rsidR="00E06949">
        <w:t>external sources</w:t>
      </w:r>
      <w:r>
        <w:t xml:space="preserve"> and</w:t>
      </w:r>
      <w:r w:rsidR="00E06949">
        <w:t xml:space="preserve"> </w:t>
      </w:r>
      <w:r w:rsidR="000B7178">
        <w:t>appear</w:t>
      </w:r>
      <w:r w:rsidR="00E06949">
        <w:t xml:space="preserve"> transitory</w:t>
      </w:r>
      <w:r w:rsidR="00F22F33">
        <w:t xml:space="preserve">. We think they </w:t>
      </w:r>
      <w:r w:rsidR="00E06949">
        <w:t xml:space="preserve">are unlikely to result in </w:t>
      </w:r>
      <w:r w:rsidR="000E4474">
        <w:t xml:space="preserve">significant </w:t>
      </w:r>
      <w:r w:rsidR="001D2629">
        <w:t>indirect or second-round effects</w:t>
      </w:r>
      <w:r w:rsidR="00F22F33">
        <w:t>. T</w:t>
      </w:r>
      <w:r w:rsidR="00D8267C">
        <w:t>he Monetary Policy Committee</w:t>
      </w:r>
      <w:r w:rsidR="00F22F33">
        <w:t xml:space="preserve">'s latest </w:t>
      </w:r>
      <w:r w:rsidR="001A0D8D">
        <w:t xml:space="preserve">inflation </w:t>
      </w:r>
      <w:r w:rsidR="00F22F33">
        <w:t xml:space="preserve">forecast </w:t>
      </w:r>
      <w:r w:rsidR="00C404EE">
        <w:t>appears</w:t>
      </w:r>
      <w:r w:rsidR="00F22F33">
        <w:t xml:space="preserve"> consistent with this narrative</w:t>
      </w:r>
      <w:r w:rsidR="001A0D8D">
        <w:t xml:space="preserve">. But if the MPC </w:t>
      </w:r>
      <w:r w:rsidR="00C404EE">
        <w:t>begins to see</w:t>
      </w:r>
      <w:r w:rsidR="00FA11DA">
        <w:t xml:space="preserve"> evidence</w:t>
      </w:r>
      <w:r w:rsidR="00D8267C">
        <w:t xml:space="preserve"> </w:t>
      </w:r>
      <w:r w:rsidR="00C404EE">
        <w:t xml:space="preserve">that high inflation will persist, it </w:t>
      </w:r>
      <w:r w:rsidR="00C92D30">
        <w:t>will likely cut rates by less than the</w:t>
      </w:r>
      <w:r w:rsidR="00FF3A95">
        <w:t xml:space="preserve"> </w:t>
      </w:r>
      <w:r w:rsidR="005576E9">
        <w:t xml:space="preserve"> </w:t>
      </w:r>
      <w:r w:rsidR="009031AA">
        <w:t>75</w:t>
      </w:r>
      <w:r w:rsidR="005576E9">
        <w:t xml:space="preserve">bps </w:t>
      </w:r>
      <w:r w:rsidR="00FF3A95">
        <w:t xml:space="preserve">of cuts we forecast for the rest of </w:t>
      </w:r>
      <w:r w:rsidR="005576E9">
        <w:t>this year.</w:t>
      </w:r>
    </w:p>
    <w:p w14:paraId="0D45A909" w14:textId="56D877A9" w:rsidR="00C77974" w:rsidRDefault="00010E43" w:rsidP="005A6632">
      <w:r>
        <w:t xml:space="preserve">Following a </w:t>
      </w:r>
      <w:r w:rsidR="0089642E">
        <w:t>lengthy period of high inflation</w:t>
      </w:r>
      <w:r w:rsidR="003B3ED6">
        <w:t xml:space="preserve">, </w:t>
      </w:r>
      <w:r w:rsidR="00106416">
        <w:t xml:space="preserve">falling goods prices dragged </w:t>
      </w:r>
      <w:r w:rsidR="00C50501">
        <w:t>headline inflation back to the Bank of England's 2% target</w:t>
      </w:r>
      <w:r w:rsidR="00994A61">
        <w:t xml:space="preserve"> </w:t>
      </w:r>
      <w:r w:rsidR="00C75929">
        <w:t>during summer and early autumn</w:t>
      </w:r>
      <w:r w:rsidR="00FF3A95">
        <w:t xml:space="preserve"> 2024</w:t>
      </w:r>
      <w:r w:rsidR="00C75929">
        <w:t xml:space="preserve">. </w:t>
      </w:r>
      <w:r w:rsidR="005A5067">
        <w:t>But developments since then</w:t>
      </w:r>
      <w:r w:rsidR="00E63706">
        <w:t xml:space="preserve"> </w:t>
      </w:r>
      <w:r w:rsidR="00F2765C">
        <w:t>have shifted the outlook</w:t>
      </w:r>
      <w:r w:rsidR="00677FB6">
        <w:t>. W</w:t>
      </w:r>
      <w:r w:rsidR="00F2765C">
        <w:t>e</w:t>
      </w:r>
      <w:r w:rsidR="00677FB6">
        <w:t xml:space="preserve"> </w:t>
      </w:r>
      <w:r w:rsidR="0030254F">
        <w:t>expect</w:t>
      </w:r>
      <w:r w:rsidR="001C47B9">
        <w:t xml:space="preserve"> CPI inflation </w:t>
      </w:r>
      <w:r w:rsidR="0030254F">
        <w:t>will briefly hit</w:t>
      </w:r>
      <w:r w:rsidR="009279CC">
        <w:t xml:space="preserve"> </w:t>
      </w:r>
      <w:r w:rsidR="00237C48">
        <w:t>3.</w:t>
      </w:r>
      <w:r w:rsidR="00316D1D">
        <w:t>6</w:t>
      </w:r>
      <w:r w:rsidR="00237C48">
        <w:t xml:space="preserve">% </w:t>
      </w:r>
      <w:r w:rsidR="00AD0319">
        <w:t>later this year</w:t>
      </w:r>
      <w:r w:rsidR="009420AE">
        <w:t xml:space="preserve"> and </w:t>
      </w:r>
      <w:r w:rsidR="00E166DF">
        <w:t xml:space="preserve">remain </w:t>
      </w:r>
      <w:r w:rsidR="00D53A04">
        <w:t xml:space="preserve">well </w:t>
      </w:r>
      <w:r w:rsidR="00E166DF">
        <w:t xml:space="preserve">above </w:t>
      </w:r>
      <w:r w:rsidR="00C40D77">
        <w:t xml:space="preserve">the BoE's target </w:t>
      </w:r>
      <w:r w:rsidR="00EA3F8D">
        <w:t xml:space="preserve">until </w:t>
      </w:r>
      <w:r w:rsidR="00157469">
        <w:t xml:space="preserve">late-2026 </w:t>
      </w:r>
      <w:r w:rsidR="00C40D77">
        <w:t>(</w:t>
      </w:r>
      <w:r w:rsidR="00FD4377" w:rsidRPr="008075B5">
        <w:rPr>
          <w:b/>
          <w:color w:val="003469"/>
        </w:rPr>
        <w:fldChar w:fldCharType="begin"/>
      </w:r>
      <w:r w:rsidR="008075B5" w:rsidRPr="008075B5">
        <w:rPr>
          <w:b/>
          <w:color w:val="003469"/>
        </w:rPr>
        <w:instrText xml:space="preserve">REF _Ref190700654 \h \* Charformat </w:instrText>
      </w:r>
      <w:r w:rsidR="008075B5" w:rsidRPr="008075B5">
        <w:rPr>
          <w:b/>
          <w:color w:val="003469"/>
        </w:rPr>
      </w:r>
      <w:r w:rsidR="00FD4377" w:rsidRPr="008075B5">
        <w:rPr>
          <w:b/>
          <w:color w:val="003469"/>
        </w:rPr>
        <w:fldChar w:fldCharType="separate"/>
      </w:r>
      <w:r w:rsidR="008075B5" w:rsidRPr="008075B5">
        <w:rPr>
          <w:b/>
          <w:color w:val="003469"/>
        </w:rPr>
        <w:t>Chart 1</w:t>
      </w:r>
      <w:r w:rsidR="00FD4377" w:rsidRPr="008075B5">
        <w:rPr>
          <w:b/>
          <w:color w:val="003469"/>
        </w:rPr>
        <w:fldChar w:fldCharType="end"/>
      </w:r>
      <w:r w:rsidR="00C40D77">
        <w:t>).</w:t>
      </w:r>
      <w:r w:rsidR="008A3F0A">
        <w:t xml:space="preserve"> </w:t>
      </w:r>
      <w:r w:rsidR="0030254F">
        <w:t xml:space="preserve">Whether the </w:t>
      </w:r>
      <w:r w:rsidR="00F606B3">
        <w:t xml:space="preserve">Monetary Policy Committee </w:t>
      </w:r>
      <w:r w:rsidR="00E353DC">
        <w:t>views this as a temporary phenomenon will dictate the pace of rate cuts this year</w:t>
      </w:r>
      <w:r w:rsidR="00770E63">
        <w:t>.</w:t>
      </w:r>
    </w:p>
    <w:p w14:paraId="40DEDA16" w14:textId="558B64F8" w:rsidR="00877CF1" w:rsidRDefault="00877CF1" w:rsidP="00C77974">
      <w:pPr>
        <w:pStyle w:val="ExhibitTitle"/>
        <w:jc w:val="center"/>
      </w:pPr>
      <w:bookmarkStart w:id="0" w:name="_Ref190700654"/>
      <w:r>
        <w:t xml:space="preserve">Chart </w:t>
      </w:r>
      <w:r>
        <w:fldChar w:fldCharType="begin"/>
      </w:r>
      <w:r w:rsidR="00C77974">
        <w:instrText>SEQ CHART</w:instrText>
      </w:r>
      <w:r>
        <w:fldChar w:fldCharType="separate"/>
      </w:r>
      <w:r w:rsidR="00AF3DEB">
        <w:rPr>
          <w:noProof/>
        </w:rPr>
        <w:t>1</w:t>
      </w:r>
      <w:r>
        <w:fldChar w:fldCharType="end"/>
      </w:r>
      <w:bookmarkEnd w:id="0"/>
      <w:r>
        <w:t xml:space="preserve">: </w:t>
      </w:r>
      <w:r w:rsidR="00F31E03">
        <w:t xml:space="preserve">Similar to the BoE's latest forecast, we </w:t>
      </w:r>
      <w:r w:rsidR="003403C1">
        <w:t>think</w:t>
      </w:r>
      <w:r w:rsidR="00F31E03">
        <w:t xml:space="preserve"> inflation </w:t>
      </w:r>
      <w:r w:rsidR="00F516B8">
        <w:t>will be well above target this year</w:t>
      </w:r>
    </w:p>
    <w:p w14:paraId="22ECF27C" w14:textId="03DF04FA" w:rsidR="00C77974" w:rsidRDefault="00C77974" w:rsidP="00C77974">
      <w:pPr>
        <w:spacing w:after="0"/>
        <w:jc w:val="center"/>
        <w:rPr>
          <w:noProof/>
        </w:rPr>
      </w:pPr>
      <w:r>
        <w:rPr>
          <w:noProof/>
        </w:rPr>
        <w:drawing>
          <wp:inline distT="0" distB="0" distL="0" distR="0" wp14:anchorId="1DCE8C9E" wp14:editId="05537CB4">
            <wp:extent cx="4006964" cy="3132464"/>
            <wp:effectExtent l="0" t="0" r="0" b="0"/>
            <wp:docPr id="1198501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0167" name=""/>
                    <pic:cNvPicPr/>
                  </pic:nvPicPr>
                  <pic:blipFill>
                    <a:blip r:embed="rId8">
                      <a:extLst>
                        <a:ext uri="{96DAC541-7B7A-43D3-8B79-37D633B846F1}">
                          <asvg:svgBlip xmlns:asvg="http://schemas.microsoft.com/office/drawing/2016/SVG/main" r:embed="rId9"/>
                        </a:ext>
                      </a:extLst>
                    </a:blip>
                    <a:srcRect b="2283"/>
                    <a:stretch>
                      <a:fillRect/>
                    </a:stretch>
                  </pic:blipFill>
                  <pic:spPr>
                    <a:xfrm>
                      <a:off x="0" y="0"/>
                      <a:ext cx="4006964" cy="3132464"/>
                    </a:xfrm>
                    <a:prstGeom prst="rect">
                      <a:avLst/>
                    </a:prstGeom>
                  </pic:spPr>
                </pic:pic>
              </a:graphicData>
            </a:graphic>
          </wp:inline>
        </w:drawing>
      </w:r>
    </w:p>
    <w:p w14:paraId="2826F575" w14:textId="6DA366C8" w:rsidR="00877CF1" w:rsidRDefault="00C77974" w:rsidP="00C77974">
      <w:pPr>
        <w:pStyle w:val="ExhibitSource"/>
        <w:jc w:val="center"/>
      </w:pPr>
      <w:r>
        <w:t>Source: Oxford Economics, Haver Analytics, Bank of England</w:t>
      </w:r>
    </w:p>
    <w:p w14:paraId="0F621422" w14:textId="4EFF031B" w:rsidR="00877CF1" w:rsidRDefault="00877CF1" w:rsidP="00877CF1">
      <w:pPr>
        <w:pStyle w:val="ExhibitSource"/>
        <w:jc w:val="center"/>
        <w:sectPr w:rsidR="00877CF1" w:rsidSect="00C77974">
          <w:headerReference w:type="even" r:id="rId10"/>
          <w:headerReference w:type="default" r:id="rId11"/>
          <w:footerReference w:type="even" r:id="rId12"/>
          <w:footerReference w:type="default" r:id="rId13"/>
          <w:headerReference w:type="first" r:id="rId14"/>
          <w:footerReference w:type="first" r:id="rId15"/>
          <w:pgSz w:w="11906" w:h="16838"/>
          <w:pgMar w:top="2665" w:right="1276" w:bottom="838" w:left="1134" w:header="708" w:footer="300" w:gutter="0"/>
          <w:cols w:space="708"/>
          <w:titlePg/>
          <w:docGrid w:linePitch="360"/>
        </w:sectPr>
      </w:pPr>
    </w:p>
    <w:p w14:paraId="2EEA7176" w14:textId="77EF03A6" w:rsidR="00652B5A" w:rsidRDefault="00821BFF" w:rsidP="00CD29C9">
      <w:pPr>
        <w:pStyle w:val="Heading3"/>
      </w:pPr>
      <w:r>
        <w:lastRenderedPageBreak/>
        <w:t>Rising</w:t>
      </w:r>
      <w:r w:rsidR="00364EB9">
        <w:t xml:space="preserve"> regulated </w:t>
      </w:r>
      <w:r>
        <w:t>prices will be the primary</w:t>
      </w:r>
      <w:r w:rsidR="000D6D95">
        <w:t xml:space="preserve"> </w:t>
      </w:r>
      <w:r w:rsidR="009A6465">
        <w:t>drive</w:t>
      </w:r>
      <w:r>
        <w:t>r</w:t>
      </w:r>
      <w:r w:rsidR="009A6465">
        <w:t xml:space="preserve"> </w:t>
      </w:r>
      <w:r>
        <w:t>of higher</w:t>
      </w:r>
      <w:r w:rsidR="009A6465">
        <w:t xml:space="preserve"> inflation </w:t>
      </w:r>
      <w:r w:rsidR="00244EEF">
        <w:t>this year</w:t>
      </w:r>
    </w:p>
    <w:p w14:paraId="1DEE3D7B" w14:textId="5E2FD0CF" w:rsidR="00821BFF" w:rsidRDefault="00365454" w:rsidP="00877CF1">
      <w:r>
        <w:t>F</w:t>
      </w:r>
      <w:r w:rsidR="00F97465">
        <w:t xml:space="preserve">our </w:t>
      </w:r>
      <w:r w:rsidR="00BA5FE7">
        <w:t>factors</w:t>
      </w:r>
      <w:r>
        <w:t xml:space="preserve"> are likely to push up inflation this year</w:t>
      </w:r>
      <w:r w:rsidR="00BA5FE7">
        <w:t xml:space="preserve">. The first and most significant is </w:t>
      </w:r>
      <w:r w:rsidR="00B4439F">
        <w:t>a sharp acceleration in regulated prices</w:t>
      </w:r>
      <w:r w:rsidR="00BB7FF6">
        <w:t xml:space="preserve">. </w:t>
      </w:r>
      <w:r w:rsidR="0051478D">
        <w:t>W</w:t>
      </w:r>
      <w:r w:rsidR="000F1499">
        <w:t xml:space="preserve">ater bills are set to </w:t>
      </w:r>
      <w:hyperlink r:id="rId16" w:history="1">
        <w:r w:rsidR="0054335C">
          <w:rPr>
            <w:rStyle w:val="Hyperlink"/>
          </w:rPr>
          <w:t>rise by an average 26%</w:t>
        </w:r>
      </w:hyperlink>
      <w:r w:rsidR="000F1499">
        <w:t xml:space="preserve"> from April, </w:t>
      </w:r>
      <w:r w:rsidR="0036186F">
        <w:t xml:space="preserve">which will contribute </w:t>
      </w:r>
      <w:r w:rsidR="00BB38CC">
        <w:t xml:space="preserve">to a larger positive contribution from the core goods category this year. </w:t>
      </w:r>
      <w:r w:rsidR="00895004">
        <w:t xml:space="preserve">Meanwhile, </w:t>
      </w:r>
      <w:r w:rsidR="00BB38CC">
        <w:t xml:space="preserve">the surge </w:t>
      </w:r>
      <w:r w:rsidR="00992E30">
        <w:t xml:space="preserve">in </w:t>
      </w:r>
      <w:hyperlink r:id="rId17" w:history="1">
        <w:r w:rsidR="00992E30" w:rsidRPr="00DA7972">
          <w:rPr>
            <w:rStyle w:val="Hyperlink"/>
          </w:rPr>
          <w:t>European wholesale gas futures prices</w:t>
        </w:r>
      </w:hyperlink>
      <w:r w:rsidR="00992E30">
        <w:t xml:space="preserve"> in December and January mean</w:t>
      </w:r>
      <w:r w:rsidR="0058668F">
        <w:t>s</w:t>
      </w:r>
      <w:r w:rsidR="00666A76">
        <w:t xml:space="preserve"> the energy category will </w:t>
      </w:r>
      <w:r w:rsidR="00B27BEC">
        <w:t xml:space="preserve">push up inflation </w:t>
      </w:r>
      <w:r w:rsidR="00DA7972">
        <w:t>in the spring.</w:t>
      </w:r>
      <w:r w:rsidR="001D1FBF">
        <w:t xml:space="preserve"> </w:t>
      </w:r>
    </w:p>
    <w:p w14:paraId="5F5FEC56" w14:textId="2314DFF8" w:rsidR="00C35FBE" w:rsidRPr="00781C9C" w:rsidRDefault="00EA1191" w:rsidP="005B2127">
      <w:pPr>
        <w:rPr>
          <w:color w:val="467886" w:themeColor="hyperlink"/>
          <w:u w:val="single"/>
        </w:rPr>
      </w:pPr>
      <w:r>
        <w:t xml:space="preserve">After two </w:t>
      </w:r>
      <w:r w:rsidR="0006292E">
        <w:t xml:space="preserve">warmer-than-usual winters, European temperatures </w:t>
      </w:r>
      <w:r w:rsidR="00F13A99">
        <w:t xml:space="preserve">in December </w:t>
      </w:r>
      <w:r w:rsidR="00B0346B">
        <w:t xml:space="preserve">2024 </w:t>
      </w:r>
      <w:r w:rsidR="00F13A99">
        <w:t>and January</w:t>
      </w:r>
      <w:r w:rsidR="00B0346B">
        <w:t xml:space="preserve"> 2025</w:t>
      </w:r>
      <w:r w:rsidR="00F13A99">
        <w:t xml:space="preserve"> were </w:t>
      </w:r>
      <w:r w:rsidR="00404229">
        <w:t>much closer to historical averages</w:t>
      </w:r>
      <w:r w:rsidR="002D55F4">
        <w:t xml:space="preserve">, which </w:t>
      </w:r>
      <w:r w:rsidR="00192BE4">
        <w:t>increased gas consumption</w:t>
      </w:r>
      <w:r w:rsidR="00DF2261">
        <w:t xml:space="preserve">. </w:t>
      </w:r>
      <w:r w:rsidR="000721C4">
        <w:t xml:space="preserve">Meanwhile, </w:t>
      </w:r>
      <w:r w:rsidR="007A7979">
        <w:t xml:space="preserve">the </w:t>
      </w:r>
      <w:r w:rsidR="005C12AC">
        <w:t xml:space="preserve">expiration of the </w:t>
      </w:r>
      <w:r w:rsidR="00A73128">
        <w:t>five-year pipeline agreement between Ukraine and Russia on January 1</w:t>
      </w:r>
      <w:r w:rsidR="0026789E">
        <w:t xml:space="preserve"> has resulted in </w:t>
      </w:r>
      <w:r w:rsidR="00F97083">
        <w:t>the</w:t>
      </w:r>
      <w:r w:rsidR="0026789E">
        <w:t xml:space="preserve"> loss of around 5% of </w:t>
      </w:r>
      <w:r w:rsidR="0069392F">
        <w:t>Europe's</w:t>
      </w:r>
      <w:r w:rsidR="00F97083">
        <w:t xml:space="preserve"> </w:t>
      </w:r>
      <w:r w:rsidR="0026789E">
        <w:t>total gas imports</w:t>
      </w:r>
      <w:r w:rsidR="00F97083">
        <w:t xml:space="preserve">. </w:t>
      </w:r>
      <w:r w:rsidR="004B006D">
        <w:t xml:space="preserve">With little spare capacity </w:t>
      </w:r>
      <w:r w:rsidR="00135E42">
        <w:t xml:space="preserve">at the other pipelines, </w:t>
      </w:r>
      <w:r w:rsidR="00021D05">
        <w:t>this constrained supply</w:t>
      </w:r>
      <w:r w:rsidR="00F57A44">
        <w:t xml:space="preserve"> and pushed up </w:t>
      </w:r>
      <w:r w:rsidR="000355ED">
        <w:t xml:space="preserve">wholesale gas futures </w:t>
      </w:r>
      <w:r w:rsidR="00F57A44">
        <w:t>prices</w:t>
      </w:r>
      <w:r w:rsidR="00430221">
        <w:t xml:space="preserve"> around the turn of the year</w:t>
      </w:r>
      <w:r w:rsidR="0077785D">
        <w:t>.</w:t>
      </w:r>
      <w:r w:rsidR="00F57A44">
        <w:t xml:space="preserve"> </w:t>
      </w:r>
      <w:r w:rsidR="00FC2712">
        <w:t xml:space="preserve">Given </w:t>
      </w:r>
      <w:r w:rsidR="00C35FBE">
        <w:t xml:space="preserve">this increase, Ofgem </w:t>
      </w:r>
      <w:r w:rsidR="00792B31">
        <w:t>has</w:t>
      </w:r>
      <w:r w:rsidR="00C35FBE">
        <w:t xml:space="preserve"> </w:t>
      </w:r>
      <w:r w:rsidR="005B2127">
        <w:t xml:space="preserve">announced that </w:t>
      </w:r>
      <w:hyperlink r:id="rId18" w:history="1">
        <w:r w:rsidR="005B2127" w:rsidRPr="00601B16">
          <w:rPr>
            <w:rStyle w:val="Hyperlink"/>
          </w:rPr>
          <w:t>the energy price</w:t>
        </w:r>
        <w:r w:rsidR="00C35FBE" w:rsidRPr="00601B16">
          <w:rPr>
            <w:rStyle w:val="Hyperlink"/>
          </w:rPr>
          <w:t xml:space="preserve"> cap</w:t>
        </w:r>
        <w:r w:rsidR="005B2127" w:rsidRPr="00601B16">
          <w:rPr>
            <w:rStyle w:val="Hyperlink"/>
          </w:rPr>
          <w:t xml:space="preserve"> will </w:t>
        </w:r>
        <w:r w:rsidR="00DC0166" w:rsidRPr="00601B16">
          <w:rPr>
            <w:rStyle w:val="Hyperlink"/>
          </w:rPr>
          <w:t>rise by 6.4% in Apr</w:t>
        </w:r>
        <w:r w:rsidR="00601B16" w:rsidRPr="00601B16">
          <w:rPr>
            <w:rStyle w:val="Hyperlink"/>
          </w:rPr>
          <w:t>il</w:t>
        </w:r>
      </w:hyperlink>
      <w:r w:rsidR="006F5C59">
        <w:t xml:space="preserve"> (</w:t>
      </w:r>
      <w:r w:rsidR="00B63D10" w:rsidRPr="008075B5">
        <w:rPr>
          <w:b/>
          <w:color w:val="003469"/>
        </w:rPr>
        <w:fldChar w:fldCharType="begin"/>
      </w:r>
      <w:r w:rsidR="008075B5" w:rsidRPr="008075B5">
        <w:rPr>
          <w:b/>
          <w:color w:val="003469"/>
        </w:rPr>
        <w:instrText xml:space="preserve">REF _Ref190700655 \h \* Charformat </w:instrText>
      </w:r>
      <w:r w:rsidR="008075B5" w:rsidRPr="008075B5">
        <w:rPr>
          <w:b/>
          <w:color w:val="003469"/>
        </w:rPr>
      </w:r>
      <w:r w:rsidR="00B63D10" w:rsidRPr="008075B5">
        <w:rPr>
          <w:b/>
          <w:color w:val="003469"/>
        </w:rPr>
        <w:fldChar w:fldCharType="separate"/>
      </w:r>
      <w:r w:rsidR="008075B5" w:rsidRPr="008075B5">
        <w:rPr>
          <w:b/>
          <w:color w:val="003469"/>
        </w:rPr>
        <w:t>Chart 2</w:t>
      </w:r>
      <w:r w:rsidR="00B63D10" w:rsidRPr="008075B5">
        <w:rPr>
          <w:b/>
          <w:color w:val="003469"/>
        </w:rPr>
        <w:fldChar w:fldCharType="end"/>
      </w:r>
      <w:r w:rsidR="006F5C59">
        <w:t>)</w:t>
      </w:r>
      <w:r w:rsidR="00601B16">
        <w:t>.</w:t>
      </w:r>
      <w:r w:rsidR="00600B1D">
        <w:t xml:space="preserve"> This will see the </w:t>
      </w:r>
      <w:r w:rsidR="0063175E">
        <w:t xml:space="preserve">contribution to CPI inflation from the energy category </w:t>
      </w:r>
      <w:r w:rsidR="00FC4625">
        <w:t xml:space="preserve">rise to 0.3ppts </w:t>
      </w:r>
      <w:r w:rsidR="00DA257D">
        <w:t>in</w:t>
      </w:r>
      <w:r w:rsidR="00554B3D">
        <w:t xml:space="preserve"> April</w:t>
      </w:r>
      <w:r w:rsidR="00FC4625">
        <w:t>, from a drag</w:t>
      </w:r>
      <w:r w:rsidR="00DA257D">
        <w:t xml:space="preserve"> of </w:t>
      </w:r>
      <w:r w:rsidR="00FB57FB">
        <w:t>0.4ppts in Q1 2025.</w:t>
      </w:r>
    </w:p>
    <w:p w14:paraId="4BA76FCA" w14:textId="4424F6AD" w:rsidR="00877CF1" w:rsidRDefault="00877CF1" w:rsidP="00CD29C9">
      <w:pPr>
        <w:pStyle w:val="ExhibitTitle"/>
      </w:pPr>
      <w:bookmarkStart w:id="1" w:name="_Ref190700655"/>
      <w:r>
        <w:t xml:space="preserve">Chart </w:t>
      </w:r>
      <w:r>
        <w:fldChar w:fldCharType="begin"/>
      </w:r>
      <w:r w:rsidR="001E038C">
        <w:instrText>SEQ CHART</w:instrText>
      </w:r>
      <w:r>
        <w:fldChar w:fldCharType="separate"/>
      </w:r>
      <w:r w:rsidR="00AF3DEB">
        <w:rPr>
          <w:noProof/>
        </w:rPr>
        <w:t>2</w:t>
      </w:r>
      <w:r>
        <w:fldChar w:fldCharType="end"/>
      </w:r>
      <w:bookmarkEnd w:id="1"/>
      <w:r>
        <w:t xml:space="preserve">: </w:t>
      </w:r>
      <w:r w:rsidR="002C1059">
        <w:t xml:space="preserve">The surge in </w:t>
      </w:r>
      <w:r w:rsidR="00141E6F">
        <w:t>g</w:t>
      </w:r>
      <w:r w:rsidR="002C1059">
        <w:t>as futures prices</w:t>
      </w:r>
      <w:r w:rsidR="00EC5C0D">
        <w:t xml:space="preserve"> and base effects</w:t>
      </w:r>
      <w:r w:rsidR="002C1059">
        <w:t xml:space="preserve"> </w:t>
      </w:r>
      <w:r w:rsidR="00141E6F">
        <w:t xml:space="preserve">will </w:t>
      </w:r>
      <w:r w:rsidR="00B903B4">
        <w:t>push</w:t>
      </w:r>
      <w:r w:rsidR="00141E6F">
        <w:t xml:space="preserve"> energy inflation </w:t>
      </w:r>
      <w:r w:rsidR="00B903B4">
        <w:t>up</w:t>
      </w:r>
      <w:r w:rsidR="00141E6F">
        <w:t xml:space="preserve"> in </w:t>
      </w:r>
      <w:r w:rsidR="009B4844">
        <w:t>April and July</w:t>
      </w:r>
    </w:p>
    <w:p w14:paraId="79D38F61" w14:textId="13568A79" w:rsidR="001E038C" w:rsidRDefault="001E038C" w:rsidP="00CD29C9">
      <w:pPr>
        <w:spacing w:after="0"/>
        <w:rPr>
          <w:noProof/>
        </w:rPr>
      </w:pPr>
      <w:r>
        <w:rPr>
          <w:noProof/>
        </w:rPr>
        <w:drawing>
          <wp:inline distT="0" distB="0" distL="0" distR="0" wp14:anchorId="7A0B007F" wp14:editId="319F69AA">
            <wp:extent cx="3250933" cy="2541433"/>
            <wp:effectExtent l="0" t="0" r="6985" b="0"/>
            <wp:docPr id="20667350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35079" name=""/>
                    <pic:cNvPicPr/>
                  </pic:nvPicPr>
                  <pic:blipFill>
                    <a:blip r:embed="rId19">
                      <a:extLst>
                        <a:ext uri="{96DAC541-7B7A-43D3-8B79-37D633B846F1}">
                          <asvg:svgBlip xmlns:asvg="http://schemas.microsoft.com/office/drawing/2016/SVG/main" r:embed="rId20"/>
                        </a:ext>
                      </a:extLst>
                    </a:blip>
                    <a:srcRect b="2283"/>
                    <a:stretch>
                      <a:fillRect/>
                    </a:stretch>
                  </pic:blipFill>
                  <pic:spPr>
                    <a:xfrm>
                      <a:off x="0" y="0"/>
                      <a:ext cx="3250933" cy="2541433"/>
                    </a:xfrm>
                    <a:prstGeom prst="rect">
                      <a:avLst/>
                    </a:prstGeom>
                  </pic:spPr>
                </pic:pic>
              </a:graphicData>
            </a:graphic>
          </wp:inline>
        </w:drawing>
      </w:r>
    </w:p>
    <w:p w14:paraId="6F601A1D" w14:textId="41C051DF" w:rsidR="008565EC" w:rsidRDefault="001E038C" w:rsidP="00CD29C9">
      <w:pPr>
        <w:pStyle w:val="ExhibitSource"/>
      </w:pPr>
      <w:r>
        <w:t>Source: Oxford Economics, Haver Analytics</w:t>
      </w:r>
    </w:p>
    <w:p w14:paraId="1EFE3AD5" w14:textId="2E5E716B" w:rsidR="00FB57FB" w:rsidRDefault="00041C16" w:rsidP="00FB57FB">
      <w:r>
        <w:t>O</w:t>
      </w:r>
      <w:r w:rsidR="00A67135">
        <w:t>ver the rest of this year, o</w:t>
      </w:r>
      <w:r w:rsidR="00FB57FB">
        <w:t xml:space="preserve">ur </w:t>
      </w:r>
      <w:hyperlink r:id="rId21" w:anchor="r::0cf158Cff1DF4e4da0aBf0:GlobalCommoditymarke:GasOverview" w:history="1">
        <w:r w:rsidR="00FB57FB" w:rsidRPr="00D55755">
          <w:rPr>
            <w:rStyle w:val="Hyperlink"/>
          </w:rPr>
          <w:t>commodities team</w:t>
        </w:r>
      </w:hyperlink>
      <w:r w:rsidR="00FB57FB">
        <w:t xml:space="preserve"> expects prices to remain well above the levels seen in the middle of 2024. This partially reflects strong gas withdrawals from storage and the requirement for storage operators to refill before next winter. But </w:t>
      </w:r>
      <w:r w:rsidR="00A61637">
        <w:t xml:space="preserve">also that </w:t>
      </w:r>
      <w:r w:rsidR="00FB57FB">
        <w:t>it will be difficult to replace Ukraine's gas transit with alternative sources</w:t>
      </w:r>
      <w:r w:rsidR="00A61637">
        <w:t xml:space="preserve">, </w:t>
      </w:r>
      <w:r w:rsidR="00CE65AD">
        <w:t xml:space="preserve">and </w:t>
      </w:r>
      <w:hyperlink r:id="rId22" w:history="1">
        <w:r w:rsidR="00CE65AD" w:rsidRPr="001141CF">
          <w:rPr>
            <w:rStyle w:val="Hyperlink"/>
          </w:rPr>
          <w:t>our scepticism</w:t>
        </w:r>
      </w:hyperlink>
      <w:r w:rsidR="00CE65AD">
        <w:t xml:space="preserve"> that</w:t>
      </w:r>
      <w:r w:rsidR="00A61637">
        <w:t xml:space="preserve"> </w:t>
      </w:r>
      <w:r w:rsidR="00FB57FB">
        <w:t>negotiations for an end to the Russia-Ukraine war will result in a quick resumption of pipeline gas flows from Russia to Europe.</w:t>
      </w:r>
      <w:r w:rsidR="00812F99">
        <w:t xml:space="preserve"> Therefore, </w:t>
      </w:r>
      <w:r w:rsidR="001141CF">
        <w:t xml:space="preserve">we expect </w:t>
      </w:r>
      <w:r w:rsidR="00AA4F93">
        <w:t>base effects</w:t>
      </w:r>
      <w:r w:rsidR="00652074">
        <w:t xml:space="preserve"> in energy prices</w:t>
      </w:r>
      <w:r w:rsidR="00AA4F93">
        <w:t xml:space="preserve"> </w:t>
      </w:r>
      <w:r w:rsidR="00C85C47">
        <w:t>will come into play in July</w:t>
      </w:r>
      <w:r w:rsidR="00652074">
        <w:t xml:space="preserve">, </w:t>
      </w:r>
      <w:r w:rsidR="00142F6E">
        <w:t xml:space="preserve">which should push </w:t>
      </w:r>
      <w:r w:rsidR="005D3A48">
        <w:t xml:space="preserve">CPI </w:t>
      </w:r>
      <w:r w:rsidR="007F497E">
        <w:t>inflation higher still</w:t>
      </w:r>
      <w:r w:rsidR="00C40B32">
        <w:t xml:space="preserve"> before the contribution from the energy category starts to cool </w:t>
      </w:r>
      <w:r w:rsidR="000554E4">
        <w:t>from October 2025 onwards</w:t>
      </w:r>
      <w:r w:rsidR="005D3A48">
        <w:t>.</w:t>
      </w:r>
    </w:p>
    <w:p w14:paraId="48A4705B" w14:textId="77777777" w:rsidR="007B6617" w:rsidRDefault="007B6617" w:rsidP="00CD29C9">
      <w:pPr>
        <w:pStyle w:val="Heading3"/>
      </w:pPr>
      <w:r>
        <w:t xml:space="preserve">Dollar strength will push up imported goods prices </w:t>
      </w:r>
    </w:p>
    <w:p w14:paraId="4ACB6EFD" w14:textId="2D2FCB67" w:rsidR="001756A3" w:rsidRDefault="007B6617" w:rsidP="007B6617">
      <w:r>
        <w:t xml:space="preserve">The </w:t>
      </w:r>
      <w:r w:rsidR="00E852E9">
        <w:t>second</w:t>
      </w:r>
      <w:r>
        <w:t xml:space="preserve"> factor is the impact of a</w:t>
      </w:r>
      <w:r w:rsidR="00B071DA">
        <w:t xml:space="preserve"> slightly</w:t>
      </w:r>
      <w:r>
        <w:t xml:space="preserve"> stronger US dollar on UK goods prices. </w:t>
      </w:r>
      <w:r w:rsidR="00E9605D">
        <w:t xml:space="preserve">The dollar appreciated against most major currencies </w:t>
      </w:r>
      <w:r w:rsidR="00524D67">
        <w:t>in Q4 2024,</w:t>
      </w:r>
      <w:r w:rsidR="00F42297">
        <w:t xml:space="preserve"> including sterling</w:t>
      </w:r>
      <w:r w:rsidR="003D58FC">
        <w:t>, reflecting</w:t>
      </w:r>
      <w:r w:rsidR="00524D67">
        <w:t xml:space="preserve"> changes in US trade policy, the country's strong economic performance, and an increasingly hawkish Federal Reserve.</w:t>
      </w:r>
      <w:r w:rsidR="00810903">
        <w:t xml:space="preserve"> </w:t>
      </w:r>
      <w:r w:rsidR="00C41917">
        <w:t>T</w:t>
      </w:r>
      <w:r w:rsidR="000B58A0">
        <w:t xml:space="preserve">his came after </w:t>
      </w:r>
      <w:r w:rsidR="005021D3">
        <w:t>a brief period of unusual strength</w:t>
      </w:r>
      <w:r w:rsidR="00046A84">
        <w:t xml:space="preserve"> for sterling, and </w:t>
      </w:r>
      <w:r w:rsidR="007F63B0">
        <w:t>most</w:t>
      </w:r>
      <w:r w:rsidR="00256069">
        <w:t xml:space="preserve"> of the </w:t>
      </w:r>
      <w:r w:rsidR="0011376C">
        <w:t>depreciation</w:t>
      </w:r>
      <w:r w:rsidR="00256069">
        <w:t xml:space="preserve"> in Q4 has since unwound</w:t>
      </w:r>
      <w:r w:rsidR="007F63B0">
        <w:t xml:space="preserve">. </w:t>
      </w:r>
      <w:r w:rsidR="0051155F">
        <w:t>However, we expect</w:t>
      </w:r>
      <w:r w:rsidR="00492B11">
        <w:t xml:space="preserve"> the dollar to strengthen against sterling as we move through 2025</w:t>
      </w:r>
      <w:r w:rsidR="00244BDD">
        <w:t>,</w:t>
      </w:r>
      <w:r w:rsidR="00492B11" w:rsidRPr="00492B11">
        <w:t xml:space="preserve"> </w:t>
      </w:r>
      <w:r w:rsidR="00492B11">
        <w:t xml:space="preserve">with the </w:t>
      </w:r>
      <w:hyperlink r:id="rId23" w:history="1">
        <w:r w:rsidR="00492B11" w:rsidRPr="00730FED">
          <w:rPr>
            <w:rStyle w:val="Hyperlink"/>
          </w:rPr>
          <w:t>Federal Reserve likely to loosen policy only very modestly this year</w:t>
        </w:r>
      </w:hyperlink>
      <w:r w:rsidR="00492B11">
        <w:t>.</w:t>
      </w:r>
    </w:p>
    <w:p w14:paraId="67A3B733" w14:textId="77777777" w:rsidR="00BD0822" w:rsidRDefault="006A6E9C" w:rsidP="007B6617">
      <w:r>
        <w:t xml:space="preserve">Exchange rate depreciations affect inflation via two main channels. First, imports of final goods become more expensive in domestic currency terms. Second, the cost of domestically produced goods and services rise as the price of imported inputs, such as raw materials, increases. </w:t>
      </w:r>
    </w:p>
    <w:p w14:paraId="60029C3F" w14:textId="5E6C5ACB" w:rsidR="007B6617" w:rsidRDefault="006A6E9C" w:rsidP="007B6617">
      <w:r>
        <w:t xml:space="preserve">We expect the impact </w:t>
      </w:r>
      <w:r w:rsidR="009D5C1B">
        <w:t xml:space="preserve">of a </w:t>
      </w:r>
      <w:r w:rsidR="003A21CE">
        <w:t>weaker sterling relative to the</w:t>
      </w:r>
      <w:r w:rsidR="009D5C1B">
        <w:t xml:space="preserve"> dollar </w:t>
      </w:r>
      <w:r w:rsidR="00BD0822">
        <w:t xml:space="preserve">will </w:t>
      </w:r>
      <w:r w:rsidR="00FE659E">
        <w:t>be felt most prominently in categories that are relatively more import-intensive, such as food and core goods.</w:t>
      </w:r>
      <w:r w:rsidR="00287BA5">
        <w:t xml:space="preserve"> </w:t>
      </w:r>
      <w:hyperlink r:id="rId24" w:history="1">
        <w:r w:rsidR="004972A6">
          <w:rPr>
            <w:rStyle w:val="Hyperlink"/>
          </w:rPr>
          <w:t>O</w:t>
        </w:r>
        <w:r w:rsidR="00E0698A" w:rsidRPr="00FE3A56">
          <w:rPr>
            <w:rStyle w:val="Hyperlink"/>
          </w:rPr>
          <w:t>ur modelling</w:t>
        </w:r>
      </w:hyperlink>
      <w:r w:rsidR="00C50833">
        <w:t xml:space="preserve"> also</w:t>
      </w:r>
      <w:r w:rsidR="00E0698A">
        <w:t xml:space="preserve"> suggests </w:t>
      </w:r>
      <w:r w:rsidR="004972A6">
        <w:t xml:space="preserve">that </w:t>
      </w:r>
      <w:r w:rsidR="00E0698A">
        <w:t xml:space="preserve">the passthrough of </w:t>
      </w:r>
      <w:r w:rsidR="00A1009F">
        <w:t xml:space="preserve">weaker sterling is likely to be gradual. In a stylised scenario </w:t>
      </w:r>
      <w:r w:rsidR="00B263C7">
        <w:t>where</w:t>
      </w:r>
      <w:r w:rsidR="00A1009F">
        <w:t xml:space="preserve"> </w:t>
      </w:r>
      <w:r w:rsidR="00D61204">
        <w:t xml:space="preserve">sterling </w:t>
      </w:r>
      <w:r w:rsidR="00DF5612">
        <w:lastRenderedPageBreak/>
        <w:t xml:space="preserve">depreciates </w:t>
      </w:r>
      <w:r w:rsidR="00D21FC4">
        <w:t xml:space="preserve">against the </w:t>
      </w:r>
      <w:r w:rsidR="003F2F0E">
        <w:t>dollar by the same magnitude as that seen in Q4 2024</w:t>
      </w:r>
      <w:r w:rsidR="00A355A5">
        <w:t xml:space="preserve"> with no subsequent unwinding, </w:t>
      </w:r>
      <w:r w:rsidR="001658A2">
        <w:t xml:space="preserve">we find </w:t>
      </w:r>
      <w:r w:rsidR="00C50833">
        <w:t xml:space="preserve">that the peak impact on inflation is seen </w:t>
      </w:r>
      <w:r w:rsidR="00DD0897">
        <w:t xml:space="preserve">one year later before </w:t>
      </w:r>
      <w:r w:rsidR="00976996">
        <w:t>slowly</w:t>
      </w:r>
      <w:r w:rsidR="00DD0897">
        <w:t xml:space="preserve"> fading (</w:t>
      </w:r>
      <w:r w:rsidR="00B63D10" w:rsidRPr="008075B5">
        <w:rPr>
          <w:b/>
          <w:color w:val="003469"/>
        </w:rPr>
        <w:fldChar w:fldCharType="begin"/>
      </w:r>
      <w:r w:rsidR="008075B5" w:rsidRPr="008075B5">
        <w:rPr>
          <w:b/>
          <w:color w:val="003469"/>
        </w:rPr>
        <w:instrText xml:space="preserve">REF _Ref192001471 \h \* Charformat </w:instrText>
      </w:r>
      <w:r w:rsidR="008075B5" w:rsidRPr="008075B5">
        <w:rPr>
          <w:b/>
          <w:color w:val="003469"/>
        </w:rPr>
      </w:r>
      <w:r w:rsidR="00B63D10" w:rsidRPr="008075B5">
        <w:rPr>
          <w:b/>
          <w:color w:val="003469"/>
        </w:rPr>
        <w:fldChar w:fldCharType="separate"/>
      </w:r>
      <w:r w:rsidR="008075B5" w:rsidRPr="008075B5">
        <w:rPr>
          <w:b/>
          <w:color w:val="003469"/>
        </w:rPr>
        <w:t>Chart 3</w:t>
      </w:r>
      <w:r w:rsidR="00B63D10" w:rsidRPr="008075B5">
        <w:rPr>
          <w:b/>
          <w:color w:val="003469"/>
        </w:rPr>
        <w:fldChar w:fldCharType="end"/>
      </w:r>
      <w:r w:rsidR="00DD0897">
        <w:t>).</w:t>
      </w:r>
    </w:p>
    <w:p w14:paraId="69F0985B" w14:textId="64F56A37" w:rsidR="00B63D10" w:rsidRDefault="007B6617" w:rsidP="00CD29C9">
      <w:pPr>
        <w:pStyle w:val="ExhibitTitle"/>
      </w:pPr>
      <w:bookmarkStart w:id="2" w:name="_Ref192001471"/>
      <w:r>
        <w:t xml:space="preserve">Chart </w:t>
      </w:r>
      <w:r>
        <w:fldChar w:fldCharType="begin"/>
      </w:r>
      <w:r w:rsidR="00B63D10">
        <w:instrText>SEQ CHART</w:instrText>
      </w:r>
      <w:r>
        <w:fldChar w:fldCharType="separate"/>
      </w:r>
      <w:r w:rsidR="00AF3DEB">
        <w:rPr>
          <w:noProof/>
        </w:rPr>
        <w:t>3</w:t>
      </w:r>
      <w:r>
        <w:fldChar w:fldCharType="end"/>
      </w:r>
      <w:bookmarkEnd w:id="2"/>
      <w:r>
        <w:t xml:space="preserve">: </w:t>
      </w:r>
      <w:r w:rsidR="00215F20" w:rsidRPr="00215F20">
        <w:t xml:space="preserve">Our modelling suggests FX passthrough to inflation is </w:t>
      </w:r>
      <w:r w:rsidR="00AB1F5E">
        <w:t>gradual</w:t>
      </w:r>
      <w:r w:rsidR="00215F20" w:rsidRPr="00215F20">
        <w:t xml:space="preserve"> </w:t>
      </w:r>
    </w:p>
    <w:p w14:paraId="66BB6483" w14:textId="2EC580F2" w:rsidR="005306E9" w:rsidRDefault="005306E9" w:rsidP="00CD29C9">
      <w:pPr>
        <w:spacing w:after="0"/>
      </w:pPr>
      <w:r>
        <w:rPr>
          <w:noProof/>
        </w:rPr>
        <w:drawing>
          <wp:inline distT="0" distB="0" distL="0" distR="0" wp14:anchorId="12790448" wp14:editId="26C84EFB">
            <wp:extent cx="3250933" cy="2537762"/>
            <wp:effectExtent l="0" t="0" r="6985" b="0"/>
            <wp:docPr id="60672839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28395" name=""/>
                    <pic:cNvPicPr/>
                  </pic:nvPicPr>
                  <pic:blipFill>
                    <a:blip r:embed="rId25">
                      <a:extLst>
                        <a:ext uri="{96DAC541-7B7A-43D3-8B79-37D633B846F1}">
                          <asvg:svgBlip xmlns:asvg="http://schemas.microsoft.com/office/drawing/2016/SVG/main" r:embed="rId26"/>
                        </a:ext>
                      </a:extLst>
                    </a:blip>
                    <a:srcRect b="2283"/>
                    <a:stretch>
                      <a:fillRect/>
                    </a:stretch>
                  </pic:blipFill>
                  <pic:spPr>
                    <a:xfrm>
                      <a:off x="0" y="0"/>
                      <a:ext cx="3250933" cy="2537762"/>
                    </a:xfrm>
                    <a:prstGeom prst="rect">
                      <a:avLst/>
                    </a:prstGeom>
                  </pic:spPr>
                </pic:pic>
              </a:graphicData>
            </a:graphic>
          </wp:inline>
        </w:drawing>
      </w:r>
    </w:p>
    <w:p w14:paraId="49DB3374" w14:textId="1C691E49" w:rsidR="007B6617" w:rsidRDefault="00B63D10" w:rsidP="00CD29C9">
      <w:pPr>
        <w:pStyle w:val="ExhibitSource"/>
      </w:pPr>
      <w:r>
        <w:t>Source: Oxford Economics</w:t>
      </w:r>
    </w:p>
    <w:p w14:paraId="353D1895" w14:textId="0D253A32" w:rsidR="007B6617" w:rsidRPr="00FB57FB" w:rsidRDefault="00F1087C" w:rsidP="00FB57FB">
      <w:r>
        <w:t>Our baseline fore</w:t>
      </w:r>
      <w:r w:rsidR="00275A4D">
        <w:t xml:space="preserve">cast assumes that President Donald Trump will not impose </w:t>
      </w:r>
      <w:r w:rsidR="00F34511">
        <w:t>new across-the-board tariffs on US imports from the UK</w:t>
      </w:r>
      <w:r w:rsidR="00E6137A">
        <w:t xml:space="preserve">. This </w:t>
      </w:r>
      <w:r w:rsidR="002B1ABE">
        <w:t xml:space="preserve">is based on our view that </w:t>
      </w:r>
      <w:r w:rsidR="00962D0E">
        <w:t xml:space="preserve">Trump is unlikely to view the UK as a priority for increasing tariffs </w:t>
      </w:r>
      <w:r w:rsidR="00A3428A">
        <w:t xml:space="preserve">given </w:t>
      </w:r>
      <w:r w:rsidR="003648F5">
        <w:t xml:space="preserve">the US has a goods trades surplus with the UK, </w:t>
      </w:r>
      <w:r w:rsidR="003648F5" w:rsidRPr="003648F5">
        <w:t>the UK imposes relatively low tariffs on imports from the US, and those tariffs have a minimal impact on US jobs.</w:t>
      </w:r>
      <w:r w:rsidR="009059F3">
        <w:t xml:space="preserve"> </w:t>
      </w:r>
      <w:r w:rsidR="00963743">
        <w:t xml:space="preserve">But even if the US did </w:t>
      </w:r>
      <w:r w:rsidR="006C576E">
        <w:t xml:space="preserve">impose new tariffs on imports from the UK, </w:t>
      </w:r>
      <w:r w:rsidR="00665131">
        <w:t xml:space="preserve">we think this would have a </w:t>
      </w:r>
      <w:hyperlink r:id="rId27" w:history="1">
        <w:r w:rsidR="00665131" w:rsidRPr="008543B4">
          <w:rPr>
            <w:rStyle w:val="Hyperlink"/>
          </w:rPr>
          <w:t>very limited impact on UK CPI inflation</w:t>
        </w:r>
      </w:hyperlink>
      <w:r w:rsidR="008866D7">
        <w:t>, particularly if the UK decides not to retaliate.</w:t>
      </w:r>
    </w:p>
    <w:p w14:paraId="757A6540" w14:textId="7CE68CF7" w:rsidR="005A6632" w:rsidRDefault="004B5A0C" w:rsidP="00CD29C9">
      <w:pPr>
        <w:pStyle w:val="Heading3"/>
      </w:pPr>
      <w:r>
        <w:t xml:space="preserve">The drag from petrol prices should disappear from </w:t>
      </w:r>
      <w:r w:rsidR="000C02D7">
        <w:t>October</w:t>
      </w:r>
    </w:p>
    <w:p w14:paraId="3DF21AF3" w14:textId="1A2FAE27" w:rsidR="008E1EA9" w:rsidRDefault="0028556B" w:rsidP="008E1EA9">
      <w:r>
        <w:t xml:space="preserve">The </w:t>
      </w:r>
      <w:r w:rsidR="00C62AC0">
        <w:t>third</w:t>
      </w:r>
      <w:r>
        <w:t xml:space="preserve"> </w:t>
      </w:r>
      <w:r w:rsidR="006D443F">
        <w:t xml:space="preserve">reason we think inflation will rise markedly </w:t>
      </w:r>
      <w:r w:rsidR="00D304CA">
        <w:t xml:space="preserve">this year </w:t>
      </w:r>
      <w:r w:rsidR="00FF1797">
        <w:t>is higher oil prices.</w:t>
      </w:r>
      <w:r w:rsidR="002D5689">
        <w:t xml:space="preserve"> </w:t>
      </w:r>
      <w:r w:rsidR="00820182">
        <w:t>Although</w:t>
      </w:r>
      <w:r w:rsidR="00E715E3">
        <w:t xml:space="preserve"> </w:t>
      </w:r>
      <w:r w:rsidR="00F13A0F">
        <w:t>shifts</w:t>
      </w:r>
      <w:r w:rsidR="006C70EA">
        <w:t xml:space="preserve"> in oil prices </w:t>
      </w:r>
      <w:r w:rsidR="00FA1916">
        <w:t>in recent months</w:t>
      </w:r>
      <w:r w:rsidR="00F13A0F">
        <w:t xml:space="preserve"> have been smaller than those seen in gas</w:t>
      </w:r>
      <w:r w:rsidR="00FF1A1C">
        <w:t>, Brent Crude has still risen by</w:t>
      </w:r>
      <w:r w:rsidR="00FF1A1C" w:rsidRPr="00FF1A1C">
        <w:t xml:space="preserve"> </w:t>
      </w:r>
      <w:r w:rsidR="00FF1A1C">
        <w:t>almost 7% on a sterling-adjusted basis since October</w:t>
      </w:r>
      <w:r w:rsidR="00000A68">
        <w:t xml:space="preserve"> (</w:t>
      </w:r>
      <w:r w:rsidR="00FD4377" w:rsidRPr="008075B5">
        <w:rPr>
          <w:b/>
          <w:color w:val="003469"/>
        </w:rPr>
        <w:fldChar w:fldCharType="begin"/>
      </w:r>
      <w:r w:rsidR="008075B5" w:rsidRPr="008075B5">
        <w:rPr>
          <w:b/>
          <w:color w:val="003469"/>
        </w:rPr>
        <w:instrText xml:space="preserve">REF _Ref190700656 \h \* Charformat </w:instrText>
      </w:r>
      <w:r w:rsidR="008075B5" w:rsidRPr="008075B5">
        <w:rPr>
          <w:b/>
          <w:color w:val="003469"/>
        </w:rPr>
      </w:r>
      <w:r w:rsidR="00FD4377" w:rsidRPr="008075B5">
        <w:rPr>
          <w:b/>
          <w:color w:val="003469"/>
        </w:rPr>
        <w:fldChar w:fldCharType="separate"/>
      </w:r>
      <w:r w:rsidR="008075B5" w:rsidRPr="008075B5">
        <w:rPr>
          <w:b/>
          <w:color w:val="003469"/>
        </w:rPr>
        <w:t>Chart 4</w:t>
      </w:r>
      <w:r w:rsidR="00FD4377" w:rsidRPr="008075B5">
        <w:rPr>
          <w:b/>
          <w:color w:val="003469"/>
        </w:rPr>
        <w:fldChar w:fldCharType="end"/>
      </w:r>
      <w:r w:rsidR="00000A68">
        <w:t>)</w:t>
      </w:r>
      <w:r w:rsidR="00C00ACA">
        <w:t>. Our commodities team</w:t>
      </w:r>
      <w:r w:rsidR="00FA4309">
        <w:t xml:space="preserve"> largely</w:t>
      </w:r>
      <w:r w:rsidR="00C00ACA">
        <w:t xml:space="preserve"> </w:t>
      </w:r>
      <w:hyperlink r:id="rId28" w:anchor="r::6c1698Db115B41Ed85b71f:GlobalEnergypricesst:OilOverview" w:history="1">
        <w:r w:rsidR="00C00ACA" w:rsidRPr="002225FE">
          <w:rPr>
            <w:rStyle w:val="Hyperlink"/>
          </w:rPr>
          <w:t>attributes</w:t>
        </w:r>
      </w:hyperlink>
      <w:r w:rsidR="00C00ACA">
        <w:t xml:space="preserve"> </w:t>
      </w:r>
      <w:r w:rsidR="005237EC">
        <w:t xml:space="preserve">this </w:t>
      </w:r>
      <w:r w:rsidR="002C38EF">
        <w:t xml:space="preserve">to the additional sanctions placed on Russia's oil industry by the </w:t>
      </w:r>
      <w:r w:rsidR="005237EC">
        <w:t>outgoing B</w:t>
      </w:r>
      <w:r w:rsidR="00AB3CC9">
        <w:t>iden administration</w:t>
      </w:r>
      <w:r w:rsidR="005309A9">
        <w:t>.</w:t>
      </w:r>
      <w:r w:rsidR="0038499D">
        <w:t xml:space="preserve"> Despite </w:t>
      </w:r>
      <w:r w:rsidR="00182019">
        <w:t xml:space="preserve">the upward pressure this has had on Brent Crude prices, </w:t>
      </w:r>
      <w:r w:rsidR="00CE5103">
        <w:t xml:space="preserve">the </w:t>
      </w:r>
      <w:r w:rsidR="00056E5E">
        <w:t>substantial</w:t>
      </w:r>
      <w:r w:rsidR="00CE5103">
        <w:t xml:space="preserve"> tax wedge has meant that the increase in UK pump prices has been more modest</w:t>
      </w:r>
      <w:r w:rsidR="008E1EA9">
        <w:t>. Still, motorists have seen unleaded</w:t>
      </w:r>
      <w:r w:rsidR="002C38EF">
        <w:t xml:space="preserve"> </w:t>
      </w:r>
      <w:r w:rsidR="008E1EA9">
        <w:t xml:space="preserve">prices rise by 4% since October, while </w:t>
      </w:r>
      <w:r w:rsidR="008E1EA9" w:rsidRPr="000B5B05">
        <w:t>diesel prices</w:t>
      </w:r>
      <w:r w:rsidR="008E1EA9">
        <w:t xml:space="preserve"> have leapt</w:t>
      </w:r>
      <w:r w:rsidR="00B40144">
        <w:t xml:space="preserve"> almost</w:t>
      </w:r>
      <w:r w:rsidR="008E1EA9">
        <w:t xml:space="preserve"> </w:t>
      </w:r>
      <w:r w:rsidR="00F43903">
        <w:t>6</w:t>
      </w:r>
      <w:r w:rsidR="008E1EA9">
        <w:t>% over the same period.</w:t>
      </w:r>
    </w:p>
    <w:p w14:paraId="04B4931D" w14:textId="3999E79E" w:rsidR="00877CF1" w:rsidRDefault="00877CF1" w:rsidP="00CD29C9">
      <w:pPr>
        <w:pStyle w:val="ExhibitTitle"/>
      </w:pPr>
      <w:bookmarkStart w:id="3" w:name="_Ref190700656"/>
      <w:r>
        <w:t xml:space="preserve">Chart </w:t>
      </w:r>
      <w:r>
        <w:fldChar w:fldCharType="begin"/>
      </w:r>
      <w:r w:rsidR="00BC5ADC">
        <w:instrText>SEQ CHART</w:instrText>
      </w:r>
      <w:r>
        <w:fldChar w:fldCharType="separate"/>
      </w:r>
      <w:r w:rsidR="00AF3DEB">
        <w:rPr>
          <w:noProof/>
        </w:rPr>
        <w:t>4</w:t>
      </w:r>
      <w:r>
        <w:fldChar w:fldCharType="end"/>
      </w:r>
      <w:bookmarkEnd w:id="3"/>
      <w:r>
        <w:t xml:space="preserve">: </w:t>
      </w:r>
      <w:r w:rsidR="000D3921">
        <w:t>Pump</w:t>
      </w:r>
      <w:r w:rsidR="00B36C19">
        <w:t xml:space="preserve"> prices have risen sharply </w:t>
      </w:r>
      <w:r w:rsidR="000C3EB9">
        <w:t>in recent months</w:t>
      </w:r>
    </w:p>
    <w:p w14:paraId="10EAB6E9" w14:textId="686A3811" w:rsidR="00BC5ADC" w:rsidRDefault="00BC5ADC" w:rsidP="00CD29C9">
      <w:pPr>
        <w:spacing w:after="0"/>
        <w:rPr>
          <w:noProof/>
        </w:rPr>
      </w:pPr>
      <w:r>
        <w:rPr>
          <w:noProof/>
        </w:rPr>
        <w:drawing>
          <wp:inline distT="0" distB="0" distL="0" distR="0" wp14:anchorId="4DF5E307" wp14:editId="7BCF2B90">
            <wp:extent cx="3250933" cy="2552005"/>
            <wp:effectExtent l="0" t="0" r="6985" b="1270"/>
            <wp:docPr id="162291738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17385" name=""/>
                    <pic:cNvPicPr/>
                  </pic:nvPicPr>
                  <pic:blipFill>
                    <a:blip r:embed="rId29">
                      <a:extLst>
                        <a:ext uri="{96DAC541-7B7A-43D3-8B79-37D633B846F1}">
                          <asvg:svgBlip xmlns:asvg="http://schemas.microsoft.com/office/drawing/2016/SVG/main" r:embed="rId30"/>
                        </a:ext>
                      </a:extLst>
                    </a:blip>
                    <a:srcRect b="1799"/>
                    <a:stretch>
                      <a:fillRect/>
                    </a:stretch>
                  </pic:blipFill>
                  <pic:spPr>
                    <a:xfrm>
                      <a:off x="0" y="0"/>
                      <a:ext cx="3250933" cy="2552005"/>
                    </a:xfrm>
                    <a:prstGeom prst="rect">
                      <a:avLst/>
                    </a:prstGeom>
                  </pic:spPr>
                </pic:pic>
              </a:graphicData>
            </a:graphic>
          </wp:inline>
        </w:drawing>
      </w:r>
    </w:p>
    <w:p w14:paraId="3CA74108" w14:textId="32F4B3E4" w:rsidR="00877CF1" w:rsidRDefault="00BC5ADC" w:rsidP="00CD29C9">
      <w:pPr>
        <w:pStyle w:val="ExhibitSource"/>
      </w:pPr>
      <w:r>
        <w:t>Source: Haver Analytics</w:t>
      </w:r>
    </w:p>
    <w:p w14:paraId="186E2283" w14:textId="2B55F9CB" w:rsidR="004B7D50" w:rsidRDefault="00C07BBD" w:rsidP="00877CF1">
      <w:r>
        <w:lastRenderedPageBreak/>
        <w:t xml:space="preserve">Our commodities team </w:t>
      </w:r>
      <w:r w:rsidR="003D6E75">
        <w:t>expect</w:t>
      </w:r>
      <w:r w:rsidR="00D71BF1">
        <w:t>s</w:t>
      </w:r>
      <w:r w:rsidR="003D6E75">
        <w:t xml:space="preserve"> the price of Brent Crude to remain close to current levels throughout 2025. </w:t>
      </w:r>
      <w:r w:rsidR="007621A2">
        <w:t xml:space="preserve">Therefore, </w:t>
      </w:r>
      <w:r w:rsidR="00A02CD6">
        <w:t xml:space="preserve">base effects mean </w:t>
      </w:r>
      <w:r w:rsidR="00097B46">
        <w:t xml:space="preserve">the drag from the petrol </w:t>
      </w:r>
      <w:r w:rsidR="00622513">
        <w:t xml:space="preserve">category </w:t>
      </w:r>
      <w:r w:rsidR="00A02CD6">
        <w:t>should</w:t>
      </w:r>
      <w:r w:rsidR="00622513">
        <w:t xml:space="preserve"> shrink as we move through </w:t>
      </w:r>
      <w:r w:rsidR="003E47EB">
        <w:t>this</w:t>
      </w:r>
      <w:r w:rsidR="00622513">
        <w:t xml:space="preserve"> year and </w:t>
      </w:r>
      <w:r w:rsidR="003E47EB">
        <w:t xml:space="preserve">disappear entirely </w:t>
      </w:r>
      <w:r w:rsidR="007E0CFD">
        <w:t>from</w:t>
      </w:r>
      <w:r w:rsidR="003E47EB">
        <w:t xml:space="preserve"> the </w:t>
      </w:r>
      <w:r w:rsidR="009D0CB5">
        <w:t>autumn</w:t>
      </w:r>
      <w:r w:rsidR="007E0CFD">
        <w:t>.</w:t>
      </w:r>
    </w:p>
    <w:p w14:paraId="11F22933" w14:textId="49B2073E" w:rsidR="00D57E72" w:rsidRDefault="00BD7B3A" w:rsidP="00CD29C9">
      <w:pPr>
        <w:pStyle w:val="Heading3"/>
      </w:pPr>
      <w:r>
        <w:t xml:space="preserve">Policies announced in </w:t>
      </w:r>
      <w:r w:rsidR="004B5A0C">
        <w:t>October's</w:t>
      </w:r>
      <w:r>
        <w:t xml:space="preserve"> Budget will add</w:t>
      </w:r>
      <w:r w:rsidR="00D22B1F">
        <w:t xml:space="preserve"> to the inflationary pressure</w:t>
      </w:r>
    </w:p>
    <w:p w14:paraId="0AEFCF61" w14:textId="2005C686" w:rsidR="007463A1" w:rsidRDefault="003602A5" w:rsidP="0007625E">
      <w:r>
        <w:t xml:space="preserve">The fourth and final </w:t>
      </w:r>
      <w:r w:rsidR="000E7589">
        <w:t>reason</w:t>
      </w:r>
      <w:r w:rsidR="00745317">
        <w:t xml:space="preserve"> </w:t>
      </w:r>
      <w:r w:rsidR="000E7589">
        <w:t xml:space="preserve">why we </w:t>
      </w:r>
      <w:r w:rsidR="00AB16CA">
        <w:t xml:space="preserve">think inflation will be well above target this year is </w:t>
      </w:r>
      <w:r w:rsidR="009440F9">
        <w:t xml:space="preserve">due to </w:t>
      </w:r>
      <w:r w:rsidR="004177F5">
        <w:t xml:space="preserve">the impact of </w:t>
      </w:r>
      <w:r w:rsidR="00C30436">
        <w:t>government</w:t>
      </w:r>
      <w:r w:rsidR="00AB7A1A">
        <w:t xml:space="preserve"> polic</w:t>
      </w:r>
      <w:r w:rsidR="002F5D8F">
        <w:t xml:space="preserve">ies </w:t>
      </w:r>
      <w:r w:rsidR="00AB7A1A">
        <w:t xml:space="preserve">announced at </w:t>
      </w:r>
      <w:hyperlink r:id="rId31" w:history="1">
        <w:r w:rsidR="004177F5">
          <w:rPr>
            <w:rStyle w:val="Hyperlink"/>
          </w:rPr>
          <w:t>October's</w:t>
        </w:r>
        <w:r w:rsidR="00A002CB" w:rsidRPr="00BD2E4A">
          <w:rPr>
            <w:rStyle w:val="Hyperlink"/>
          </w:rPr>
          <w:t xml:space="preserve"> Budget</w:t>
        </w:r>
      </w:hyperlink>
      <w:r w:rsidR="00A002CB">
        <w:t xml:space="preserve">. </w:t>
      </w:r>
      <w:r w:rsidR="001063A0">
        <w:t xml:space="preserve">The Chancellor's </w:t>
      </w:r>
      <w:r w:rsidR="00DC0001">
        <w:t>imposition of</w:t>
      </w:r>
      <w:r w:rsidR="001063A0">
        <w:t xml:space="preserve"> VAT on private school fees </w:t>
      </w:r>
      <w:r w:rsidR="00C240E5">
        <w:t xml:space="preserve">from January </w:t>
      </w:r>
      <w:r w:rsidR="002C7EFD">
        <w:t xml:space="preserve">caused </w:t>
      </w:r>
      <w:r w:rsidR="00F4064F">
        <w:t xml:space="preserve">a 12.7% </w:t>
      </w:r>
      <w:r w:rsidR="00F446C1">
        <w:t>rise</w:t>
      </w:r>
      <w:r w:rsidR="00F4064F">
        <w:t xml:space="preserve"> </w:t>
      </w:r>
      <w:r w:rsidR="00DC0001">
        <w:t>in private education prices</w:t>
      </w:r>
      <w:r w:rsidR="002C7EFD">
        <w:t xml:space="preserve"> that month</w:t>
      </w:r>
      <w:r w:rsidR="009944F4">
        <w:t>, which</w:t>
      </w:r>
      <w:r w:rsidR="00745FEF">
        <w:t xml:space="preserve"> </w:t>
      </w:r>
      <w:r w:rsidR="00F446C1">
        <w:t xml:space="preserve">contributed to a </w:t>
      </w:r>
      <w:r w:rsidR="009D1E92">
        <w:t>near 0.1ppt uplift in headline inflation</w:t>
      </w:r>
      <w:r w:rsidR="002C7EFD">
        <w:t>.</w:t>
      </w:r>
      <w:r w:rsidR="009D1E92">
        <w:t xml:space="preserve"> Looking ahead, </w:t>
      </w:r>
      <w:r w:rsidR="007A2CD5">
        <w:t>the</w:t>
      </w:r>
      <w:r w:rsidR="0053598F">
        <w:t xml:space="preserve"> rate of employers' national insurance contributions </w:t>
      </w:r>
      <w:r w:rsidR="00891810">
        <w:t>will rise to</w:t>
      </w:r>
      <w:r w:rsidR="00D85B55">
        <w:t xml:space="preserve"> 15% from 13</w:t>
      </w:r>
      <w:r w:rsidR="0007625E">
        <w:t>.8</w:t>
      </w:r>
      <w:r w:rsidR="00D85B55">
        <w:t>%</w:t>
      </w:r>
      <w:r w:rsidR="008D17A3">
        <w:t xml:space="preserve"> from April</w:t>
      </w:r>
      <w:r w:rsidR="0007625E">
        <w:t xml:space="preserve">. The </w:t>
      </w:r>
      <w:r w:rsidR="00461A2F">
        <w:t xml:space="preserve">point at which </w:t>
      </w:r>
      <w:r w:rsidR="009F6F67">
        <w:t xml:space="preserve">firms start paying the tax </w:t>
      </w:r>
      <w:r w:rsidR="00F36092">
        <w:t xml:space="preserve">will fall </w:t>
      </w:r>
      <w:r w:rsidR="009F6F67">
        <w:t xml:space="preserve">to £5,000 </w:t>
      </w:r>
      <w:r w:rsidR="00F36092">
        <w:t xml:space="preserve">a year, </w:t>
      </w:r>
      <w:r w:rsidR="009F6F67">
        <w:t xml:space="preserve">from </w:t>
      </w:r>
      <w:r w:rsidR="00BB36D8">
        <w:t>£9,100 a year now.</w:t>
      </w:r>
      <w:r w:rsidR="00DE7A1C">
        <w:t xml:space="preserve"> </w:t>
      </w:r>
      <w:r w:rsidR="006E1D03">
        <w:t>T</w:t>
      </w:r>
      <w:r w:rsidR="00DE7A1C">
        <w:t xml:space="preserve">he </w:t>
      </w:r>
      <w:r w:rsidR="007463A1">
        <w:t xml:space="preserve">national living wage will also increase in April, </w:t>
      </w:r>
      <w:r w:rsidR="00D6568E">
        <w:t>rising by 6.7% to £12.21</w:t>
      </w:r>
      <w:r w:rsidR="00A87BA0">
        <w:t xml:space="preserve"> per hour.</w:t>
      </w:r>
    </w:p>
    <w:p w14:paraId="35640064" w14:textId="736C65CA" w:rsidR="003602A5" w:rsidRDefault="00025CE2" w:rsidP="00877CF1">
      <w:r>
        <w:t xml:space="preserve">How firms choose to respond to </w:t>
      </w:r>
      <w:r w:rsidR="008E0E55">
        <w:t xml:space="preserve">this year's large rise in labour costs will have significant implications </w:t>
      </w:r>
      <w:r w:rsidR="00F31A4B">
        <w:t xml:space="preserve">for inflation. </w:t>
      </w:r>
      <w:r w:rsidR="008F1A8B">
        <w:t>Since the NICs increase was announced</w:t>
      </w:r>
      <w:r w:rsidR="00D25FC8">
        <w:t xml:space="preserve">, the BoE has asked firms responding to its </w:t>
      </w:r>
      <w:hyperlink r:id="rId32" w:history="1">
        <w:r w:rsidR="00D25FC8" w:rsidRPr="00F16D12">
          <w:rPr>
            <w:rStyle w:val="Hyperlink"/>
          </w:rPr>
          <w:t>Decision Maker Panel</w:t>
        </w:r>
      </w:hyperlink>
      <w:r w:rsidR="00D25FC8">
        <w:t xml:space="preserve"> how they plan to react. </w:t>
      </w:r>
      <w:r w:rsidR="00674016">
        <w:t>More than half expect to lower margins, raise prices, and reduce headcount</w:t>
      </w:r>
      <w:r w:rsidR="00DA66D0">
        <w:t>, while nearly 40% are expecting to offer smaller pay rises (</w:t>
      </w:r>
      <w:r w:rsidR="00082961" w:rsidRPr="008075B5">
        <w:rPr>
          <w:b/>
          <w:color w:val="003469"/>
        </w:rPr>
        <w:fldChar w:fldCharType="begin"/>
      </w:r>
      <w:r w:rsidR="008075B5" w:rsidRPr="008075B5">
        <w:rPr>
          <w:b/>
          <w:color w:val="003469"/>
        </w:rPr>
        <w:instrText xml:space="preserve">REF _Ref191563239 \h \* Charformat </w:instrText>
      </w:r>
      <w:r w:rsidR="008075B5" w:rsidRPr="008075B5">
        <w:rPr>
          <w:b/>
          <w:color w:val="003469"/>
        </w:rPr>
      </w:r>
      <w:r w:rsidR="00082961" w:rsidRPr="008075B5">
        <w:rPr>
          <w:b/>
          <w:color w:val="003469"/>
        </w:rPr>
        <w:fldChar w:fldCharType="separate"/>
      </w:r>
      <w:r w:rsidR="008075B5" w:rsidRPr="008075B5">
        <w:rPr>
          <w:b/>
          <w:color w:val="003469"/>
        </w:rPr>
        <w:t>Chart 5</w:t>
      </w:r>
      <w:r w:rsidR="00082961" w:rsidRPr="008075B5">
        <w:rPr>
          <w:b/>
          <w:color w:val="003469"/>
        </w:rPr>
        <w:fldChar w:fldCharType="end"/>
      </w:r>
      <w:r w:rsidR="001716E1">
        <w:t>)</w:t>
      </w:r>
      <w:r w:rsidR="00DA66D0">
        <w:t>.</w:t>
      </w:r>
    </w:p>
    <w:p w14:paraId="3EC93825" w14:textId="0E67889C" w:rsidR="00652B06" w:rsidRDefault="00652B06" w:rsidP="00CD29C9">
      <w:pPr>
        <w:pStyle w:val="ExhibitTitle"/>
      </w:pPr>
      <w:bookmarkStart w:id="4" w:name="_Ref191563239"/>
      <w:r>
        <w:t xml:space="preserve">Chart </w:t>
      </w:r>
      <w:r>
        <w:fldChar w:fldCharType="begin"/>
      </w:r>
      <w:r w:rsidR="00AF3DEB">
        <w:instrText>SEQ CHART</w:instrText>
      </w:r>
      <w:r>
        <w:fldChar w:fldCharType="separate"/>
      </w:r>
      <w:r w:rsidR="00AF3DEB">
        <w:rPr>
          <w:noProof/>
        </w:rPr>
        <w:t>5</w:t>
      </w:r>
      <w:r>
        <w:fldChar w:fldCharType="end"/>
      </w:r>
      <w:bookmarkEnd w:id="4"/>
      <w:r>
        <w:t xml:space="preserve">: </w:t>
      </w:r>
      <w:r w:rsidR="009326C6">
        <w:t>More firms expect to hike prices because of the</w:t>
      </w:r>
      <w:r w:rsidR="00910FF0">
        <w:t xml:space="preserve"> rise in</w:t>
      </w:r>
      <w:r w:rsidR="009326C6">
        <w:t xml:space="preserve"> NICs than reduce headcount or</w:t>
      </w:r>
      <w:r w:rsidR="006E6D93">
        <w:t xml:space="preserve"> cut pay</w:t>
      </w:r>
    </w:p>
    <w:p w14:paraId="668CC8AD" w14:textId="68532AC4" w:rsidR="00AF3DEB" w:rsidRDefault="00AF3DEB" w:rsidP="00CD29C9">
      <w:pPr>
        <w:spacing w:after="0"/>
        <w:rPr>
          <w:noProof/>
        </w:rPr>
      </w:pPr>
      <w:r>
        <w:rPr>
          <w:noProof/>
        </w:rPr>
        <w:drawing>
          <wp:inline distT="0" distB="0" distL="0" distR="0" wp14:anchorId="599CA2AE" wp14:editId="54ABB0BC">
            <wp:extent cx="3250933" cy="2541433"/>
            <wp:effectExtent l="0" t="0" r="6985" b="0"/>
            <wp:docPr id="150117967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79679" name=""/>
                    <pic:cNvPicPr/>
                  </pic:nvPicPr>
                  <pic:blipFill>
                    <a:blip r:embed="rId33">
                      <a:extLst>
                        <a:ext uri="{96DAC541-7B7A-43D3-8B79-37D633B846F1}">
                          <asvg:svgBlip xmlns:asvg="http://schemas.microsoft.com/office/drawing/2016/SVG/main" r:embed="rId34"/>
                        </a:ext>
                      </a:extLst>
                    </a:blip>
                    <a:srcRect b="2283"/>
                    <a:stretch>
                      <a:fillRect/>
                    </a:stretch>
                  </pic:blipFill>
                  <pic:spPr>
                    <a:xfrm>
                      <a:off x="0" y="0"/>
                      <a:ext cx="3250933" cy="2541433"/>
                    </a:xfrm>
                    <a:prstGeom prst="rect">
                      <a:avLst/>
                    </a:prstGeom>
                  </pic:spPr>
                </pic:pic>
              </a:graphicData>
            </a:graphic>
          </wp:inline>
        </w:drawing>
      </w:r>
    </w:p>
    <w:p w14:paraId="54503557" w14:textId="1A48FB8F" w:rsidR="00652B06" w:rsidRDefault="00AF3DEB" w:rsidP="00CD29C9">
      <w:pPr>
        <w:pStyle w:val="ExhibitSource"/>
      </w:pPr>
      <w:r>
        <w:t>Source: Bank of England Decision Maker Panel</w:t>
      </w:r>
    </w:p>
    <w:p w14:paraId="2740E7DA" w14:textId="2173D6DD" w:rsidR="004C2686" w:rsidRDefault="002F4D12" w:rsidP="00877CF1">
      <w:r>
        <w:t xml:space="preserve">What surveys don't tell us </w:t>
      </w:r>
      <w:r w:rsidR="00BC3F92">
        <w:t xml:space="preserve">is </w:t>
      </w:r>
      <w:r>
        <w:t xml:space="preserve">the likely magnitude of price rises. </w:t>
      </w:r>
      <w:r w:rsidR="00F532A2">
        <w:t xml:space="preserve">With demand relatively weak across the economy, </w:t>
      </w:r>
      <w:r w:rsidR="00B44816">
        <w:t xml:space="preserve">this will limit the ability of </w:t>
      </w:r>
      <w:r w:rsidR="00191368">
        <w:t xml:space="preserve">firms </w:t>
      </w:r>
      <w:r w:rsidR="00EF3220">
        <w:t xml:space="preserve">to raise </w:t>
      </w:r>
      <w:r w:rsidR="00191368">
        <w:t xml:space="preserve">prices </w:t>
      </w:r>
      <w:r w:rsidR="00427515">
        <w:t xml:space="preserve">much </w:t>
      </w:r>
      <w:r w:rsidR="00AC6A72">
        <w:t>in response to the large increase in labour costs</w:t>
      </w:r>
      <w:r w:rsidR="009B6E84">
        <w:t xml:space="preserve">. </w:t>
      </w:r>
      <w:r w:rsidR="00846D01">
        <w:t>But on the flip side, corporate profitability is at a 23-year low</w:t>
      </w:r>
      <w:r w:rsidR="00846D01" w:rsidDel="00B8375D">
        <w:t xml:space="preserve"> </w:t>
      </w:r>
      <w:r w:rsidR="00846D01">
        <w:t xml:space="preserve">following several years of sharply rising </w:t>
      </w:r>
      <w:r w:rsidR="007F71CD">
        <w:t>non-labour</w:t>
      </w:r>
      <w:r w:rsidR="00C634E9">
        <w:t xml:space="preserve"> costs,</w:t>
      </w:r>
      <w:r w:rsidR="007F71CD">
        <w:t xml:space="preserve"> </w:t>
      </w:r>
      <w:r w:rsidR="00B8375D">
        <w:t xml:space="preserve">with </w:t>
      </w:r>
      <w:r w:rsidR="0019213D">
        <w:t>energy and debt servicing costs</w:t>
      </w:r>
      <w:r w:rsidR="00AB1E73">
        <w:t xml:space="preserve"> particularly important.</w:t>
      </w:r>
      <w:r w:rsidR="0019213D">
        <w:t xml:space="preserve"> </w:t>
      </w:r>
      <w:r w:rsidR="009718ED">
        <w:t xml:space="preserve">Therefore, </w:t>
      </w:r>
      <w:r w:rsidR="00DA3B60">
        <w:t xml:space="preserve">the ability of </w:t>
      </w:r>
      <w:r w:rsidR="00EB31F1">
        <w:t xml:space="preserve">firms </w:t>
      </w:r>
      <w:r w:rsidR="00136431">
        <w:t xml:space="preserve">to keep absorbing large </w:t>
      </w:r>
      <w:r w:rsidR="000805C5">
        <w:t>cost increases</w:t>
      </w:r>
      <w:r w:rsidR="00DA3B60">
        <w:t xml:space="preserve"> will be limited</w:t>
      </w:r>
      <w:r w:rsidR="004C2686">
        <w:t xml:space="preserve">. </w:t>
      </w:r>
    </w:p>
    <w:p w14:paraId="5745B681" w14:textId="76A3986E" w:rsidR="002B7735" w:rsidRDefault="005F141C" w:rsidP="00877CF1">
      <w:r>
        <w:t xml:space="preserve">We think firms will </w:t>
      </w:r>
      <w:r w:rsidR="007F0615">
        <w:t xml:space="preserve">only </w:t>
      </w:r>
      <w:r>
        <w:t xml:space="preserve">pass on </w:t>
      </w:r>
      <w:r w:rsidR="006C2679">
        <w:t xml:space="preserve">some of the rise in labour costs to consumers, but given </w:t>
      </w:r>
      <w:r w:rsidR="008954E6">
        <w:t xml:space="preserve">the services sector is relatively more labour-intensive, </w:t>
      </w:r>
      <w:r w:rsidR="00E22491">
        <w:t>the passthrough to services prices is likely to be strong.</w:t>
      </w:r>
      <w:r w:rsidR="007F0615">
        <w:t xml:space="preserve"> </w:t>
      </w:r>
      <w:r w:rsidR="00CF1AB8">
        <w:t xml:space="preserve">Excluding </w:t>
      </w:r>
      <w:r w:rsidR="00D9301B">
        <w:t>index</w:t>
      </w:r>
      <w:r w:rsidR="006B0F92">
        <w:t>ed</w:t>
      </w:r>
      <w:r w:rsidR="00D9301B">
        <w:t xml:space="preserve"> and </w:t>
      </w:r>
      <w:r w:rsidR="00295448">
        <w:t>volatile components</w:t>
      </w:r>
      <w:r w:rsidR="00D9301B">
        <w:t>, underlying services inflation has cool</w:t>
      </w:r>
      <w:r w:rsidR="006B0F92">
        <w:t>ed</w:t>
      </w:r>
      <w:r w:rsidR="00631C36">
        <w:t xml:space="preserve"> </w:t>
      </w:r>
      <w:r w:rsidR="00F66D21">
        <w:t>steadily</w:t>
      </w:r>
      <w:r w:rsidR="00D9301B">
        <w:t xml:space="preserve"> over the past two years.</w:t>
      </w:r>
      <w:r w:rsidR="00295448">
        <w:t xml:space="preserve"> </w:t>
      </w:r>
      <w:r w:rsidR="005F27B9">
        <w:t xml:space="preserve">However, </w:t>
      </w:r>
      <w:r w:rsidR="00276B13">
        <w:t xml:space="preserve">with the impact of recent fiscal policy changes </w:t>
      </w:r>
      <w:r w:rsidR="00F66D21">
        <w:t xml:space="preserve">coming </w:t>
      </w:r>
      <w:r w:rsidR="00CB0340">
        <w:t>on top of the</w:t>
      </w:r>
      <w:r w:rsidR="008A3F9F">
        <w:t xml:space="preserve"> ongoing</w:t>
      </w:r>
      <w:r w:rsidR="00CB0340">
        <w:t xml:space="preserve"> second-round effects from</w:t>
      </w:r>
      <w:r w:rsidR="00BE3CC8">
        <w:t xml:space="preserve"> elevated</w:t>
      </w:r>
      <w:r w:rsidR="00CB0340">
        <w:t xml:space="preserve"> wage growth, </w:t>
      </w:r>
      <w:r w:rsidR="000219E8">
        <w:t xml:space="preserve">we think </w:t>
      </w:r>
      <w:r w:rsidR="00B46CDB">
        <w:t>services inflation is likely to prove relatively sticky this year</w:t>
      </w:r>
      <w:r w:rsidR="009F7219">
        <w:t xml:space="preserve"> and decline only gradually</w:t>
      </w:r>
      <w:r w:rsidR="00425B42">
        <w:t>.</w:t>
      </w:r>
    </w:p>
    <w:p w14:paraId="7E8E2AEB" w14:textId="300C4D74" w:rsidR="00AD3508" w:rsidRDefault="00AD3508" w:rsidP="00CD29C9">
      <w:pPr>
        <w:pStyle w:val="Heading3"/>
      </w:pPr>
      <w:r>
        <w:t xml:space="preserve">We expect CPI inflation to hit </w:t>
      </w:r>
      <w:r w:rsidR="0034500A">
        <w:t>3.8</w:t>
      </w:r>
      <w:r>
        <w:t xml:space="preserve">% in </w:t>
      </w:r>
      <w:r w:rsidR="0034500A">
        <w:t>September</w:t>
      </w:r>
    </w:p>
    <w:p w14:paraId="6B918B52" w14:textId="61E2A618" w:rsidR="00852F55" w:rsidRDefault="003C1CD5" w:rsidP="00AD3508">
      <w:r>
        <w:t>H</w:t>
      </w:r>
      <w:r w:rsidR="002F210B">
        <w:t>eadline inflation is likely to dip over the next couple of months</w:t>
      </w:r>
      <w:r w:rsidR="00A64183">
        <w:t xml:space="preserve"> before a renewed </w:t>
      </w:r>
      <w:r w:rsidR="009211DC">
        <w:t xml:space="preserve">pickup from April. </w:t>
      </w:r>
      <w:r w:rsidR="00852EEC">
        <w:t xml:space="preserve">This </w:t>
      </w:r>
      <w:r w:rsidR="008A79D7">
        <w:t>is when</w:t>
      </w:r>
      <w:r w:rsidR="00D1346C">
        <w:t xml:space="preserve"> </w:t>
      </w:r>
      <w:r w:rsidR="00BF79C2">
        <w:t>increases in regulated prices</w:t>
      </w:r>
      <w:r w:rsidR="008A79D7">
        <w:t xml:space="preserve"> will</w:t>
      </w:r>
      <w:r w:rsidR="00BF79C2">
        <w:t xml:space="preserve"> tak</w:t>
      </w:r>
      <w:r w:rsidR="008A79D7">
        <w:t>e</w:t>
      </w:r>
      <w:r w:rsidR="00BF79C2">
        <w:t xml:space="preserve"> effect, resulting in </w:t>
      </w:r>
      <w:r w:rsidR="00557E17">
        <w:t xml:space="preserve">a larger positive contribution from the core goods category and the drag from the energy category disappearing entirely. </w:t>
      </w:r>
      <w:r w:rsidR="00634BA9">
        <w:t>We</w:t>
      </w:r>
      <w:r w:rsidR="008B68A9">
        <w:t xml:space="preserve"> then</w:t>
      </w:r>
      <w:r w:rsidR="00634BA9">
        <w:t xml:space="preserve"> expect inflationary pressures to </w:t>
      </w:r>
      <w:r w:rsidR="008B68A9">
        <w:t>build through the summer</w:t>
      </w:r>
      <w:r w:rsidR="0091056C">
        <w:t>.</w:t>
      </w:r>
      <w:r w:rsidR="008B68A9">
        <w:t xml:space="preserve"> </w:t>
      </w:r>
      <w:r w:rsidR="00B620D7">
        <w:t>And t</w:t>
      </w:r>
      <w:r w:rsidR="008B68A9">
        <w:t xml:space="preserve">hough </w:t>
      </w:r>
      <w:r w:rsidR="005A37A3">
        <w:t>services inflation is likely to soften</w:t>
      </w:r>
      <w:r w:rsidR="00F84CF0">
        <w:t xml:space="preserve">, it is unlikely to do </w:t>
      </w:r>
      <w:r w:rsidR="00F84CF0">
        <w:lastRenderedPageBreak/>
        <w:t>so fast enough to offset the upward pressures from elsewhere</w:t>
      </w:r>
      <w:r w:rsidR="00FD279A">
        <w:t>. So</w:t>
      </w:r>
      <w:r w:rsidR="00414FC8">
        <w:t>,</w:t>
      </w:r>
      <w:r w:rsidR="00FD279A">
        <w:t xml:space="preserve"> we expect headline inflation to briefly hit a peak of 3.</w:t>
      </w:r>
      <w:r w:rsidR="00414FC8">
        <w:t>6</w:t>
      </w:r>
      <w:r w:rsidR="00FD279A">
        <w:t>% in September</w:t>
      </w:r>
      <w:r w:rsidR="00E267CD">
        <w:t>.</w:t>
      </w:r>
    </w:p>
    <w:p w14:paraId="2C8053C7" w14:textId="7447F0B0" w:rsidR="00E267CD" w:rsidRDefault="00453707" w:rsidP="00AD3508">
      <w:r>
        <w:t>But most of this year's upward pressures are likely to prove temporary</w:t>
      </w:r>
      <w:r w:rsidR="00E267CD">
        <w:t xml:space="preserve">. </w:t>
      </w:r>
      <w:r w:rsidR="00E514B9">
        <w:t xml:space="preserve">The support </w:t>
      </w:r>
      <w:r w:rsidR="00CA089F">
        <w:t xml:space="preserve">from the energy category should start to fade from October </w:t>
      </w:r>
      <w:r w:rsidR="0036779C">
        <w:t xml:space="preserve">as </w:t>
      </w:r>
      <w:r w:rsidR="00A32C35">
        <w:t>base effects</w:t>
      </w:r>
      <w:r w:rsidR="00981248">
        <w:t xml:space="preserve"> come into play</w:t>
      </w:r>
      <w:r w:rsidR="00A147E1">
        <w:t xml:space="preserve">. </w:t>
      </w:r>
      <w:r w:rsidR="00E012D0">
        <w:t xml:space="preserve">The gradual normalisation </w:t>
      </w:r>
      <w:r w:rsidR="00350478">
        <w:t xml:space="preserve">of price setting for food and core goods should see the positive contribution </w:t>
      </w:r>
      <w:r w:rsidR="008C18CE">
        <w:t xml:space="preserve">from these components </w:t>
      </w:r>
      <w:r w:rsidR="000948B4">
        <w:t xml:space="preserve">slowly decline. </w:t>
      </w:r>
      <w:r w:rsidR="00754EF3">
        <w:t>Moreover</w:t>
      </w:r>
      <w:r w:rsidR="000948B4">
        <w:t xml:space="preserve">, </w:t>
      </w:r>
      <w:r w:rsidR="00B73885">
        <w:t xml:space="preserve">the scale of increases </w:t>
      </w:r>
      <w:r w:rsidR="00BF2D51">
        <w:t>in energy prices this year is unlikely to generate strong indirect effects on non</w:t>
      </w:r>
      <w:r w:rsidR="00754EF3">
        <w:t>-energy-related goods and services</w:t>
      </w:r>
      <w:r w:rsidR="00EB28CA">
        <w:t xml:space="preserve">. And in a similar vein, we </w:t>
      </w:r>
      <w:r w:rsidR="00156E58">
        <w:t>think</w:t>
      </w:r>
      <w:r w:rsidR="00EB28CA">
        <w:t xml:space="preserve"> </w:t>
      </w:r>
      <w:r w:rsidR="00A62B08">
        <w:t xml:space="preserve">firms </w:t>
      </w:r>
      <w:r w:rsidR="00156E58">
        <w:t>will</w:t>
      </w:r>
      <w:r w:rsidR="00995849">
        <w:t xml:space="preserve"> </w:t>
      </w:r>
      <w:r w:rsidR="00A62B08">
        <w:t>lower headcount and pay settlements in response to higher labour costs</w:t>
      </w:r>
      <w:r w:rsidR="00995849">
        <w:t xml:space="preserve">, which should reduce the </w:t>
      </w:r>
      <w:r w:rsidR="00E9233A">
        <w:t>second-round effects of strong pay growth on services inflation</w:t>
      </w:r>
      <w:r w:rsidR="00156E58">
        <w:t>.</w:t>
      </w:r>
      <w:r w:rsidR="00251F89">
        <w:t xml:space="preserve"> </w:t>
      </w:r>
      <w:r w:rsidR="00CB777E">
        <w:t xml:space="preserve">As a result, </w:t>
      </w:r>
      <w:r w:rsidR="00507FF2">
        <w:t xml:space="preserve">we expect headline inflation to gradually drift down through the end of </w:t>
      </w:r>
      <w:r w:rsidR="002C5754">
        <w:t>this year and next, to finish 2026 only slightly above the BoE's 2% target</w:t>
      </w:r>
      <w:r w:rsidR="00B63D10">
        <w:t xml:space="preserve"> (</w:t>
      </w:r>
      <w:r w:rsidR="00B63D10" w:rsidRPr="008075B5">
        <w:rPr>
          <w:b/>
          <w:color w:val="003469"/>
        </w:rPr>
        <w:fldChar w:fldCharType="begin"/>
      </w:r>
      <w:r w:rsidR="008075B5" w:rsidRPr="008075B5">
        <w:rPr>
          <w:b/>
          <w:color w:val="003469"/>
        </w:rPr>
        <w:instrText xml:space="preserve">REF _Ref191563240 \h \* Charformat </w:instrText>
      </w:r>
      <w:r w:rsidR="008075B5" w:rsidRPr="008075B5">
        <w:rPr>
          <w:b/>
          <w:color w:val="003469"/>
        </w:rPr>
      </w:r>
      <w:r w:rsidR="00B63D10" w:rsidRPr="008075B5">
        <w:rPr>
          <w:b/>
          <w:color w:val="003469"/>
        </w:rPr>
        <w:fldChar w:fldCharType="separate"/>
      </w:r>
      <w:r w:rsidR="008075B5" w:rsidRPr="008075B5">
        <w:rPr>
          <w:b/>
          <w:color w:val="003469"/>
        </w:rPr>
        <w:t>Chart 6</w:t>
      </w:r>
      <w:r w:rsidR="00B63D10" w:rsidRPr="008075B5">
        <w:rPr>
          <w:b/>
          <w:color w:val="003469"/>
        </w:rPr>
        <w:fldChar w:fldCharType="end"/>
      </w:r>
      <w:r w:rsidR="00B63D10">
        <w:t>).</w:t>
      </w:r>
    </w:p>
    <w:p w14:paraId="031125F6" w14:textId="25834F7F" w:rsidR="00AD3508" w:rsidRDefault="00AD3508" w:rsidP="00CD29C9">
      <w:pPr>
        <w:pStyle w:val="ExhibitTitle"/>
      </w:pPr>
      <w:bookmarkStart w:id="5" w:name="_Ref191563240"/>
      <w:r>
        <w:t xml:space="preserve">Chart </w:t>
      </w:r>
      <w:r>
        <w:fldChar w:fldCharType="begin"/>
      </w:r>
      <w:r w:rsidR="00694347">
        <w:instrText>SEQ CHART</w:instrText>
      </w:r>
      <w:r>
        <w:fldChar w:fldCharType="separate"/>
      </w:r>
      <w:r w:rsidR="00AF3DEB">
        <w:rPr>
          <w:noProof/>
        </w:rPr>
        <w:t>6</w:t>
      </w:r>
      <w:r>
        <w:fldChar w:fldCharType="end"/>
      </w:r>
      <w:bookmarkEnd w:id="5"/>
      <w:r>
        <w:t xml:space="preserve">: </w:t>
      </w:r>
      <w:r w:rsidR="005A75D9">
        <w:t xml:space="preserve">CPI </w:t>
      </w:r>
      <w:r w:rsidR="00D61D38">
        <w:t>i</w:t>
      </w:r>
      <w:r w:rsidR="00161431">
        <w:t xml:space="preserve">nflation </w:t>
      </w:r>
      <w:r w:rsidR="005A75D9">
        <w:t xml:space="preserve">is expected to </w:t>
      </w:r>
      <w:r w:rsidR="0093412F">
        <w:t>peak at 3.</w:t>
      </w:r>
      <w:r w:rsidR="00D61D38">
        <w:t>6</w:t>
      </w:r>
      <w:r w:rsidR="0093412F">
        <w:t xml:space="preserve">% in September </w:t>
      </w:r>
      <w:r w:rsidR="00B63D10">
        <w:t xml:space="preserve">before returning </w:t>
      </w:r>
      <w:r w:rsidR="00A57E87">
        <w:t xml:space="preserve">close </w:t>
      </w:r>
      <w:r w:rsidR="00B63D10">
        <w:t>to target by end-2026</w:t>
      </w:r>
    </w:p>
    <w:p w14:paraId="3549ACBE" w14:textId="2A8FA1B1" w:rsidR="00694347" w:rsidRDefault="00694347" w:rsidP="00CD29C9">
      <w:pPr>
        <w:spacing w:after="0"/>
        <w:rPr>
          <w:noProof/>
        </w:rPr>
      </w:pPr>
      <w:r>
        <w:rPr>
          <w:noProof/>
        </w:rPr>
        <w:drawing>
          <wp:inline distT="0" distB="0" distL="0" distR="0" wp14:anchorId="633AC7C9" wp14:editId="1E6BEDEE">
            <wp:extent cx="3250933" cy="2552005"/>
            <wp:effectExtent l="0" t="0" r="6985" b="1270"/>
            <wp:docPr id="19738304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30488" name=""/>
                    <pic:cNvPicPr/>
                  </pic:nvPicPr>
                  <pic:blipFill>
                    <a:blip r:embed="rId35">
                      <a:extLst>
                        <a:ext uri="{96DAC541-7B7A-43D3-8B79-37D633B846F1}">
                          <asvg:svgBlip xmlns:asvg="http://schemas.microsoft.com/office/drawing/2016/SVG/main" r:embed="rId36"/>
                        </a:ext>
                      </a:extLst>
                    </a:blip>
                    <a:srcRect b="1799"/>
                    <a:stretch>
                      <a:fillRect/>
                    </a:stretch>
                  </pic:blipFill>
                  <pic:spPr>
                    <a:xfrm>
                      <a:off x="0" y="0"/>
                      <a:ext cx="3250933" cy="2552005"/>
                    </a:xfrm>
                    <a:prstGeom prst="rect">
                      <a:avLst/>
                    </a:prstGeom>
                  </pic:spPr>
                </pic:pic>
              </a:graphicData>
            </a:graphic>
          </wp:inline>
        </w:drawing>
      </w:r>
    </w:p>
    <w:p w14:paraId="78E8DB27" w14:textId="3C0529CD" w:rsidR="00AD3508" w:rsidRDefault="00694347" w:rsidP="00CD29C9">
      <w:pPr>
        <w:pStyle w:val="ExhibitSource"/>
      </w:pPr>
      <w:r>
        <w:t>Source: Oxford Economics, Haver Analytics</w:t>
      </w:r>
    </w:p>
    <w:p w14:paraId="42BF9B3E" w14:textId="650B5D7B" w:rsidR="00663FAB" w:rsidRDefault="00C12ABB" w:rsidP="00CD29C9">
      <w:pPr>
        <w:pStyle w:val="Heading3"/>
      </w:pPr>
      <w:r>
        <w:t>Rising</w:t>
      </w:r>
      <w:r w:rsidR="00663FAB">
        <w:t xml:space="preserve"> inflation </w:t>
      </w:r>
      <w:r w:rsidR="0010396B">
        <w:t xml:space="preserve">won't prevent the MPC from </w:t>
      </w:r>
      <w:r w:rsidR="0093785A">
        <w:t>cutting, but it could influence the pace</w:t>
      </w:r>
      <w:r w:rsidR="006B268A">
        <w:t xml:space="preserve"> of cuts</w:t>
      </w:r>
    </w:p>
    <w:p w14:paraId="00544B81" w14:textId="5E0EFC78" w:rsidR="00A94194" w:rsidRDefault="006B268A" w:rsidP="00877CF1">
      <w:r>
        <w:t>O</w:t>
      </w:r>
      <w:r w:rsidR="006A6A25">
        <w:t xml:space="preserve">ur expectation </w:t>
      </w:r>
      <w:r>
        <w:t xml:space="preserve">is </w:t>
      </w:r>
      <w:r w:rsidR="006A6A25">
        <w:t>that the factor</w:t>
      </w:r>
      <w:r w:rsidR="005051A2">
        <w:t>s</w:t>
      </w:r>
      <w:r w:rsidR="006A6A25">
        <w:t xml:space="preserve"> driving CPI inflation higher this year </w:t>
      </w:r>
      <w:r w:rsidR="00994FA7">
        <w:t xml:space="preserve">largely come from external forces and are </w:t>
      </w:r>
      <w:r w:rsidR="005051A2">
        <w:t xml:space="preserve">likely to </w:t>
      </w:r>
      <w:r w:rsidR="003546B0">
        <w:t>fade in the medium</w:t>
      </w:r>
      <w:r w:rsidR="00E746A8">
        <w:t xml:space="preserve"> </w:t>
      </w:r>
      <w:r w:rsidR="003546B0">
        <w:t>term</w:t>
      </w:r>
      <w:r w:rsidR="00E571E6" w:rsidRPr="00E571E6">
        <w:t xml:space="preserve"> –</w:t>
      </w:r>
      <w:r w:rsidR="00E571E6">
        <w:t xml:space="preserve"> the relevant time horizon for monetary policy</w:t>
      </w:r>
      <w:r w:rsidR="00E746A8">
        <w:t>. Therefore,</w:t>
      </w:r>
      <w:r w:rsidR="00E571E6">
        <w:t xml:space="preserve"> </w:t>
      </w:r>
      <w:r w:rsidR="00525554">
        <w:t xml:space="preserve">we maintain our long-held view that the MPC is likely to </w:t>
      </w:r>
      <w:r w:rsidR="00056A1D">
        <w:t xml:space="preserve">stick </w:t>
      </w:r>
      <w:r w:rsidR="00E746A8">
        <w:t>to</w:t>
      </w:r>
      <w:r w:rsidR="00056A1D">
        <w:t xml:space="preserve"> its </w:t>
      </w:r>
      <w:r w:rsidR="00F73D44">
        <w:t>quarterly pace of rate cuts.</w:t>
      </w:r>
      <w:r w:rsidR="00BD31A9">
        <w:t xml:space="preserve"> </w:t>
      </w:r>
      <w:r w:rsidR="003D6990">
        <w:t xml:space="preserve">Our forecast sees three further 25bps cuts this year </w:t>
      </w:r>
      <w:r w:rsidR="003D6990" w:rsidRPr="003D6990">
        <w:t>in May, August, and November, which would leave Bank Rate at 3.75% by the end of 2025.</w:t>
      </w:r>
    </w:p>
    <w:p w14:paraId="186C027E" w14:textId="3D1E548F" w:rsidR="002455AC" w:rsidRDefault="007658DD" w:rsidP="00877CF1">
      <w:r>
        <w:t xml:space="preserve">The BoE's latest inflation forecast </w:t>
      </w:r>
      <w:r w:rsidR="007E4E12">
        <w:t xml:space="preserve">shows </w:t>
      </w:r>
      <w:r w:rsidR="006F71FF">
        <w:t xml:space="preserve">headline inflation </w:t>
      </w:r>
      <w:r w:rsidR="00D7527C">
        <w:t xml:space="preserve">peaking </w:t>
      </w:r>
      <w:r w:rsidR="00410D7A">
        <w:t xml:space="preserve">later this year before returning close to </w:t>
      </w:r>
      <w:r w:rsidR="00D23092">
        <w:t>the</w:t>
      </w:r>
      <w:r w:rsidR="00410D7A">
        <w:t xml:space="preserve"> 2% target by the end of 2026.</w:t>
      </w:r>
      <w:r w:rsidR="006F71FF">
        <w:t xml:space="preserve"> </w:t>
      </w:r>
      <w:r w:rsidR="00833FC4">
        <w:t xml:space="preserve">It therefore </w:t>
      </w:r>
      <w:r w:rsidR="00CB2A27">
        <w:t xml:space="preserve">appears </w:t>
      </w:r>
      <w:r w:rsidR="00833FC4">
        <w:t xml:space="preserve">broadly </w:t>
      </w:r>
      <w:r w:rsidR="00CB2A27">
        <w:t>consistent with our view that the pressures pushing inflation</w:t>
      </w:r>
      <w:r w:rsidR="00714101">
        <w:t xml:space="preserve"> upwards this year </w:t>
      </w:r>
      <w:r w:rsidR="00E26250">
        <w:t>will</w:t>
      </w:r>
      <w:r w:rsidR="00714101">
        <w:t xml:space="preserve"> prove temporary.</w:t>
      </w:r>
      <w:r w:rsidR="000665D1">
        <w:t xml:space="preserve"> </w:t>
      </w:r>
    </w:p>
    <w:p w14:paraId="58848609" w14:textId="445AEDF7" w:rsidR="00ED5ABF" w:rsidRDefault="00C12905" w:rsidP="00877CF1">
      <w:r>
        <w:t xml:space="preserve">How the MPC interprets incoming </w:t>
      </w:r>
      <w:r w:rsidR="00D02022">
        <w:t xml:space="preserve">inflation and </w:t>
      </w:r>
      <w:r w:rsidR="001D7B4B">
        <w:t>labour market</w:t>
      </w:r>
      <w:r w:rsidR="003A37D6">
        <w:t xml:space="preserve"> data</w:t>
      </w:r>
      <w:r w:rsidR="002A7A6A">
        <w:t xml:space="preserve"> will be key </w:t>
      </w:r>
      <w:r w:rsidR="00340DA1">
        <w:t xml:space="preserve">to </w:t>
      </w:r>
      <w:r w:rsidR="002A7A6A">
        <w:t xml:space="preserve">whether the committee </w:t>
      </w:r>
      <w:r w:rsidR="00134055">
        <w:t xml:space="preserve">deviates from its established 'cut-hold' </w:t>
      </w:r>
      <w:r w:rsidR="008A25A9">
        <w:t xml:space="preserve">approach to loosening policy. On one hand, </w:t>
      </w:r>
      <w:r w:rsidR="005E019B">
        <w:t>evidence of</w:t>
      </w:r>
      <w:r w:rsidR="00D51016">
        <w:t xml:space="preserve"> much</w:t>
      </w:r>
      <w:r w:rsidR="005E019B">
        <w:t xml:space="preserve"> </w:t>
      </w:r>
      <w:r w:rsidR="001F79F7">
        <w:t xml:space="preserve">weaker </w:t>
      </w:r>
      <w:r w:rsidR="001053E2">
        <w:t xml:space="preserve">output </w:t>
      </w:r>
      <w:r w:rsidR="00D51016">
        <w:t xml:space="preserve">and employment </w:t>
      </w:r>
      <w:r w:rsidR="001F79F7">
        <w:t xml:space="preserve">growth </w:t>
      </w:r>
      <w:r w:rsidR="0088052E">
        <w:t xml:space="preserve">could yield a </w:t>
      </w:r>
      <w:r w:rsidR="00D51016">
        <w:t xml:space="preserve">slightly </w:t>
      </w:r>
      <w:r w:rsidR="00591360">
        <w:t xml:space="preserve">more aggressive pace of rate cuts. But on the other, the MPC is becoming increasingly concerned about </w:t>
      </w:r>
      <w:r w:rsidR="00EB487D">
        <w:t xml:space="preserve">weak supply and how this is manifesting itself </w:t>
      </w:r>
      <w:r w:rsidR="0009335C">
        <w:t xml:space="preserve">in </w:t>
      </w:r>
      <w:r w:rsidR="00453D7C">
        <w:t>sticky</w:t>
      </w:r>
      <w:r w:rsidR="0009335C">
        <w:t xml:space="preserve"> pay growth. Therefore, </w:t>
      </w:r>
      <w:r w:rsidR="004A6949">
        <w:t xml:space="preserve">the </w:t>
      </w:r>
      <w:r w:rsidR="00E668F8">
        <w:t>committee</w:t>
      </w:r>
      <w:r w:rsidR="004A6949">
        <w:t xml:space="preserve"> </w:t>
      </w:r>
      <w:r w:rsidR="00531A52">
        <w:t>is</w:t>
      </w:r>
      <w:r w:rsidR="004A6949">
        <w:t xml:space="preserve"> likely</w:t>
      </w:r>
      <w:r w:rsidR="00531A52">
        <w:t xml:space="preserve"> to</w:t>
      </w:r>
      <w:r w:rsidR="004A6949">
        <w:t xml:space="preserve"> view stronger-than-expected pay outturns as </w:t>
      </w:r>
      <w:r w:rsidR="00531A52">
        <w:t xml:space="preserve">being </w:t>
      </w:r>
      <w:r w:rsidR="00CE7009">
        <w:t xml:space="preserve">indicative of </w:t>
      </w:r>
      <w:r w:rsidR="00F20B57">
        <w:t xml:space="preserve">underlying price pressures </w:t>
      </w:r>
      <w:r w:rsidR="00CE7009">
        <w:t>persisting</w:t>
      </w:r>
      <w:r w:rsidR="0079030A">
        <w:t>,</w:t>
      </w:r>
      <w:r w:rsidR="00531A52">
        <w:t xml:space="preserve"> and would </w:t>
      </w:r>
      <w:r w:rsidR="0066340B">
        <w:t>probably</w:t>
      </w:r>
      <w:r w:rsidR="003246BA">
        <w:t xml:space="preserve"> respond by cutting rates by less than the 75bps of cuts we forecast for the rest of this year.</w:t>
      </w:r>
    </w:p>
    <w:sectPr w:rsidR="00ED5ABF" w:rsidSect="00C77974">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261B2" w14:textId="77777777" w:rsidR="00125FF2" w:rsidRDefault="00125FF2" w:rsidP="00877CF1">
      <w:pPr>
        <w:spacing w:before="0" w:after="0"/>
      </w:pPr>
      <w:r>
        <w:separator/>
      </w:r>
    </w:p>
  </w:endnote>
  <w:endnote w:type="continuationSeparator" w:id="0">
    <w:p w14:paraId="6C7DB638" w14:textId="77777777" w:rsidR="00125FF2" w:rsidRDefault="00125FF2" w:rsidP="00877C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63E64" w14:textId="77777777" w:rsidR="00353C2E" w:rsidRDefault="00353C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5A66" w14:textId="59B8C70B" w:rsidR="00877CF1" w:rsidRPr="00877CF1" w:rsidRDefault="00877CF1" w:rsidP="00877CF1">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Edward Allenby - eallenby@oxfordeconomics.com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EF758" w14:textId="79E5723A" w:rsidR="00877CF1" w:rsidRDefault="00877CF1" w:rsidP="00877CF1">
    <w:pPr>
      <w:pStyle w:val="Author"/>
    </w:pPr>
    <w:r>
      <w:t>Edward Allenby</w:t>
    </w:r>
    <w:r w:rsidR="00CD29C9">
      <w:t xml:space="preserve"> - </w:t>
    </w:r>
    <w:r>
      <w:t>UK Economist</w:t>
    </w:r>
    <w:r w:rsidR="00CD29C9">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3F364" w14:textId="77777777" w:rsidR="00125FF2" w:rsidRDefault="00125FF2" w:rsidP="00877CF1">
      <w:pPr>
        <w:spacing w:before="0" w:after="0"/>
      </w:pPr>
      <w:r>
        <w:separator/>
      </w:r>
    </w:p>
  </w:footnote>
  <w:footnote w:type="continuationSeparator" w:id="0">
    <w:p w14:paraId="488EDCCB" w14:textId="77777777" w:rsidR="00125FF2" w:rsidRDefault="00125FF2" w:rsidP="00877CF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0B0E5" w14:textId="77777777" w:rsidR="00877CF1" w:rsidRDefault="00877CF1">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587FE" w14:textId="637C336D" w:rsidR="00877CF1" w:rsidRDefault="00877CF1" w:rsidP="00877CF1">
    <w:pPr>
      <w:pStyle w:val="Headline"/>
      <w:spacing w:before="120"/>
      <w:ind w:right="-1000"/>
    </w:pPr>
    <w:r w:rsidRPr="00877CF1">
      <w:rPr>
        <w:noProof/>
      </w:rPr>
      <w:drawing>
        <wp:anchor distT="0" distB="0" distL="114300" distR="114300" simplePos="0" relativeHeight="251658239" behindDoc="1" locked="1" layoutInCell="1" allowOverlap="1" wp14:anchorId="4CBA1020" wp14:editId="7FAB2169">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9975C1">
      <w:t xml:space="preserve">Four </w:t>
    </w:r>
    <w:r w:rsidR="00471207">
      <w:t>reasons why</w:t>
    </w:r>
    <w:r w:rsidR="007D6C4D">
      <w:t xml:space="preserve"> </w:t>
    </w:r>
    <w:r w:rsidR="009E183D">
      <w:t>inflation will be well above target in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D2C40" w14:textId="2AA4D3E2" w:rsidR="00877CF1" w:rsidRDefault="00877CF1" w:rsidP="00877CF1">
    <w:r w:rsidRPr="00877CF1">
      <w:rPr>
        <w:noProof/>
      </w:rPr>
      <w:drawing>
        <wp:anchor distT="0" distB="0" distL="114300" distR="114300" simplePos="0" relativeHeight="251659264" behindDoc="1" locked="1" layoutInCell="1" allowOverlap="1" wp14:anchorId="10614338" wp14:editId="3BA600D0">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889524134"/>
      <w:lock w:val="sdtLocked"/>
      <w:placeholder>
        <w:docPart w:val="DefaultPlaceholder_-1854013437"/>
      </w:placeholder>
      <w:date w:fullDate="2025-03-07T00:00:00Z">
        <w:dateFormat w:val="d MMMM yyyy"/>
        <w:lid w:val="en-GB"/>
        <w:storeMappedDataAs w:val="dateTime"/>
        <w:calendar w:val="gregorian"/>
      </w:date>
    </w:sdtPr>
    <w:sdtEndPr/>
    <w:sdtContent>
      <w:p w14:paraId="103D5269" w14:textId="29DFF25E" w:rsidR="00877CF1" w:rsidRDefault="00C77974" w:rsidP="00877CF1">
        <w:pPr>
          <w:pStyle w:val="PublishDate"/>
          <w:framePr w:w="2835" w:h="340" w:hRule="exact" w:hSpace="180" w:wrap="around" w:vAnchor="page" w:hAnchor="page" w:x="7801" w:y="601" w:anchorLock="1"/>
        </w:pPr>
        <w:r>
          <w:t>7</w:t>
        </w:r>
        <w:r w:rsidR="00877CF1">
          <w:t xml:space="preserve"> </w:t>
        </w:r>
        <w:r w:rsidR="00A72228">
          <w:t>March</w:t>
        </w:r>
        <w:r w:rsidR="00877CF1">
          <w:t xml:space="preserve"> 2025</w:t>
        </w:r>
      </w:p>
    </w:sdtContent>
  </w:sdt>
  <w:p w14:paraId="664C5873" w14:textId="3D68EBCD" w:rsidR="00877CF1" w:rsidRDefault="00877CF1" w:rsidP="00877CF1">
    <w:pPr>
      <w:pStyle w:val="ProductDescription"/>
      <w:framePr w:w="11339" w:h="1474" w:hRule="exact" w:hSpace="180" w:wrap="around" w:vAnchor="page" w:hAnchor="page" w:x="401" w:y="1141" w:anchorLock="1"/>
      <w:spacing w:after="200"/>
    </w:pPr>
    <w:r>
      <w:t>Research Briefing | UK</w:t>
    </w:r>
  </w:p>
  <w:p w14:paraId="61E44BF3" w14:textId="15D496A0" w:rsidR="00877CF1" w:rsidRDefault="00471207" w:rsidP="00877CF1">
    <w:pPr>
      <w:pStyle w:val="Headline"/>
      <w:framePr w:w="11339" w:h="1474" w:hRule="exact" w:hSpace="180" w:wrap="around" w:vAnchor="page" w:hAnchor="page" w:x="401" w:y="1141" w:anchorLock="1"/>
      <w:spacing w:line="200" w:lineRule="auto"/>
    </w:pPr>
    <w:r>
      <w:t xml:space="preserve">Four reasons why </w:t>
    </w:r>
    <w:r w:rsidR="009E183D">
      <w:t>inflation will be well above target in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CF1"/>
    <w:rsid w:val="00000A68"/>
    <w:rsid w:val="00002014"/>
    <w:rsid w:val="0000279F"/>
    <w:rsid w:val="00006054"/>
    <w:rsid w:val="0001026B"/>
    <w:rsid w:val="00010E43"/>
    <w:rsid w:val="00011AAB"/>
    <w:rsid w:val="00012A6B"/>
    <w:rsid w:val="00014634"/>
    <w:rsid w:val="000217A5"/>
    <w:rsid w:val="000219E8"/>
    <w:rsid w:val="00021D05"/>
    <w:rsid w:val="000220A0"/>
    <w:rsid w:val="00022854"/>
    <w:rsid w:val="000237E6"/>
    <w:rsid w:val="00023865"/>
    <w:rsid w:val="00023AC2"/>
    <w:rsid w:val="000242FA"/>
    <w:rsid w:val="00025CE2"/>
    <w:rsid w:val="0002694E"/>
    <w:rsid w:val="000326BE"/>
    <w:rsid w:val="000355ED"/>
    <w:rsid w:val="0004127A"/>
    <w:rsid w:val="00041C16"/>
    <w:rsid w:val="000424F5"/>
    <w:rsid w:val="00044210"/>
    <w:rsid w:val="00045708"/>
    <w:rsid w:val="00046A84"/>
    <w:rsid w:val="000532C6"/>
    <w:rsid w:val="0005405B"/>
    <w:rsid w:val="00054423"/>
    <w:rsid w:val="000554E4"/>
    <w:rsid w:val="00056A1D"/>
    <w:rsid w:val="00056E5E"/>
    <w:rsid w:val="00060F18"/>
    <w:rsid w:val="0006292E"/>
    <w:rsid w:val="00062DEA"/>
    <w:rsid w:val="0006541D"/>
    <w:rsid w:val="000665D1"/>
    <w:rsid w:val="00066658"/>
    <w:rsid w:val="000711F5"/>
    <w:rsid w:val="000721C4"/>
    <w:rsid w:val="0007335F"/>
    <w:rsid w:val="00074336"/>
    <w:rsid w:val="0007625E"/>
    <w:rsid w:val="00076824"/>
    <w:rsid w:val="00077F5E"/>
    <w:rsid w:val="000805C5"/>
    <w:rsid w:val="0008074F"/>
    <w:rsid w:val="00082961"/>
    <w:rsid w:val="000870D4"/>
    <w:rsid w:val="000879AE"/>
    <w:rsid w:val="0009335C"/>
    <w:rsid w:val="00093AE3"/>
    <w:rsid w:val="000948B4"/>
    <w:rsid w:val="00094ACA"/>
    <w:rsid w:val="00096AF2"/>
    <w:rsid w:val="00097B46"/>
    <w:rsid w:val="000A4C3F"/>
    <w:rsid w:val="000A5A78"/>
    <w:rsid w:val="000A6C27"/>
    <w:rsid w:val="000A6C62"/>
    <w:rsid w:val="000B2BC6"/>
    <w:rsid w:val="000B35B4"/>
    <w:rsid w:val="000B58A0"/>
    <w:rsid w:val="000B5B05"/>
    <w:rsid w:val="000B6B98"/>
    <w:rsid w:val="000B7178"/>
    <w:rsid w:val="000C02D7"/>
    <w:rsid w:val="000C0333"/>
    <w:rsid w:val="000C22F5"/>
    <w:rsid w:val="000C305C"/>
    <w:rsid w:val="000C3EB9"/>
    <w:rsid w:val="000C5213"/>
    <w:rsid w:val="000C574C"/>
    <w:rsid w:val="000D1D4D"/>
    <w:rsid w:val="000D3921"/>
    <w:rsid w:val="000D6D95"/>
    <w:rsid w:val="000E4068"/>
    <w:rsid w:val="000E4474"/>
    <w:rsid w:val="000E7589"/>
    <w:rsid w:val="000F1499"/>
    <w:rsid w:val="000F631E"/>
    <w:rsid w:val="000F7460"/>
    <w:rsid w:val="001016BF"/>
    <w:rsid w:val="001038D6"/>
    <w:rsid w:val="0010396B"/>
    <w:rsid w:val="001053E2"/>
    <w:rsid w:val="001063A0"/>
    <w:rsid w:val="00106416"/>
    <w:rsid w:val="00106617"/>
    <w:rsid w:val="00107BA7"/>
    <w:rsid w:val="0011376C"/>
    <w:rsid w:val="001141CF"/>
    <w:rsid w:val="00114996"/>
    <w:rsid w:val="00116841"/>
    <w:rsid w:val="00122A2A"/>
    <w:rsid w:val="00124B06"/>
    <w:rsid w:val="00125A9B"/>
    <w:rsid w:val="00125FF2"/>
    <w:rsid w:val="001260A2"/>
    <w:rsid w:val="00126339"/>
    <w:rsid w:val="00134055"/>
    <w:rsid w:val="00134538"/>
    <w:rsid w:val="00135E42"/>
    <w:rsid w:val="00136431"/>
    <w:rsid w:val="001373D2"/>
    <w:rsid w:val="00137EFA"/>
    <w:rsid w:val="00141AAF"/>
    <w:rsid w:val="00141E6F"/>
    <w:rsid w:val="00142F6E"/>
    <w:rsid w:val="0014394F"/>
    <w:rsid w:val="00144A6E"/>
    <w:rsid w:val="00145FD8"/>
    <w:rsid w:val="00147DF7"/>
    <w:rsid w:val="0015105E"/>
    <w:rsid w:val="001516E1"/>
    <w:rsid w:val="0015235D"/>
    <w:rsid w:val="001530A9"/>
    <w:rsid w:val="001546DF"/>
    <w:rsid w:val="001548DD"/>
    <w:rsid w:val="00156E58"/>
    <w:rsid w:val="001573EE"/>
    <w:rsid w:val="00157469"/>
    <w:rsid w:val="00161431"/>
    <w:rsid w:val="00162EC3"/>
    <w:rsid w:val="001658A2"/>
    <w:rsid w:val="001716E1"/>
    <w:rsid w:val="001737D8"/>
    <w:rsid w:val="001756A3"/>
    <w:rsid w:val="0017621A"/>
    <w:rsid w:val="00177034"/>
    <w:rsid w:val="00177287"/>
    <w:rsid w:val="00177953"/>
    <w:rsid w:val="00177ADA"/>
    <w:rsid w:val="00181037"/>
    <w:rsid w:val="00182019"/>
    <w:rsid w:val="00185A24"/>
    <w:rsid w:val="001864CE"/>
    <w:rsid w:val="00190D2B"/>
    <w:rsid w:val="00191368"/>
    <w:rsid w:val="0019213D"/>
    <w:rsid w:val="00192918"/>
    <w:rsid w:val="00192BE4"/>
    <w:rsid w:val="001966DB"/>
    <w:rsid w:val="00196F74"/>
    <w:rsid w:val="001A0D8D"/>
    <w:rsid w:val="001A7ECC"/>
    <w:rsid w:val="001B1333"/>
    <w:rsid w:val="001B5B82"/>
    <w:rsid w:val="001B6CCC"/>
    <w:rsid w:val="001C2A38"/>
    <w:rsid w:val="001C46C4"/>
    <w:rsid w:val="001C47B9"/>
    <w:rsid w:val="001C562C"/>
    <w:rsid w:val="001C5F32"/>
    <w:rsid w:val="001C62F8"/>
    <w:rsid w:val="001D1AD8"/>
    <w:rsid w:val="001D1FBF"/>
    <w:rsid w:val="001D2629"/>
    <w:rsid w:val="001D4949"/>
    <w:rsid w:val="001D59D7"/>
    <w:rsid w:val="001D7B4B"/>
    <w:rsid w:val="001E038C"/>
    <w:rsid w:val="001E290E"/>
    <w:rsid w:val="001E31E1"/>
    <w:rsid w:val="001E3340"/>
    <w:rsid w:val="001E51E5"/>
    <w:rsid w:val="001F2884"/>
    <w:rsid w:val="001F3714"/>
    <w:rsid w:val="001F6AF8"/>
    <w:rsid w:val="001F79F7"/>
    <w:rsid w:val="00202279"/>
    <w:rsid w:val="00204EF4"/>
    <w:rsid w:val="002116BA"/>
    <w:rsid w:val="00211DEA"/>
    <w:rsid w:val="00213274"/>
    <w:rsid w:val="00215F20"/>
    <w:rsid w:val="002225FE"/>
    <w:rsid w:val="002226A7"/>
    <w:rsid w:val="002228C8"/>
    <w:rsid w:val="00222E32"/>
    <w:rsid w:val="00232C55"/>
    <w:rsid w:val="00235C14"/>
    <w:rsid w:val="00235DBA"/>
    <w:rsid w:val="00236DF4"/>
    <w:rsid w:val="00237C48"/>
    <w:rsid w:val="0024019C"/>
    <w:rsid w:val="00241898"/>
    <w:rsid w:val="00244BDD"/>
    <w:rsid w:val="00244EEF"/>
    <w:rsid w:val="002455AC"/>
    <w:rsid w:val="00245838"/>
    <w:rsid w:val="0024757A"/>
    <w:rsid w:val="00250A70"/>
    <w:rsid w:val="00251F89"/>
    <w:rsid w:val="00255CC2"/>
    <w:rsid w:val="00255EE1"/>
    <w:rsid w:val="00256069"/>
    <w:rsid w:val="002609C0"/>
    <w:rsid w:val="00261F4A"/>
    <w:rsid w:val="0026256A"/>
    <w:rsid w:val="0026789E"/>
    <w:rsid w:val="00267DE8"/>
    <w:rsid w:val="0027449E"/>
    <w:rsid w:val="002748D5"/>
    <w:rsid w:val="00275398"/>
    <w:rsid w:val="00275A4D"/>
    <w:rsid w:val="00276B13"/>
    <w:rsid w:val="002771C7"/>
    <w:rsid w:val="00277496"/>
    <w:rsid w:val="0028556B"/>
    <w:rsid w:val="00285AFF"/>
    <w:rsid w:val="00287BA5"/>
    <w:rsid w:val="0029425A"/>
    <w:rsid w:val="00294666"/>
    <w:rsid w:val="00294C8D"/>
    <w:rsid w:val="00295448"/>
    <w:rsid w:val="00296B30"/>
    <w:rsid w:val="00297419"/>
    <w:rsid w:val="00297561"/>
    <w:rsid w:val="002A055A"/>
    <w:rsid w:val="002A09B5"/>
    <w:rsid w:val="002A0EFF"/>
    <w:rsid w:val="002A28A9"/>
    <w:rsid w:val="002A36DB"/>
    <w:rsid w:val="002A4E20"/>
    <w:rsid w:val="002A52C1"/>
    <w:rsid w:val="002A7A6A"/>
    <w:rsid w:val="002B1ABE"/>
    <w:rsid w:val="002B749D"/>
    <w:rsid w:val="002B7735"/>
    <w:rsid w:val="002C1059"/>
    <w:rsid w:val="002C38EF"/>
    <w:rsid w:val="002C5754"/>
    <w:rsid w:val="002C7AE4"/>
    <w:rsid w:val="002C7EFD"/>
    <w:rsid w:val="002D008C"/>
    <w:rsid w:val="002D02F9"/>
    <w:rsid w:val="002D2828"/>
    <w:rsid w:val="002D480E"/>
    <w:rsid w:val="002D55F4"/>
    <w:rsid w:val="002D5689"/>
    <w:rsid w:val="002D57E6"/>
    <w:rsid w:val="002E3F45"/>
    <w:rsid w:val="002E6BE5"/>
    <w:rsid w:val="002E7006"/>
    <w:rsid w:val="002F11F8"/>
    <w:rsid w:val="002F13AD"/>
    <w:rsid w:val="002F210B"/>
    <w:rsid w:val="002F4366"/>
    <w:rsid w:val="002F4D12"/>
    <w:rsid w:val="002F4E54"/>
    <w:rsid w:val="002F5D8F"/>
    <w:rsid w:val="002F63A2"/>
    <w:rsid w:val="002F6A19"/>
    <w:rsid w:val="0030254F"/>
    <w:rsid w:val="00304FB4"/>
    <w:rsid w:val="00305ADA"/>
    <w:rsid w:val="00306981"/>
    <w:rsid w:val="00307013"/>
    <w:rsid w:val="00316CD9"/>
    <w:rsid w:val="00316D1D"/>
    <w:rsid w:val="00320CB9"/>
    <w:rsid w:val="003236E5"/>
    <w:rsid w:val="003246BA"/>
    <w:rsid w:val="00330589"/>
    <w:rsid w:val="00331713"/>
    <w:rsid w:val="003326CB"/>
    <w:rsid w:val="00333E42"/>
    <w:rsid w:val="003340D9"/>
    <w:rsid w:val="00337867"/>
    <w:rsid w:val="00337BE4"/>
    <w:rsid w:val="003403C1"/>
    <w:rsid w:val="00340BDD"/>
    <w:rsid w:val="00340DA1"/>
    <w:rsid w:val="00341828"/>
    <w:rsid w:val="0034238F"/>
    <w:rsid w:val="0034500A"/>
    <w:rsid w:val="003463D0"/>
    <w:rsid w:val="00350478"/>
    <w:rsid w:val="0035147F"/>
    <w:rsid w:val="003515AC"/>
    <w:rsid w:val="003524FE"/>
    <w:rsid w:val="00353C2E"/>
    <w:rsid w:val="00354186"/>
    <w:rsid w:val="003546B0"/>
    <w:rsid w:val="00355F75"/>
    <w:rsid w:val="003602A5"/>
    <w:rsid w:val="00361152"/>
    <w:rsid w:val="0036186F"/>
    <w:rsid w:val="003648F5"/>
    <w:rsid w:val="00364AD6"/>
    <w:rsid w:val="00364EB9"/>
    <w:rsid w:val="00365454"/>
    <w:rsid w:val="00365EA8"/>
    <w:rsid w:val="0036779C"/>
    <w:rsid w:val="00370042"/>
    <w:rsid w:val="00370383"/>
    <w:rsid w:val="00371325"/>
    <w:rsid w:val="003732B5"/>
    <w:rsid w:val="00374E9A"/>
    <w:rsid w:val="00384188"/>
    <w:rsid w:val="0038499D"/>
    <w:rsid w:val="00386AEC"/>
    <w:rsid w:val="00392D8A"/>
    <w:rsid w:val="00393671"/>
    <w:rsid w:val="00395A18"/>
    <w:rsid w:val="003963A2"/>
    <w:rsid w:val="003A057B"/>
    <w:rsid w:val="003A0D80"/>
    <w:rsid w:val="003A21CE"/>
    <w:rsid w:val="003A37D6"/>
    <w:rsid w:val="003A5E74"/>
    <w:rsid w:val="003A6BEB"/>
    <w:rsid w:val="003B3ED6"/>
    <w:rsid w:val="003B516B"/>
    <w:rsid w:val="003B66D4"/>
    <w:rsid w:val="003B7686"/>
    <w:rsid w:val="003C03C5"/>
    <w:rsid w:val="003C1129"/>
    <w:rsid w:val="003C1B57"/>
    <w:rsid w:val="003C1CD5"/>
    <w:rsid w:val="003C1FFD"/>
    <w:rsid w:val="003C32B9"/>
    <w:rsid w:val="003D26EA"/>
    <w:rsid w:val="003D3517"/>
    <w:rsid w:val="003D574B"/>
    <w:rsid w:val="003D58FC"/>
    <w:rsid w:val="003D6938"/>
    <w:rsid w:val="003D6990"/>
    <w:rsid w:val="003D6E75"/>
    <w:rsid w:val="003E32C7"/>
    <w:rsid w:val="003E3CBD"/>
    <w:rsid w:val="003E47EB"/>
    <w:rsid w:val="003E5702"/>
    <w:rsid w:val="003E5ED4"/>
    <w:rsid w:val="003F0C02"/>
    <w:rsid w:val="003F22AA"/>
    <w:rsid w:val="003F2E1C"/>
    <w:rsid w:val="003F2F0E"/>
    <w:rsid w:val="003F3420"/>
    <w:rsid w:val="00404229"/>
    <w:rsid w:val="00406829"/>
    <w:rsid w:val="00407840"/>
    <w:rsid w:val="00410D7A"/>
    <w:rsid w:val="004122E8"/>
    <w:rsid w:val="004128A7"/>
    <w:rsid w:val="00413EE4"/>
    <w:rsid w:val="00414FC8"/>
    <w:rsid w:val="00415BF0"/>
    <w:rsid w:val="00415DB1"/>
    <w:rsid w:val="00416597"/>
    <w:rsid w:val="004177F5"/>
    <w:rsid w:val="00417857"/>
    <w:rsid w:val="00417F5B"/>
    <w:rsid w:val="00421758"/>
    <w:rsid w:val="00421E17"/>
    <w:rsid w:val="00421F99"/>
    <w:rsid w:val="00424DE2"/>
    <w:rsid w:val="00425AE9"/>
    <w:rsid w:val="00425B42"/>
    <w:rsid w:val="004268FB"/>
    <w:rsid w:val="00427515"/>
    <w:rsid w:val="00430221"/>
    <w:rsid w:val="0043151C"/>
    <w:rsid w:val="0044164E"/>
    <w:rsid w:val="004447BF"/>
    <w:rsid w:val="00444D4E"/>
    <w:rsid w:val="00453707"/>
    <w:rsid w:val="00453713"/>
    <w:rsid w:val="00453D7C"/>
    <w:rsid w:val="00461A2F"/>
    <w:rsid w:val="00464769"/>
    <w:rsid w:val="00466F09"/>
    <w:rsid w:val="00467E2F"/>
    <w:rsid w:val="00471207"/>
    <w:rsid w:val="00471634"/>
    <w:rsid w:val="004721C1"/>
    <w:rsid w:val="00473ECD"/>
    <w:rsid w:val="00474159"/>
    <w:rsid w:val="0047424A"/>
    <w:rsid w:val="00474B09"/>
    <w:rsid w:val="004758C9"/>
    <w:rsid w:val="004765E9"/>
    <w:rsid w:val="004775D0"/>
    <w:rsid w:val="004778E1"/>
    <w:rsid w:val="0048152D"/>
    <w:rsid w:val="00482526"/>
    <w:rsid w:val="00482590"/>
    <w:rsid w:val="0048456C"/>
    <w:rsid w:val="004848CF"/>
    <w:rsid w:val="00485A45"/>
    <w:rsid w:val="00485EDC"/>
    <w:rsid w:val="00486484"/>
    <w:rsid w:val="004902C7"/>
    <w:rsid w:val="00491216"/>
    <w:rsid w:val="00491732"/>
    <w:rsid w:val="00492279"/>
    <w:rsid w:val="00492B11"/>
    <w:rsid w:val="00492E7D"/>
    <w:rsid w:val="0049349C"/>
    <w:rsid w:val="0049366C"/>
    <w:rsid w:val="00495C95"/>
    <w:rsid w:val="00495D8C"/>
    <w:rsid w:val="004972A6"/>
    <w:rsid w:val="00497653"/>
    <w:rsid w:val="004A0B0E"/>
    <w:rsid w:val="004A1828"/>
    <w:rsid w:val="004A6949"/>
    <w:rsid w:val="004A7CC4"/>
    <w:rsid w:val="004B006D"/>
    <w:rsid w:val="004B302D"/>
    <w:rsid w:val="004B45B9"/>
    <w:rsid w:val="004B5A0C"/>
    <w:rsid w:val="004B71AD"/>
    <w:rsid w:val="004B7D50"/>
    <w:rsid w:val="004C0E04"/>
    <w:rsid w:val="004C2686"/>
    <w:rsid w:val="004C66FA"/>
    <w:rsid w:val="004D0E67"/>
    <w:rsid w:val="004D2031"/>
    <w:rsid w:val="004D25E0"/>
    <w:rsid w:val="004D302A"/>
    <w:rsid w:val="004D41D3"/>
    <w:rsid w:val="004D54DC"/>
    <w:rsid w:val="004E0021"/>
    <w:rsid w:val="004E1EC1"/>
    <w:rsid w:val="004E2344"/>
    <w:rsid w:val="004E4E60"/>
    <w:rsid w:val="004E579A"/>
    <w:rsid w:val="004F3DA5"/>
    <w:rsid w:val="004F45BE"/>
    <w:rsid w:val="004F766F"/>
    <w:rsid w:val="0050015F"/>
    <w:rsid w:val="00500D6C"/>
    <w:rsid w:val="00501C78"/>
    <w:rsid w:val="005021D3"/>
    <w:rsid w:val="005027B4"/>
    <w:rsid w:val="005044A9"/>
    <w:rsid w:val="005051A2"/>
    <w:rsid w:val="00505E92"/>
    <w:rsid w:val="00507730"/>
    <w:rsid w:val="00507FF2"/>
    <w:rsid w:val="0051155F"/>
    <w:rsid w:val="00511895"/>
    <w:rsid w:val="0051478D"/>
    <w:rsid w:val="00516229"/>
    <w:rsid w:val="00521051"/>
    <w:rsid w:val="00521820"/>
    <w:rsid w:val="00522D32"/>
    <w:rsid w:val="005237EC"/>
    <w:rsid w:val="00524C4E"/>
    <w:rsid w:val="00524D67"/>
    <w:rsid w:val="00525554"/>
    <w:rsid w:val="00527F64"/>
    <w:rsid w:val="005303A5"/>
    <w:rsid w:val="005306E9"/>
    <w:rsid w:val="005309A9"/>
    <w:rsid w:val="00531A52"/>
    <w:rsid w:val="0053598F"/>
    <w:rsid w:val="00540D2D"/>
    <w:rsid w:val="00541A43"/>
    <w:rsid w:val="0054335C"/>
    <w:rsid w:val="0054640F"/>
    <w:rsid w:val="00547563"/>
    <w:rsid w:val="00554B3D"/>
    <w:rsid w:val="00556DD1"/>
    <w:rsid w:val="005576E9"/>
    <w:rsid w:val="00557E17"/>
    <w:rsid w:val="005608DE"/>
    <w:rsid w:val="005635F0"/>
    <w:rsid w:val="00565669"/>
    <w:rsid w:val="005662DF"/>
    <w:rsid w:val="005676E8"/>
    <w:rsid w:val="0056787E"/>
    <w:rsid w:val="005723C1"/>
    <w:rsid w:val="00573E7C"/>
    <w:rsid w:val="005747BD"/>
    <w:rsid w:val="005759CF"/>
    <w:rsid w:val="00577F67"/>
    <w:rsid w:val="00583A20"/>
    <w:rsid w:val="005862A9"/>
    <w:rsid w:val="0058668F"/>
    <w:rsid w:val="00587639"/>
    <w:rsid w:val="0059123B"/>
    <w:rsid w:val="00591360"/>
    <w:rsid w:val="00592085"/>
    <w:rsid w:val="0059344C"/>
    <w:rsid w:val="00597BA1"/>
    <w:rsid w:val="005A2255"/>
    <w:rsid w:val="005A36B9"/>
    <w:rsid w:val="005A37A3"/>
    <w:rsid w:val="005A44AB"/>
    <w:rsid w:val="005A5067"/>
    <w:rsid w:val="005A50C4"/>
    <w:rsid w:val="005A59D2"/>
    <w:rsid w:val="005A6632"/>
    <w:rsid w:val="005A6DDC"/>
    <w:rsid w:val="005A75D9"/>
    <w:rsid w:val="005A7CB9"/>
    <w:rsid w:val="005B0876"/>
    <w:rsid w:val="005B0A6A"/>
    <w:rsid w:val="005B10A3"/>
    <w:rsid w:val="005B2127"/>
    <w:rsid w:val="005B24D2"/>
    <w:rsid w:val="005B3377"/>
    <w:rsid w:val="005B35B3"/>
    <w:rsid w:val="005B371E"/>
    <w:rsid w:val="005B386E"/>
    <w:rsid w:val="005B62ED"/>
    <w:rsid w:val="005C0982"/>
    <w:rsid w:val="005C12AC"/>
    <w:rsid w:val="005C38E5"/>
    <w:rsid w:val="005C7012"/>
    <w:rsid w:val="005D3A48"/>
    <w:rsid w:val="005D4290"/>
    <w:rsid w:val="005D48E4"/>
    <w:rsid w:val="005D64D4"/>
    <w:rsid w:val="005E019B"/>
    <w:rsid w:val="005E0AC9"/>
    <w:rsid w:val="005E1567"/>
    <w:rsid w:val="005E5030"/>
    <w:rsid w:val="005E5726"/>
    <w:rsid w:val="005E58A3"/>
    <w:rsid w:val="005F0E05"/>
    <w:rsid w:val="005F141C"/>
    <w:rsid w:val="005F2721"/>
    <w:rsid w:val="005F27B9"/>
    <w:rsid w:val="00600B1D"/>
    <w:rsid w:val="00601B16"/>
    <w:rsid w:val="00604B30"/>
    <w:rsid w:val="00604D69"/>
    <w:rsid w:val="00614659"/>
    <w:rsid w:val="00616A27"/>
    <w:rsid w:val="00622513"/>
    <w:rsid w:val="00625529"/>
    <w:rsid w:val="00627B7F"/>
    <w:rsid w:val="006306CE"/>
    <w:rsid w:val="00631432"/>
    <w:rsid w:val="0063175E"/>
    <w:rsid w:val="00631C36"/>
    <w:rsid w:val="00634BA9"/>
    <w:rsid w:val="006367F2"/>
    <w:rsid w:val="0063771A"/>
    <w:rsid w:val="00640364"/>
    <w:rsid w:val="00640531"/>
    <w:rsid w:val="006405D2"/>
    <w:rsid w:val="00640BA4"/>
    <w:rsid w:val="00640D57"/>
    <w:rsid w:val="00643F1D"/>
    <w:rsid w:val="006444A8"/>
    <w:rsid w:val="00646F0D"/>
    <w:rsid w:val="00647013"/>
    <w:rsid w:val="0065043B"/>
    <w:rsid w:val="00652074"/>
    <w:rsid w:val="00652B06"/>
    <w:rsid w:val="00652B5A"/>
    <w:rsid w:val="0065307B"/>
    <w:rsid w:val="006601BD"/>
    <w:rsid w:val="00662141"/>
    <w:rsid w:val="0066274D"/>
    <w:rsid w:val="0066340B"/>
    <w:rsid w:val="00663FAB"/>
    <w:rsid w:val="00665131"/>
    <w:rsid w:val="00666A76"/>
    <w:rsid w:val="00667AF0"/>
    <w:rsid w:val="00667D1B"/>
    <w:rsid w:val="00667E86"/>
    <w:rsid w:val="00667EC8"/>
    <w:rsid w:val="00673AFD"/>
    <w:rsid w:val="00673B00"/>
    <w:rsid w:val="00673DEE"/>
    <w:rsid w:val="00674016"/>
    <w:rsid w:val="006752D0"/>
    <w:rsid w:val="00676B9B"/>
    <w:rsid w:val="006775FD"/>
    <w:rsid w:val="00677C7F"/>
    <w:rsid w:val="00677FB6"/>
    <w:rsid w:val="00681335"/>
    <w:rsid w:val="00683AFF"/>
    <w:rsid w:val="00690154"/>
    <w:rsid w:val="00691596"/>
    <w:rsid w:val="0069392F"/>
    <w:rsid w:val="00694347"/>
    <w:rsid w:val="00694B32"/>
    <w:rsid w:val="006A0155"/>
    <w:rsid w:val="006A026B"/>
    <w:rsid w:val="006A37A6"/>
    <w:rsid w:val="006A4C3B"/>
    <w:rsid w:val="006A5DFD"/>
    <w:rsid w:val="006A6A25"/>
    <w:rsid w:val="006A6E9C"/>
    <w:rsid w:val="006B0F92"/>
    <w:rsid w:val="006B268A"/>
    <w:rsid w:val="006B2CD8"/>
    <w:rsid w:val="006B48F1"/>
    <w:rsid w:val="006B5269"/>
    <w:rsid w:val="006B5E92"/>
    <w:rsid w:val="006B63EC"/>
    <w:rsid w:val="006C0F7C"/>
    <w:rsid w:val="006C2679"/>
    <w:rsid w:val="006C576E"/>
    <w:rsid w:val="006C6BB8"/>
    <w:rsid w:val="006C6F95"/>
    <w:rsid w:val="006C70EA"/>
    <w:rsid w:val="006C7F20"/>
    <w:rsid w:val="006D443F"/>
    <w:rsid w:val="006D71E5"/>
    <w:rsid w:val="006E0C4F"/>
    <w:rsid w:val="006E0D9B"/>
    <w:rsid w:val="006E13FC"/>
    <w:rsid w:val="006E1D03"/>
    <w:rsid w:val="006E3E1F"/>
    <w:rsid w:val="006E6D93"/>
    <w:rsid w:val="006F0658"/>
    <w:rsid w:val="006F1AE6"/>
    <w:rsid w:val="006F3CCC"/>
    <w:rsid w:val="006F3F13"/>
    <w:rsid w:val="006F5C59"/>
    <w:rsid w:val="006F66E6"/>
    <w:rsid w:val="006F71FF"/>
    <w:rsid w:val="006F7B06"/>
    <w:rsid w:val="00700D0B"/>
    <w:rsid w:val="00701375"/>
    <w:rsid w:val="00701F83"/>
    <w:rsid w:val="00704CC6"/>
    <w:rsid w:val="00712D04"/>
    <w:rsid w:val="00712F16"/>
    <w:rsid w:val="00714101"/>
    <w:rsid w:val="0071520C"/>
    <w:rsid w:val="00715C31"/>
    <w:rsid w:val="007171A0"/>
    <w:rsid w:val="0071776C"/>
    <w:rsid w:val="00720A70"/>
    <w:rsid w:val="00720AD9"/>
    <w:rsid w:val="00721579"/>
    <w:rsid w:val="007216D2"/>
    <w:rsid w:val="0073066D"/>
    <w:rsid w:val="00730FED"/>
    <w:rsid w:val="00735534"/>
    <w:rsid w:val="007357A9"/>
    <w:rsid w:val="007409C3"/>
    <w:rsid w:val="00741E82"/>
    <w:rsid w:val="00742414"/>
    <w:rsid w:val="007436F9"/>
    <w:rsid w:val="00743C20"/>
    <w:rsid w:val="00743E2B"/>
    <w:rsid w:val="00744B69"/>
    <w:rsid w:val="00745317"/>
    <w:rsid w:val="007455D7"/>
    <w:rsid w:val="00745CE6"/>
    <w:rsid w:val="00745FEF"/>
    <w:rsid w:val="007463A1"/>
    <w:rsid w:val="007477EC"/>
    <w:rsid w:val="00754EF3"/>
    <w:rsid w:val="007560CD"/>
    <w:rsid w:val="00757206"/>
    <w:rsid w:val="00760928"/>
    <w:rsid w:val="007621A2"/>
    <w:rsid w:val="00764126"/>
    <w:rsid w:val="007657D3"/>
    <w:rsid w:val="0076585D"/>
    <w:rsid w:val="007658DD"/>
    <w:rsid w:val="00765BD5"/>
    <w:rsid w:val="00765DB9"/>
    <w:rsid w:val="00770E63"/>
    <w:rsid w:val="007710C5"/>
    <w:rsid w:val="00772AF9"/>
    <w:rsid w:val="0077320A"/>
    <w:rsid w:val="0077785D"/>
    <w:rsid w:val="00780AAE"/>
    <w:rsid w:val="00781C9C"/>
    <w:rsid w:val="0078222C"/>
    <w:rsid w:val="00784A21"/>
    <w:rsid w:val="00784F56"/>
    <w:rsid w:val="007858A5"/>
    <w:rsid w:val="0079030A"/>
    <w:rsid w:val="00792747"/>
    <w:rsid w:val="00792B31"/>
    <w:rsid w:val="00793CC0"/>
    <w:rsid w:val="0079579B"/>
    <w:rsid w:val="007975C7"/>
    <w:rsid w:val="007A2CD5"/>
    <w:rsid w:val="007A4D7B"/>
    <w:rsid w:val="007A6C3B"/>
    <w:rsid w:val="007A7979"/>
    <w:rsid w:val="007B1CAA"/>
    <w:rsid w:val="007B1CC1"/>
    <w:rsid w:val="007B297A"/>
    <w:rsid w:val="007B3F65"/>
    <w:rsid w:val="007B4DF2"/>
    <w:rsid w:val="007B6617"/>
    <w:rsid w:val="007C1C6C"/>
    <w:rsid w:val="007C3B3E"/>
    <w:rsid w:val="007C5E80"/>
    <w:rsid w:val="007D0A17"/>
    <w:rsid w:val="007D22F9"/>
    <w:rsid w:val="007D5BAE"/>
    <w:rsid w:val="007D5CCB"/>
    <w:rsid w:val="007D6C4D"/>
    <w:rsid w:val="007D7BD3"/>
    <w:rsid w:val="007E0CFD"/>
    <w:rsid w:val="007E1220"/>
    <w:rsid w:val="007E2DDA"/>
    <w:rsid w:val="007E47EF"/>
    <w:rsid w:val="007E4E12"/>
    <w:rsid w:val="007F0615"/>
    <w:rsid w:val="007F497E"/>
    <w:rsid w:val="007F4E83"/>
    <w:rsid w:val="007F4E94"/>
    <w:rsid w:val="007F63B0"/>
    <w:rsid w:val="007F706E"/>
    <w:rsid w:val="007F71CD"/>
    <w:rsid w:val="007F75C0"/>
    <w:rsid w:val="008003F9"/>
    <w:rsid w:val="00801F90"/>
    <w:rsid w:val="00804BAA"/>
    <w:rsid w:val="00806A9E"/>
    <w:rsid w:val="008075B5"/>
    <w:rsid w:val="00810903"/>
    <w:rsid w:val="00812F99"/>
    <w:rsid w:val="00816210"/>
    <w:rsid w:val="00816F47"/>
    <w:rsid w:val="00817C87"/>
    <w:rsid w:val="00817CDB"/>
    <w:rsid w:val="00820182"/>
    <w:rsid w:val="00820D1C"/>
    <w:rsid w:val="00820F5E"/>
    <w:rsid w:val="00821BFF"/>
    <w:rsid w:val="008233A5"/>
    <w:rsid w:val="008233AB"/>
    <w:rsid w:val="008306E7"/>
    <w:rsid w:val="00830CB4"/>
    <w:rsid w:val="0083141D"/>
    <w:rsid w:val="0083173F"/>
    <w:rsid w:val="00831CA9"/>
    <w:rsid w:val="00833FC4"/>
    <w:rsid w:val="0083463F"/>
    <w:rsid w:val="00835955"/>
    <w:rsid w:val="0083744A"/>
    <w:rsid w:val="00842198"/>
    <w:rsid w:val="008441F7"/>
    <w:rsid w:val="0084474A"/>
    <w:rsid w:val="008452DC"/>
    <w:rsid w:val="008460B9"/>
    <w:rsid w:val="00846D01"/>
    <w:rsid w:val="00852EEC"/>
    <w:rsid w:val="00852F55"/>
    <w:rsid w:val="00853AD7"/>
    <w:rsid w:val="008543B4"/>
    <w:rsid w:val="00854559"/>
    <w:rsid w:val="008565EC"/>
    <w:rsid w:val="00856698"/>
    <w:rsid w:val="00856D3C"/>
    <w:rsid w:val="008616F3"/>
    <w:rsid w:val="008620DC"/>
    <w:rsid w:val="008626D1"/>
    <w:rsid w:val="00864298"/>
    <w:rsid w:val="00866F5D"/>
    <w:rsid w:val="0086718A"/>
    <w:rsid w:val="008677F0"/>
    <w:rsid w:val="00874DA9"/>
    <w:rsid w:val="008754A1"/>
    <w:rsid w:val="00876354"/>
    <w:rsid w:val="00877CF1"/>
    <w:rsid w:val="0088052E"/>
    <w:rsid w:val="00880D77"/>
    <w:rsid w:val="008866D7"/>
    <w:rsid w:val="00887278"/>
    <w:rsid w:val="00891810"/>
    <w:rsid w:val="008924BA"/>
    <w:rsid w:val="00893A06"/>
    <w:rsid w:val="00895004"/>
    <w:rsid w:val="00895426"/>
    <w:rsid w:val="008954E6"/>
    <w:rsid w:val="0089642E"/>
    <w:rsid w:val="008A25A9"/>
    <w:rsid w:val="008A3F0A"/>
    <w:rsid w:val="008A3F9F"/>
    <w:rsid w:val="008A75B6"/>
    <w:rsid w:val="008A79D7"/>
    <w:rsid w:val="008B30DC"/>
    <w:rsid w:val="008B68A9"/>
    <w:rsid w:val="008B6E1C"/>
    <w:rsid w:val="008B779A"/>
    <w:rsid w:val="008C18CE"/>
    <w:rsid w:val="008C191D"/>
    <w:rsid w:val="008C2065"/>
    <w:rsid w:val="008D0598"/>
    <w:rsid w:val="008D17A3"/>
    <w:rsid w:val="008D2AC8"/>
    <w:rsid w:val="008D2B56"/>
    <w:rsid w:val="008D3543"/>
    <w:rsid w:val="008D38F9"/>
    <w:rsid w:val="008D7D93"/>
    <w:rsid w:val="008E0B6F"/>
    <w:rsid w:val="008E0E55"/>
    <w:rsid w:val="008E1EA9"/>
    <w:rsid w:val="008E21C1"/>
    <w:rsid w:val="008E3B01"/>
    <w:rsid w:val="008E56AA"/>
    <w:rsid w:val="008E6E45"/>
    <w:rsid w:val="008F1A8B"/>
    <w:rsid w:val="008F1BA7"/>
    <w:rsid w:val="008F23A7"/>
    <w:rsid w:val="008F2757"/>
    <w:rsid w:val="008F34E4"/>
    <w:rsid w:val="008F4F7D"/>
    <w:rsid w:val="008F6187"/>
    <w:rsid w:val="008F676C"/>
    <w:rsid w:val="008F721B"/>
    <w:rsid w:val="009031AA"/>
    <w:rsid w:val="0090321B"/>
    <w:rsid w:val="0090376B"/>
    <w:rsid w:val="009059F3"/>
    <w:rsid w:val="0091056C"/>
    <w:rsid w:val="00910FF0"/>
    <w:rsid w:val="00911E86"/>
    <w:rsid w:val="009127EE"/>
    <w:rsid w:val="00914144"/>
    <w:rsid w:val="00915278"/>
    <w:rsid w:val="00915DFD"/>
    <w:rsid w:val="009211DC"/>
    <w:rsid w:val="00923A06"/>
    <w:rsid w:val="0092667A"/>
    <w:rsid w:val="00926691"/>
    <w:rsid w:val="009270AB"/>
    <w:rsid w:val="009279CC"/>
    <w:rsid w:val="009326C6"/>
    <w:rsid w:val="0093412F"/>
    <w:rsid w:val="0093785A"/>
    <w:rsid w:val="009420AE"/>
    <w:rsid w:val="009433F2"/>
    <w:rsid w:val="0094354E"/>
    <w:rsid w:val="00943797"/>
    <w:rsid w:val="00943E1A"/>
    <w:rsid w:val="009440F9"/>
    <w:rsid w:val="009508FE"/>
    <w:rsid w:val="00951837"/>
    <w:rsid w:val="0095253A"/>
    <w:rsid w:val="009556D1"/>
    <w:rsid w:val="00962D0E"/>
    <w:rsid w:val="00963743"/>
    <w:rsid w:val="009641EF"/>
    <w:rsid w:val="00966FF7"/>
    <w:rsid w:val="00967A34"/>
    <w:rsid w:val="009713BA"/>
    <w:rsid w:val="009718ED"/>
    <w:rsid w:val="0097331A"/>
    <w:rsid w:val="00976996"/>
    <w:rsid w:val="00981248"/>
    <w:rsid w:val="00982278"/>
    <w:rsid w:val="009858C1"/>
    <w:rsid w:val="009924FD"/>
    <w:rsid w:val="00992BEC"/>
    <w:rsid w:val="00992E30"/>
    <w:rsid w:val="00992EAB"/>
    <w:rsid w:val="009936CF"/>
    <w:rsid w:val="009942F8"/>
    <w:rsid w:val="009944F4"/>
    <w:rsid w:val="00994A61"/>
    <w:rsid w:val="00994DFF"/>
    <w:rsid w:val="00994FA7"/>
    <w:rsid w:val="00995849"/>
    <w:rsid w:val="00996A33"/>
    <w:rsid w:val="009972B2"/>
    <w:rsid w:val="009975C1"/>
    <w:rsid w:val="009A0358"/>
    <w:rsid w:val="009A0749"/>
    <w:rsid w:val="009A0CB1"/>
    <w:rsid w:val="009A164C"/>
    <w:rsid w:val="009A4403"/>
    <w:rsid w:val="009A4CFC"/>
    <w:rsid w:val="009A6465"/>
    <w:rsid w:val="009A6543"/>
    <w:rsid w:val="009A676D"/>
    <w:rsid w:val="009B4844"/>
    <w:rsid w:val="009B663B"/>
    <w:rsid w:val="009B6E84"/>
    <w:rsid w:val="009C61B0"/>
    <w:rsid w:val="009C791D"/>
    <w:rsid w:val="009D0CB5"/>
    <w:rsid w:val="009D1378"/>
    <w:rsid w:val="009D1E92"/>
    <w:rsid w:val="009D23F3"/>
    <w:rsid w:val="009D3314"/>
    <w:rsid w:val="009D3DE5"/>
    <w:rsid w:val="009D4765"/>
    <w:rsid w:val="009D594A"/>
    <w:rsid w:val="009D5C1B"/>
    <w:rsid w:val="009D7C64"/>
    <w:rsid w:val="009E183D"/>
    <w:rsid w:val="009E1995"/>
    <w:rsid w:val="009E64BB"/>
    <w:rsid w:val="009F0C43"/>
    <w:rsid w:val="009F2285"/>
    <w:rsid w:val="009F6BC0"/>
    <w:rsid w:val="009F6F67"/>
    <w:rsid w:val="009F7219"/>
    <w:rsid w:val="00A002CB"/>
    <w:rsid w:val="00A00601"/>
    <w:rsid w:val="00A00D44"/>
    <w:rsid w:val="00A01D15"/>
    <w:rsid w:val="00A02CD6"/>
    <w:rsid w:val="00A05591"/>
    <w:rsid w:val="00A06459"/>
    <w:rsid w:val="00A1009F"/>
    <w:rsid w:val="00A121C8"/>
    <w:rsid w:val="00A147E1"/>
    <w:rsid w:val="00A15FE4"/>
    <w:rsid w:val="00A1711C"/>
    <w:rsid w:val="00A21DA3"/>
    <w:rsid w:val="00A2271D"/>
    <w:rsid w:val="00A229B3"/>
    <w:rsid w:val="00A258EC"/>
    <w:rsid w:val="00A27936"/>
    <w:rsid w:val="00A32C35"/>
    <w:rsid w:val="00A338DC"/>
    <w:rsid w:val="00A3428A"/>
    <w:rsid w:val="00A34B68"/>
    <w:rsid w:val="00A355A5"/>
    <w:rsid w:val="00A35869"/>
    <w:rsid w:val="00A35B90"/>
    <w:rsid w:val="00A43381"/>
    <w:rsid w:val="00A44FD7"/>
    <w:rsid w:val="00A4577C"/>
    <w:rsid w:val="00A45CF6"/>
    <w:rsid w:val="00A47E82"/>
    <w:rsid w:val="00A56B96"/>
    <w:rsid w:val="00A57E87"/>
    <w:rsid w:val="00A61637"/>
    <w:rsid w:val="00A62818"/>
    <w:rsid w:val="00A62B08"/>
    <w:rsid w:val="00A64183"/>
    <w:rsid w:val="00A65F9D"/>
    <w:rsid w:val="00A67135"/>
    <w:rsid w:val="00A705BC"/>
    <w:rsid w:val="00A70F41"/>
    <w:rsid w:val="00A72228"/>
    <w:rsid w:val="00A73128"/>
    <w:rsid w:val="00A75BC2"/>
    <w:rsid w:val="00A767FE"/>
    <w:rsid w:val="00A808C0"/>
    <w:rsid w:val="00A80A95"/>
    <w:rsid w:val="00A830E7"/>
    <w:rsid w:val="00A83D92"/>
    <w:rsid w:val="00A83D9F"/>
    <w:rsid w:val="00A852D3"/>
    <w:rsid w:val="00A86BB0"/>
    <w:rsid w:val="00A87BA0"/>
    <w:rsid w:val="00A94194"/>
    <w:rsid w:val="00AA10FE"/>
    <w:rsid w:val="00AA3E33"/>
    <w:rsid w:val="00AA4F93"/>
    <w:rsid w:val="00AA56C0"/>
    <w:rsid w:val="00AB16CA"/>
    <w:rsid w:val="00AB1E73"/>
    <w:rsid w:val="00AB1F5E"/>
    <w:rsid w:val="00AB38A2"/>
    <w:rsid w:val="00AB3CC9"/>
    <w:rsid w:val="00AB4AEE"/>
    <w:rsid w:val="00AB4CB5"/>
    <w:rsid w:val="00AB503A"/>
    <w:rsid w:val="00AB7A1A"/>
    <w:rsid w:val="00AC32DE"/>
    <w:rsid w:val="00AC6973"/>
    <w:rsid w:val="00AC6A72"/>
    <w:rsid w:val="00AD0319"/>
    <w:rsid w:val="00AD0D75"/>
    <w:rsid w:val="00AD1CFB"/>
    <w:rsid w:val="00AD1F50"/>
    <w:rsid w:val="00AD2046"/>
    <w:rsid w:val="00AD3508"/>
    <w:rsid w:val="00AD537E"/>
    <w:rsid w:val="00AE11A4"/>
    <w:rsid w:val="00AE4EC3"/>
    <w:rsid w:val="00AE59DB"/>
    <w:rsid w:val="00AE6151"/>
    <w:rsid w:val="00AF150E"/>
    <w:rsid w:val="00AF247C"/>
    <w:rsid w:val="00AF27FB"/>
    <w:rsid w:val="00AF3DEB"/>
    <w:rsid w:val="00AF3ED0"/>
    <w:rsid w:val="00AF4FA1"/>
    <w:rsid w:val="00AF50C2"/>
    <w:rsid w:val="00AF68A6"/>
    <w:rsid w:val="00B00394"/>
    <w:rsid w:val="00B0049E"/>
    <w:rsid w:val="00B01101"/>
    <w:rsid w:val="00B02018"/>
    <w:rsid w:val="00B0346B"/>
    <w:rsid w:val="00B050F8"/>
    <w:rsid w:val="00B05CBD"/>
    <w:rsid w:val="00B05E9D"/>
    <w:rsid w:val="00B07005"/>
    <w:rsid w:val="00B071DA"/>
    <w:rsid w:val="00B110DA"/>
    <w:rsid w:val="00B12B05"/>
    <w:rsid w:val="00B15238"/>
    <w:rsid w:val="00B15B0D"/>
    <w:rsid w:val="00B16235"/>
    <w:rsid w:val="00B176D4"/>
    <w:rsid w:val="00B17AB2"/>
    <w:rsid w:val="00B22252"/>
    <w:rsid w:val="00B2331B"/>
    <w:rsid w:val="00B259DB"/>
    <w:rsid w:val="00B263C7"/>
    <w:rsid w:val="00B273FF"/>
    <w:rsid w:val="00B27B28"/>
    <w:rsid w:val="00B27BEC"/>
    <w:rsid w:val="00B337CE"/>
    <w:rsid w:val="00B362C5"/>
    <w:rsid w:val="00B36464"/>
    <w:rsid w:val="00B36532"/>
    <w:rsid w:val="00B36C19"/>
    <w:rsid w:val="00B40144"/>
    <w:rsid w:val="00B40495"/>
    <w:rsid w:val="00B4439F"/>
    <w:rsid w:val="00B44583"/>
    <w:rsid w:val="00B44816"/>
    <w:rsid w:val="00B46CDB"/>
    <w:rsid w:val="00B517BA"/>
    <w:rsid w:val="00B51A01"/>
    <w:rsid w:val="00B54542"/>
    <w:rsid w:val="00B620D7"/>
    <w:rsid w:val="00B63D10"/>
    <w:rsid w:val="00B642BF"/>
    <w:rsid w:val="00B679A6"/>
    <w:rsid w:val="00B71CF0"/>
    <w:rsid w:val="00B73885"/>
    <w:rsid w:val="00B80526"/>
    <w:rsid w:val="00B80D45"/>
    <w:rsid w:val="00B82801"/>
    <w:rsid w:val="00B8375D"/>
    <w:rsid w:val="00B8546D"/>
    <w:rsid w:val="00B85E60"/>
    <w:rsid w:val="00B86CAA"/>
    <w:rsid w:val="00B903B4"/>
    <w:rsid w:val="00B912A3"/>
    <w:rsid w:val="00B92ABC"/>
    <w:rsid w:val="00B93856"/>
    <w:rsid w:val="00B944EC"/>
    <w:rsid w:val="00BA0229"/>
    <w:rsid w:val="00BA069D"/>
    <w:rsid w:val="00BA0A50"/>
    <w:rsid w:val="00BA5044"/>
    <w:rsid w:val="00BA5FE7"/>
    <w:rsid w:val="00BB0FEF"/>
    <w:rsid w:val="00BB1EAE"/>
    <w:rsid w:val="00BB36D8"/>
    <w:rsid w:val="00BB38CC"/>
    <w:rsid w:val="00BB69EB"/>
    <w:rsid w:val="00BB6D8C"/>
    <w:rsid w:val="00BB7879"/>
    <w:rsid w:val="00BB7FF6"/>
    <w:rsid w:val="00BC16AE"/>
    <w:rsid w:val="00BC1A05"/>
    <w:rsid w:val="00BC3F92"/>
    <w:rsid w:val="00BC4B29"/>
    <w:rsid w:val="00BC5ADC"/>
    <w:rsid w:val="00BC68FB"/>
    <w:rsid w:val="00BC6C37"/>
    <w:rsid w:val="00BD0822"/>
    <w:rsid w:val="00BD216E"/>
    <w:rsid w:val="00BD2E4A"/>
    <w:rsid w:val="00BD31A9"/>
    <w:rsid w:val="00BD3BB4"/>
    <w:rsid w:val="00BD4F9F"/>
    <w:rsid w:val="00BD5BE3"/>
    <w:rsid w:val="00BD5C23"/>
    <w:rsid w:val="00BD6363"/>
    <w:rsid w:val="00BD682F"/>
    <w:rsid w:val="00BD7B3A"/>
    <w:rsid w:val="00BE1D42"/>
    <w:rsid w:val="00BE2AF0"/>
    <w:rsid w:val="00BE3CC8"/>
    <w:rsid w:val="00BE4CE4"/>
    <w:rsid w:val="00BE4D71"/>
    <w:rsid w:val="00BE59D9"/>
    <w:rsid w:val="00BE7BC5"/>
    <w:rsid w:val="00BE7EEC"/>
    <w:rsid w:val="00BF1BE5"/>
    <w:rsid w:val="00BF2836"/>
    <w:rsid w:val="00BF2D51"/>
    <w:rsid w:val="00BF4785"/>
    <w:rsid w:val="00BF54E6"/>
    <w:rsid w:val="00BF674D"/>
    <w:rsid w:val="00BF79C2"/>
    <w:rsid w:val="00C00ACA"/>
    <w:rsid w:val="00C02745"/>
    <w:rsid w:val="00C04FBA"/>
    <w:rsid w:val="00C05B68"/>
    <w:rsid w:val="00C07163"/>
    <w:rsid w:val="00C07BBD"/>
    <w:rsid w:val="00C12905"/>
    <w:rsid w:val="00C12ABB"/>
    <w:rsid w:val="00C133F1"/>
    <w:rsid w:val="00C16CF3"/>
    <w:rsid w:val="00C17FDE"/>
    <w:rsid w:val="00C20753"/>
    <w:rsid w:val="00C225FB"/>
    <w:rsid w:val="00C23605"/>
    <w:rsid w:val="00C240E5"/>
    <w:rsid w:val="00C272BF"/>
    <w:rsid w:val="00C27672"/>
    <w:rsid w:val="00C277A4"/>
    <w:rsid w:val="00C30436"/>
    <w:rsid w:val="00C35FBE"/>
    <w:rsid w:val="00C374C9"/>
    <w:rsid w:val="00C4023E"/>
    <w:rsid w:val="00C404EE"/>
    <w:rsid w:val="00C40B32"/>
    <w:rsid w:val="00C40D77"/>
    <w:rsid w:val="00C41917"/>
    <w:rsid w:val="00C50501"/>
    <w:rsid w:val="00C50833"/>
    <w:rsid w:val="00C529EC"/>
    <w:rsid w:val="00C52ECF"/>
    <w:rsid w:val="00C54770"/>
    <w:rsid w:val="00C54A96"/>
    <w:rsid w:val="00C6216A"/>
    <w:rsid w:val="00C62AC0"/>
    <w:rsid w:val="00C62F82"/>
    <w:rsid w:val="00C634E9"/>
    <w:rsid w:val="00C64F99"/>
    <w:rsid w:val="00C67CBD"/>
    <w:rsid w:val="00C70F87"/>
    <w:rsid w:val="00C74942"/>
    <w:rsid w:val="00C75929"/>
    <w:rsid w:val="00C77974"/>
    <w:rsid w:val="00C80558"/>
    <w:rsid w:val="00C82AEA"/>
    <w:rsid w:val="00C8407C"/>
    <w:rsid w:val="00C85019"/>
    <w:rsid w:val="00C8544A"/>
    <w:rsid w:val="00C85466"/>
    <w:rsid w:val="00C85C47"/>
    <w:rsid w:val="00C86E7B"/>
    <w:rsid w:val="00C878FA"/>
    <w:rsid w:val="00C92D30"/>
    <w:rsid w:val="00C93F7F"/>
    <w:rsid w:val="00C95043"/>
    <w:rsid w:val="00CA089F"/>
    <w:rsid w:val="00CA1BBD"/>
    <w:rsid w:val="00CA2DA4"/>
    <w:rsid w:val="00CA5D19"/>
    <w:rsid w:val="00CA6E89"/>
    <w:rsid w:val="00CA778C"/>
    <w:rsid w:val="00CA7FA0"/>
    <w:rsid w:val="00CB0340"/>
    <w:rsid w:val="00CB064F"/>
    <w:rsid w:val="00CB2432"/>
    <w:rsid w:val="00CB276B"/>
    <w:rsid w:val="00CB2A27"/>
    <w:rsid w:val="00CB31B5"/>
    <w:rsid w:val="00CB3901"/>
    <w:rsid w:val="00CB777E"/>
    <w:rsid w:val="00CB795B"/>
    <w:rsid w:val="00CC0419"/>
    <w:rsid w:val="00CC1341"/>
    <w:rsid w:val="00CC1438"/>
    <w:rsid w:val="00CC21F7"/>
    <w:rsid w:val="00CC2248"/>
    <w:rsid w:val="00CD27A9"/>
    <w:rsid w:val="00CD29C9"/>
    <w:rsid w:val="00CE10E6"/>
    <w:rsid w:val="00CE5103"/>
    <w:rsid w:val="00CE65AD"/>
    <w:rsid w:val="00CE69B2"/>
    <w:rsid w:val="00CE7009"/>
    <w:rsid w:val="00CF000C"/>
    <w:rsid w:val="00CF175C"/>
    <w:rsid w:val="00CF1AB8"/>
    <w:rsid w:val="00CF25B4"/>
    <w:rsid w:val="00CF4C4E"/>
    <w:rsid w:val="00CF53A1"/>
    <w:rsid w:val="00CF78DA"/>
    <w:rsid w:val="00D00384"/>
    <w:rsid w:val="00D02022"/>
    <w:rsid w:val="00D0219D"/>
    <w:rsid w:val="00D0681C"/>
    <w:rsid w:val="00D07FDB"/>
    <w:rsid w:val="00D10F7E"/>
    <w:rsid w:val="00D1341B"/>
    <w:rsid w:val="00D1346C"/>
    <w:rsid w:val="00D1401B"/>
    <w:rsid w:val="00D21FC4"/>
    <w:rsid w:val="00D22B1F"/>
    <w:rsid w:val="00D23092"/>
    <w:rsid w:val="00D25FC8"/>
    <w:rsid w:val="00D304CA"/>
    <w:rsid w:val="00D314F3"/>
    <w:rsid w:val="00D36538"/>
    <w:rsid w:val="00D37CED"/>
    <w:rsid w:val="00D4218E"/>
    <w:rsid w:val="00D4302E"/>
    <w:rsid w:val="00D51016"/>
    <w:rsid w:val="00D5159C"/>
    <w:rsid w:val="00D53A04"/>
    <w:rsid w:val="00D55755"/>
    <w:rsid w:val="00D577D6"/>
    <w:rsid w:val="00D57E72"/>
    <w:rsid w:val="00D57FFA"/>
    <w:rsid w:val="00D61204"/>
    <w:rsid w:val="00D61517"/>
    <w:rsid w:val="00D61D38"/>
    <w:rsid w:val="00D6568E"/>
    <w:rsid w:val="00D65BA9"/>
    <w:rsid w:val="00D70FEE"/>
    <w:rsid w:val="00D71BF1"/>
    <w:rsid w:val="00D73E97"/>
    <w:rsid w:val="00D7527C"/>
    <w:rsid w:val="00D758B6"/>
    <w:rsid w:val="00D77956"/>
    <w:rsid w:val="00D80311"/>
    <w:rsid w:val="00D806A6"/>
    <w:rsid w:val="00D81882"/>
    <w:rsid w:val="00D8223E"/>
    <w:rsid w:val="00D8267C"/>
    <w:rsid w:val="00D839BD"/>
    <w:rsid w:val="00D85992"/>
    <w:rsid w:val="00D85B55"/>
    <w:rsid w:val="00D870CE"/>
    <w:rsid w:val="00D904F6"/>
    <w:rsid w:val="00D922B1"/>
    <w:rsid w:val="00D92617"/>
    <w:rsid w:val="00D92E96"/>
    <w:rsid w:val="00D9301B"/>
    <w:rsid w:val="00D96B68"/>
    <w:rsid w:val="00D96CE7"/>
    <w:rsid w:val="00DA15C4"/>
    <w:rsid w:val="00DA1F9C"/>
    <w:rsid w:val="00DA257D"/>
    <w:rsid w:val="00DA2A05"/>
    <w:rsid w:val="00DA3B60"/>
    <w:rsid w:val="00DA66D0"/>
    <w:rsid w:val="00DA7972"/>
    <w:rsid w:val="00DB105C"/>
    <w:rsid w:val="00DB2135"/>
    <w:rsid w:val="00DB272F"/>
    <w:rsid w:val="00DB2D70"/>
    <w:rsid w:val="00DB60F1"/>
    <w:rsid w:val="00DC0001"/>
    <w:rsid w:val="00DC0166"/>
    <w:rsid w:val="00DC35AD"/>
    <w:rsid w:val="00DD0664"/>
    <w:rsid w:val="00DD0897"/>
    <w:rsid w:val="00DD2194"/>
    <w:rsid w:val="00DD2ED3"/>
    <w:rsid w:val="00DD52EC"/>
    <w:rsid w:val="00DE188E"/>
    <w:rsid w:val="00DE355E"/>
    <w:rsid w:val="00DE3FCC"/>
    <w:rsid w:val="00DE609F"/>
    <w:rsid w:val="00DE7A1C"/>
    <w:rsid w:val="00DF2261"/>
    <w:rsid w:val="00DF2BB8"/>
    <w:rsid w:val="00DF4C92"/>
    <w:rsid w:val="00DF5612"/>
    <w:rsid w:val="00DF5AB6"/>
    <w:rsid w:val="00DF7B15"/>
    <w:rsid w:val="00E012D0"/>
    <w:rsid w:val="00E0286F"/>
    <w:rsid w:val="00E028D3"/>
    <w:rsid w:val="00E06949"/>
    <w:rsid w:val="00E0698A"/>
    <w:rsid w:val="00E0780E"/>
    <w:rsid w:val="00E07853"/>
    <w:rsid w:val="00E166DF"/>
    <w:rsid w:val="00E16AC7"/>
    <w:rsid w:val="00E16B08"/>
    <w:rsid w:val="00E22091"/>
    <w:rsid w:val="00E220B9"/>
    <w:rsid w:val="00E22491"/>
    <w:rsid w:val="00E22EA7"/>
    <w:rsid w:val="00E23668"/>
    <w:rsid w:val="00E25389"/>
    <w:rsid w:val="00E26033"/>
    <w:rsid w:val="00E26250"/>
    <w:rsid w:val="00E2653A"/>
    <w:rsid w:val="00E267CD"/>
    <w:rsid w:val="00E34375"/>
    <w:rsid w:val="00E34CF0"/>
    <w:rsid w:val="00E353DC"/>
    <w:rsid w:val="00E35B7E"/>
    <w:rsid w:val="00E3737F"/>
    <w:rsid w:val="00E446FE"/>
    <w:rsid w:val="00E514B9"/>
    <w:rsid w:val="00E525C5"/>
    <w:rsid w:val="00E5414A"/>
    <w:rsid w:val="00E56203"/>
    <w:rsid w:val="00E571E6"/>
    <w:rsid w:val="00E57F49"/>
    <w:rsid w:val="00E6137A"/>
    <w:rsid w:val="00E63706"/>
    <w:rsid w:val="00E6599E"/>
    <w:rsid w:val="00E668F8"/>
    <w:rsid w:val="00E672BF"/>
    <w:rsid w:val="00E6743E"/>
    <w:rsid w:val="00E70A77"/>
    <w:rsid w:val="00E715E3"/>
    <w:rsid w:val="00E716A7"/>
    <w:rsid w:val="00E7248B"/>
    <w:rsid w:val="00E74217"/>
    <w:rsid w:val="00E742D5"/>
    <w:rsid w:val="00E746A8"/>
    <w:rsid w:val="00E74FB4"/>
    <w:rsid w:val="00E76FBF"/>
    <w:rsid w:val="00E77618"/>
    <w:rsid w:val="00E828EB"/>
    <w:rsid w:val="00E82B7F"/>
    <w:rsid w:val="00E852E9"/>
    <w:rsid w:val="00E8592B"/>
    <w:rsid w:val="00E8635D"/>
    <w:rsid w:val="00E8719B"/>
    <w:rsid w:val="00E87F96"/>
    <w:rsid w:val="00E9233A"/>
    <w:rsid w:val="00E926BC"/>
    <w:rsid w:val="00E92938"/>
    <w:rsid w:val="00E94B0E"/>
    <w:rsid w:val="00E95B0D"/>
    <w:rsid w:val="00E9605D"/>
    <w:rsid w:val="00E96407"/>
    <w:rsid w:val="00EA0469"/>
    <w:rsid w:val="00EA1191"/>
    <w:rsid w:val="00EA266E"/>
    <w:rsid w:val="00EA3F8D"/>
    <w:rsid w:val="00EA5229"/>
    <w:rsid w:val="00EA54E9"/>
    <w:rsid w:val="00EB1F48"/>
    <w:rsid w:val="00EB260D"/>
    <w:rsid w:val="00EB28CA"/>
    <w:rsid w:val="00EB31F1"/>
    <w:rsid w:val="00EB487D"/>
    <w:rsid w:val="00EB5B66"/>
    <w:rsid w:val="00EC2483"/>
    <w:rsid w:val="00EC24D1"/>
    <w:rsid w:val="00EC4D00"/>
    <w:rsid w:val="00EC5C0D"/>
    <w:rsid w:val="00ED0C7A"/>
    <w:rsid w:val="00ED1126"/>
    <w:rsid w:val="00ED1962"/>
    <w:rsid w:val="00ED2155"/>
    <w:rsid w:val="00ED2DAB"/>
    <w:rsid w:val="00ED5ABF"/>
    <w:rsid w:val="00EE37E2"/>
    <w:rsid w:val="00EF214C"/>
    <w:rsid w:val="00EF3220"/>
    <w:rsid w:val="00EF3EE7"/>
    <w:rsid w:val="00EF6644"/>
    <w:rsid w:val="00F01D45"/>
    <w:rsid w:val="00F04608"/>
    <w:rsid w:val="00F06CAC"/>
    <w:rsid w:val="00F1087C"/>
    <w:rsid w:val="00F1281F"/>
    <w:rsid w:val="00F12C22"/>
    <w:rsid w:val="00F13A0F"/>
    <w:rsid w:val="00F13A99"/>
    <w:rsid w:val="00F162ED"/>
    <w:rsid w:val="00F16CD5"/>
    <w:rsid w:val="00F16D12"/>
    <w:rsid w:val="00F20B57"/>
    <w:rsid w:val="00F21C55"/>
    <w:rsid w:val="00F22BB4"/>
    <w:rsid w:val="00F22F33"/>
    <w:rsid w:val="00F24B06"/>
    <w:rsid w:val="00F250EA"/>
    <w:rsid w:val="00F252BD"/>
    <w:rsid w:val="00F2765C"/>
    <w:rsid w:val="00F27D41"/>
    <w:rsid w:val="00F31A4B"/>
    <w:rsid w:val="00F31E03"/>
    <w:rsid w:val="00F32627"/>
    <w:rsid w:val="00F32B33"/>
    <w:rsid w:val="00F3356F"/>
    <w:rsid w:val="00F34511"/>
    <w:rsid w:val="00F36092"/>
    <w:rsid w:val="00F4064F"/>
    <w:rsid w:val="00F40855"/>
    <w:rsid w:val="00F418AC"/>
    <w:rsid w:val="00F42297"/>
    <w:rsid w:val="00F423E9"/>
    <w:rsid w:val="00F42A70"/>
    <w:rsid w:val="00F43903"/>
    <w:rsid w:val="00F446C1"/>
    <w:rsid w:val="00F4628C"/>
    <w:rsid w:val="00F473B4"/>
    <w:rsid w:val="00F515D4"/>
    <w:rsid w:val="00F516B8"/>
    <w:rsid w:val="00F52B36"/>
    <w:rsid w:val="00F52EDF"/>
    <w:rsid w:val="00F532A2"/>
    <w:rsid w:val="00F57A44"/>
    <w:rsid w:val="00F606B3"/>
    <w:rsid w:val="00F619D4"/>
    <w:rsid w:val="00F61EC5"/>
    <w:rsid w:val="00F65FB0"/>
    <w:rsid w:val="00F6619F"/>
    <w:rsid w:val="00F66D21"/>
    <w:rsid w:val="00F67685"/>
    <w:rsid w:val="00F73D44"/>
    <w:rsid w:val="00F75E00"/>
    <w:rsid w:val="00F8239C"/>
    <w:rsid w:val="00F84740"/>
    <w:rsid w:val="00F84CF0"/>
    <w:rsid w:val="00F91F21"/>
    <w:rsid w:val="00F93528"/>
    <w:rsid w:val="00F94292"/>
    <w:rsid w:val="00F95291"/>
    <w:rsid w:val="00F95D8F"/>
    <w:rsid w:val="00F96198"/>
    <w:rsid w:val="00F97083"/>
    <w:rsid w:val="00F97465"/>
    <w:rsid w:val="00FA0208"/>
    <w:rsid w:val="00FA11DA"/>
    <w:rsid w:val="00FA1916"/>
    <w:rsid w:val="00FA22C6"/>
    <w:rsid w:val="00FA2B58"/>
    <w:rsid w:val="00FA2F57"/>
    <w:rsid w:val="00FA3522"/>
    <w:rsid w:val="00FA4309"/>
    <w:rsid w:val="00FA44CB"/>
    <w:rsid w:val="00FA4A83"/>
    <w:rsid w:val="00FA56EE"/>
    <w:rsid w:val="00FB377C"/>
    <w:rsid w:val="00FB57FB"/>
    <w:rsid w:val="00FC2712"/>
    <w:rsid w:val="00FC296F"/>
    <w:rsid w:val="00FC2A7C"/>
    <w:rsid w:val="00FC4625"/>
    <w:rsid w:val="00FC49B1"/>
    <w:rsid w:val="00FC5ED9"/>
    <w:rsid w:val="00FD05E8"/>
    <w:rsid w:val="00FD0BCD"/>
    <w:rsid w:val="00FD1291"/>
    <w:rsid w:val="00FD1853"/>
    <w:rsid w:val="00FD202C"/>
    <w:rsid w:val="00FD279A"/>
    <w:rsid w:val="00FD4377"/>
    <w:rsid w:val="00FD5BCB"/>
    <w:rsid w:val="00FE1AA3"/>
    <w:rsid w:val="00FE24C9"/>
    <w:rsid w:val="00FE3A56"/>
    <w:rsid w:val="00FE4AB9"/>
    <w:rsid w:val="00FE5A41"/>
    <w:rsid w:val="00FE659E"/>
    <w:rsid w:val="00FF019A"/>
    <w:rsid w:val="00FF12E9"/>
    <w:rsid w:val="00FF1797"/>
    <w:rsid w:val="00FF1A1C"/>
    <w:rsid w:val="00FF245C"/>
    <w:rsid w:val="00FF2676"/>
    <w:rsid w:val="00FF3A95"/>
    <w:rsid w:val="00FF4D59"/>
    <w:rsid w:val="00FF589C"/>
    <w:rsid w:val="00FF6B7A"/>
    <w:rsid w:val="00FF79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3D4FC1"/>
  <w15:chartTrackingRefBased/>
  <w15:docId w15:val="{7DBED08F-7EC0-40A6-BED3-579FD8C9A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CF1"/>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877CF1"/>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877CF1"/>
    <w:pPr>
      <w:outlineLvl w:val="1"/>
    </w:pPr>
    <w:rPr>
      <w:sz w:val="28"/>
    </w:rPr>
  </w:style>
  <w:style w:type="paragraph" w:styleId="Heading3">
    <w:name w:val="heading 3"/>
    <w:basedOn w:val="Normal"/>
    <w:next w:val="Normal"/>
    <w:link w:val="Heading3Char"/>
    <w:uiPriority w:val="9"/>
    <w:unhideWhenUsed/>
    <w:qFormat/>
    <w:rsid w:val="00877CF1"/>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877CF1"/>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877CF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877CF1"/>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877CF1"/>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877CF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877CF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F1"/>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877CF1"/>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877CF1"/>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877CF1"/>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877CF1"/>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877CF1"/>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877CF1"/>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877CF1"/>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CF1"/>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877CF1"/>
    <w:pPr>
      <w:ind w:left="862" w:right="862"/>
      <w:jc w:val="center"/>
    </w:pPr>
    <w:rPr>
      <w:i/>
      <w:iCs/>
      <w:color w:val="404040" w:themeColor="text1" w:themeTint="BF"/>
    </w:rPr>
  </w:style>
  <w:style w:type="character" w:customStyle="1" w:styleId="QuoteChar">
    <w:name w:val="Quote Char"/>
    <w:basedOn w:val="DefaultParagraphFont"/>
    <w:link w:val="Quote"/>
    <w:uiPriority w:val="29"/>
    <w:rsid w:val="00877CF1"/>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877CF1"/>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877CF1"/>
    <w:pPr>
      <w:tabs>
        <w:tab w:val="center" w:pos="4320"/>
        <w:tab w:val="right" w:pos="8640"/>
      </w:tabs>
    </w:pPr>
  </w:style>
  <w:style w:type="character" w:customStyle="1" w:styleId="HeaderChar">
    <w:name w:val="Header Char"/>
    <w:basedOn w:val="DefaultParagraphFont"/>
    <w:link w:val="Header"/>
    <w:uiPriority w:val="99"/>
    <w:rsid w:val="00877CF1"/>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877CF1"/>
    <w:pPr>
      <w:tabs>
        <w:tab w:val="center" w:pos="4320"/>
        <w:tab w:val="right" w:pos="8640"/>
      </w:tabs>
    </w:pPr>
  </w:style>
  <w:style w:type="character" w:customStyle="1" w:styleId="FooterChar">
    <w:name w:val="Footer Char"/>
    <w:basedOn w:val="DefaultParagraphFont"/>
    <w:link w:val="Footer"/>
    <w:uiPriority w:val="99"/>
    <w:rsid w:val="00877CF1"/>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877CF1"/>
    <w:rPr>
      <w:noProof w:val="0"/>
    </w:rPr>
  </w:style>
  <w:style w:type="character" w:styleId="Hyperlink">
    <w:name w:val="Hyperlink"/>
    <w:basedOn w:val="DefaultParagraphFont"/>
    <w:uiPriority w:val="99"/>
    <w:unhideWhenUsed/>
    <w:rsid w:val="00877CF1"/>
    <w:rPr>
      <w:noProof w:val="0"/>
      <w:color w:val="467886" w:themeColor="hyperlink"/>
      <w:u w:val="single"/>
    </w:rPr>
  </w:style>
  <w:style w:type="paragraph" w:styleId="Revision">
    <w:name w:val="Revision"/>
    <w:hidden/>
    <w:uiPriority w:val="99"/>
    <w:semiHidden/>
    <w:rsid w:val="00877CF1"/>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877CF1"/>
    <w:pPr>
      <w:spacing w:after="120"/>
    </w:pPr>
    <w:rPr>
      <w:b/>
      <w:bCs/>
      <w:color w:val="FFFFFF"/>
      <w:sz w:val="32"/>
      <w:szCs w:val="32"/>
    </w:rPr>
  </w:style>
  <w:style w:type="paragraph" w:customStyle="1" w:styleId="Headline">
    <w:name w:val="Headline"/>
    <w:basedOn w:val="Normal"/>
    <w:next w:val="Normal"/>
    <w:link w:val="HeadlineChar"/>
    <w:qFormat/>
    <w:rsid w:val="00877CF1"/>
    <w:rPr>
      <w:rFonts w:ascii="Segoe UI Semilight" w:hAnsi="Segoe UI Semilight" w:cs="Segoe UI Semilight"/>
      <w:b/>
      <w:bCs/>
      <w:color w:val="FFFFFF"/>
      <w:sz w:val="40"/>
      <w:szCs w:val="40"/>
    </w:rPr>
  </w:style>
  <w:style w:type="paragraph" w:customStyle="1" w:styleId="ExhibitTitle">
    <w:name w:val="Exhibit Title"/>
    <w:basedOn w:val="Normal"/>
    <w:qFormat/>
    <w:rsid w:val="00877CF1"/>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877CF1"/>
    <w:pPr>
      <w:shd w:val="clear" w:color="auto" w:fill="D6E2FA"/>
      <w:spacing w:after="0"/>
    </w:pPr>
    <w:rPr>
      <w:color w:val="595959" w:themeColor="text1" w:themeTint="A6"/>
      <w:sz w:val="18"/>
    </w:rPr>
  </w:style>
  <w:style w:type="paragraph" w:customStyle="1" w:styleId="ExhibitSource">
    <w:name w:val="Exhibit Source"/>
    <w:next w:val="Normal"/>
    <w:qFormat/>
    <w:rsid w:val="00877CF1"/>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877CF1"/>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877CF1"/>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877CF1"/>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877CF1"/>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877CF1"/>
    <w:rPr>
      <w:rFonts w:ascii="Segoe UI" w:hAnsi="Segoe UI" w:cs="Segoe UI"/>
      <w:noProof w:val="0"/>
      <w:color w:val="000000" w:themeColor="text1"/>
    </w:rPr>
  </w:style>
  <w:style w:type="paragraph" w:customStyle="1" w:styleId="Summary">
    <w:name w:val="Summary"/>
    <w:basedOn w:val="Normal"/>
    <w:link w:val="SummaryChar"/>
    <w:qFormat/>
    <w:rsid w:val="00877CF1"/>
    <w:pPr>
      <w:numPr>
        <w:numId w:val="1"/>
      </w:numPr>
      <w:ind w:left="1797" w:hanging="357"/>
    </w:pPr>
    <w:rPr>
      <w:kern w:val="2"/>
      <w:sz w:val="22"/>
      <w14:ligatures w14:val="standardContextual"/>
    </w:rPr>
  </w:style>
  <w:style w:type="paragraph" w:customStyle="1" w:styleId="TableData">
    <w:name w:val="Table Data"/>
    <w:link w:val="TableDataChar"/>
    <w:qFormat/>
    <w:rsid w:val="00877CF1"/>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877CF1"/>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877CF1"/>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877CF1"/>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877CF1"/>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877CF1"/>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877CF1"/>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877CF1"/>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877CF1"/>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877CF1"/>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877CF1"/>
    <w:rPr>
      <w:color w:val="003469"/>
    </w:rPr>
  </w:style>
  <w:style w:type="character" w:customStyle="1" w:styleId="RepeatingFooterChar">
    <w:name w:val="Repeating Footer Char"/>
    <w:basedOn w:val="FooterChar"/>
    <w:link w:val="RepeatingFooter"/>
    <w:rsid w:val="00877CF1"/>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877CF1"/>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877CF1"/>
    <w:rPr>
      <w:b/>
      <w:bCs/>
      <w:noProof w:val="0"/>
    </w:rPr>
  </w:style>
  <w:style w:type="character" w:customStyle="1" w:styleId="Italics">
    <w:name w:val="Italics"/>
    <w:uiPriority w:val="1"/>
    <w:qFormat/>
    <w:rsid w:val="00877CF1"/>
    <w:rPr>
      <w:i/>
      <w:iCs/>
      <w:noProof w:val="0"/>
    </w:rPr>
  </w:style>
  <w:style w:type="table" w:customStyle="1" w:styleId="TableGridHeader">
    <w:name w:val="Table Grid Header"/>
    <w:basedOn w:val="TableNormal"/>
    <w:uiPriority w:val="99"/>
    <w:rsid w:val="00877CF1"/>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www.ofgem.gov.uk/press-release/energy-price-cap-will-rise-64-april" TargetMode="External"/><Relationship Id="rId26" Type="http://schemas.openxmlformats.org/officeDocument/2006/relationships/image" Target="media/image8.svg"/><Relationship Id="rId39" Type="http://schemas.openxmlformats.org/officeDocument/2006/relationships/theme" Target="theme/theme1.xml"/><Relationship Id="rId21" Type="http://schemas.openxmlformats.org/officeDocument/2006/relationships/hyperlink" Target="https://my.oxfordeconomics.com/reports/0cf158Cff1DF4e4da0aBf0/GlobalCommoditymarke" TargetMode="External"/><Relationship Id="rId34" Type="http://schemas.openxmlformats.org/officeDocument/2006/relationships/image" Target="media/image12.sv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my.oxfordeconomics.com/reportaction/a86FC81596B34643a88D1d/Toc" TargetMode="External"/><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water.org.uk/annual-average-bill-changes-2025-2026" TargetMode="External"/><Relationship Id="rId20" Type="http://schemas.openxmlformats.org/officeDocument/2006/relationships/image" Target="media/image6.sv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my.oxfordeconomics.com/reportaction/edfB9b7b7e7F423787c6ba/Toc" TargetMode="External"/><Relationship Id="rId32" Type="http://schemas.openxmlformats.org/officeDocument/2006/relationships/hyperlink" Target="https://www.bankofengland.co.uk/decision-maker-panel/2025/january-2025"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my.oxfordeconomics.com/reportaction/11c45812e8624765a4c9fd/Toc" TargetMode="External"/><Relationship Id="rId28" Type="http://schemas.openxmlformats.org/officeDocument/2006/relationships/hyperlink" Target="https://my.oxfordeconomics.com/reports/6c1698Db115B41Ed85b71f/GlobalEnergypricesst" TargetMode="External"/><Relationship Id="rId36" Type="http://schemas.openxmlformats.org/officeDocument/2006/relationships/image" Target="media/image14.sv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hyperlink" Target="https://my.oxfordeconomics.com/reports/6558E9Db95634cBc81c2d2"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 Id="rId22" Type="http://schemas.openxmlformats.org/officeDocument/2006/relationships/hyperlink" Target="https://my.oxfordeconomics.com/reportaction/8d19E69209694c8cbBa870/Toc" TargetMode="External"/><Relationship Id="rId27" Type="http://schemas.openxmlformats.org/officeDocument/2006/relationships/hyperlink" Target="https://my.oxfordeconomics.com/reportaction/7648066506BE4dE89C045d/Toc" TargetMode="External"/><Relationship Id="rId30" Type="http://schemas.openxmlformats.org/officeDocument/2006/relationships/image" Target="media/image10.svg"/><Relationship Id="rId35" Type="http://schemas.openxmlformats.org/officeDocument/2006/relationships/image" Target="media/image13.png"/><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45C455F4-202B-44B3-8647-F0F4F220A9D1}"/>
      </w:docPartPr>
      <w:docPartBody>
        <w:p w:rsidR="00023DB8" w:rsidRDefault="00DF692A">
          <w:r w:rsidRPr="004C063F">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2A"/>
    <w:rsid w:val="00002014"/>
    <w:rsid w:val="00014634"/>
    <w:rsid w:val="00023DB8"/>
    <w:rsid w:val="00060F18"/>
    <w:rsid w:val="00074336"/>
    <w:rsid w:val="00080F15"/>
    <w:rsid w:val="00094ACA"/>
    <w:rsid w:val="00157C18"/>
    <w:rsid w:val="002463B0"/>
    <w:rsid w:val="00270955"/>
    <w:rsid w:val="002E3F45"/>
    <w:rsid w:val="004D54DC"/>
    <w:rsid w:val="00524C4E"/>
    <w:rsid w:val="00540D2D"/>
    <w:rsid w:val="00592085"/>
    <w:rsid w:val="005B10A3"/>
    <w:rsid w:val="006E13FC"/>
    <w:rsid w:val="007F05E5"/>
    <w:rsid w:val="008D2AC8"/>
    <w:rsid w:val="009A0CB1"/>
    <w:rsid w:val="009D3314"/>
    <w:rsid w:val="00BC4B29"/>
    <w:rsid w:val="00BF4785"/>
    <w:rsid w:val="00C845B5"/>
    <w:rsid w:val="00CB276B"/>
    <w:rsid w:val="00DF692A"/>
    <w:rsid w:val="00F11EDD"/>
    <w:rsid w:val="00F208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B75E0-0CEC-464C-A398-FDDC3207F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5</Pages>
  <Words>2378</Words>
  <Characters>12034</Characters>
  <Application>Microsoft Office Word</Application>
  <DocSecurity>0</DocSecurity>
  <Lines>167</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445</cp:revision>
  <dcterms:created xsi:type="dcterms:W3CDTF">2025-03-04T07:48:00Z</dcterms:created>
  <dcterms:modified xsi:type="dcterms:W3CDTF">2025-03-07T11:15:00Z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2025-03-07T11:05:55.000Z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v0.8.1.0</vt:lpwstr>
  </property>
  <property fmtid="{D5CDD505-2E9C-101B-9397-08002B2CF9AE}" pid="10" name="OEP_ANALYST_FULLNAME">
    <vt:lpwstr>Edward Allenby</vt:lpwstr>
  </property>
  <property fmtid="{D5CDD505-2E9C-101B-9397-08002B2CF9AE}" pid="11" name="OEP_ANALYST_JOBTITLE">
    <vt:lpwstr>UK Economist</vt:lpwstr>
  </property>
  <property fmtid="{D5CDD505-2E9C-101B-9397-08002B2CF9AE}" pid="12" name="OEP_ANALYST_EMAIL">
    <vt:lpwstr>eallenby@oxfordeconomics.com</vt:lpwstr>
  </property>
  <property fmtid="{D5CDD505-2E9C-101B-9397-08002B2CF9AE}" pid="13" name="OEP_AUTHORS">
    <vt:lpwstr>Edward Allenby|UK Economist|eallenby@oxfordeconomics.com_x000d_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Themes:inflation,forecast,energy prices,monetary policy</vt:lpwstr>
  </property>
  <property fmtid="{D5CDD505-2E9C-101B-9397-08002B2CF9AE}" pid="16" name="OEP_DATA_FILEPATH">
    <vt:lpwstr>Z:\UK Team\UK Research Briefing\20250307 RB UK Inflation outlook.xlsx</vt:lpwstr>
  </property>
  <property fmtid="{D5CDD505-2E9C-101B-9397-08002B2CF9AE}" pid="17" name="OEP_PRODUCT_CODE">
    <vt:lpwstr>a55332ded6D04B49aaEf0a</vt:lpwstr>
  </property>
  <property fmtid="{D5CDD505-2E9C-101B-9397-08002B2CF9AE}" pid="18" name="OEP_PUBLISH_DATE">
    <vt:lpwstr/>
  </property>
</Properties>
</file>