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4CE87" w14:textId="54B4EACD" w:rsidR="00AD1CAB" w:rsidRPr="000E2A6D" w:rsidRDefault="00F10DE9" w:rsidP="00AD1CAB">
      <w:pPr>
        <w:pStyle w:val="Bullet"/>
      </w:pPr>
      <w:r w:rsidRPr="000E2A6D">
        <w:t xml:space="preserve">We expect the Monetary Policy Committee </w:t>
      </w:r>
      <w:r w:rsidR="00E242C1">
        <w:t>to</w:t>
      </w:r>
      <w:r w:rsidR="00E242C1" w:rsidRPr="000E2A6D">
        <w:t xml:space="preserve"> </w:t>
      </w:r>
      <w:r w:rsidRPr="000E2A6D">
        <w:t xml:space="preserve">keep Bank Rate at 4.5% at its next meeting on March 20. The cut-hold tempo has become well established and </w:t>
      </w:r>
      <w:r w:rsidR="001F3BDB" w:rsidRPr="000E2A6D">
        <w:t xml:space="preserve">renewed concerns about supply weakness mean </w:t>
      </w:r>
      <w:r w:rsidR="00DA70FE" w:rsidRPr="000E2A6D">
        <w:t>it's</w:t>
      </w:r>
      <w:r w:rsidR="001F3BDB" w:rsidRPr="000E2A6D">
        <w:t xml:space="preserve"> very unlikely </w:t>
      </w:r>
      <w:r w:rsidR="00DA70FE" w:rsidRPr="000E2A6D">
        <w:t>there will be more than two or three votes for back-to-back cuts</w:t>
      </w:r>
      <w:r w:rsidR="00AD1CAB" w:rsidRPr="000E2A6D">
        <w:t>.</w:t>
      </w:r>
      <w:r w:rsidR="00997780" w:rsidRPr="000E2A6D">
        <w:t xml:space="preserve"> The only real uncertainty is whether Alan Taylor </w:t>
      </w:r>
      <w:r w:rsidR="00043615">
        <w:t xml:space="preserve">will </w:t>
      </w:r>
      <w:r w:rsidR="00997780" w:rsidRPr="000E2A6D">
        <w:t>vote to cut again.</w:t>
      </w:r>
    </w:p>
    <w:p w14:paraId="1141F8C5" w14:textId="2EA034B4" w:rsidR="00AD1CAB" w:rsidRPr="000E2A6D" w:rsidRDefault="00A56EE0" w:rsidP="00AD1CAB">
      <w:pPr>
        <w:pStyle w:val="Bullet"/>
      </w:pPr>
      <w:r w:rsidRPr="000E2A6D">
        <w:t>Though the messaging from the February meeting was surprisingly hawkish, subsequent soundings from individual committee members have been more balanced</w:t>
      </w:r>
      <w:r w:rsidR="00AD1CAB" w:rsidRPr="000E2A6D">
        <w:t>.</w:t>
      </w:r>
      <w:r w:rsidRPr="000E2A6D">
        <w:t xml:space="preserve"> Even the most hawkish members have suggested the MPC's mid-range inflation scenario is most likely to play out. This scenario is consistent with</w:t>
      </w:r>
      <w:r w:rsidR="00E242C1">
        <w:t xml:space="preserve"> rate</w:t>
      </w:r>
      <w:r w:rsidRPr="000E2A6D">
        <w:t xml:space="preserve"> cut</w:t>
      </w:r>
      <w:r w:rsidR="00E242C1">
        <w:t>s</w:t>
      </w:r>
      <w:r w:rsidRPr="000E2A6D">
        <w:t xml:space="preserve"> at alternate meetings.</w:t>
      </w:r>
    </w:p>
    <w:p w14:paraId="355A5638" w14:textId="51EEE770" w:rsidR="00CC6A3F" w:rsidRPr="000E2A6D" w:rsidRDefault="00A56EE0" w:rsidP="00AD1CAB">
      <w:r w:rsidRPr="000E2A6D">
        <w:t xml:space="preserve">The Bank of England's Monetary Policy Committee cut Bank Rate by 25bps at its </w:t>
      </w:r>
      <w:hyperlink r:id="rId10" w:history="1">
        <w:r w:rsidRPr="000E2A6D">
          <w:rPr>
            <w:rStyle w:val="Hyperlink"/>
          </w:rPr>
          <w:t>last meeting</w:t>
        </w:r>
      </w:hyperlink>
      <w:r w:rsidRPr="000E2A6D">
        <w:t xml:space="preserve"> on February 6. Though the outcome was in line with expectations, there were two surprises. First, Catherine Mann's sudden switch from being the most hawkish member to </w:t>
      </w:r>
      <w:r w:rsidR="009E36E2">
        <w:t xml:space="preserve">among </w:t>
      </w:r>
      <w:r w:rsidRPr="000E2A6D">
        <w:t xml:space="preserve">the most dovish. And second, the surprisingly hawkish tone of the MPC's messaging, which </w:t>
      </w:r>
      <w:r w:rsidR="003472B5" w:rsidRPr="000E2A6D">
        <w:t xml:space="preserve">argued that </w:t>
      </w:r>
      <w:r w:rsidRPr="000E2A6D">
        <w:t>weak supply</w:t>
      </w:r>
      <w:r w:rsidR="003472B5" w:rsidRPr="000E2A6D">
        <w:t xml:space="preserve"> meant the growth-inflation trade-off had worsened</w:t>
      </w:r>
      <w:r w:rsidRPr="000E2A6D">
        <w:t>.</w:t>
      </w:r>
    </w:p>
    <w:p w14:paraId="3F4F6E2B" w14:textId="567DFAD3" w:rsidR="00CC6A3F" w:rsidRPr="000E2A6D" w:rsidRDefault="003D4B2D" w:rsidP="00CC6A3F">
      <w:r w:rsidRPr="000E2A6D">
        <w:t>Most MPC members have subsequently made public comments</w:t>
      </w:r>
      <w:r w:rsidR="00D01716" w:rsidRPr="000E2A6D">
        <w:t xml:space="preserve">, but only two have materially changed their views </w:t>
      </w:r>
      <w:r w:rsidR="00417C26" w:rsidRPr="000E2A6D">
        <w:t>(</w:t>
      </w:r>
      <w:r w:rsidR="00D74A04" w:rsidRPr="005A2509">
        <w:rPr>
          <w:b/>
          <w:color w:val="003469"/>
        </w:rPr>
        <w:fldChar w:fldCharType="begin"/>
      </w:r>
      <w:r w:rsidR="005A2509" w:rsidRPr="005A2509">
        <w:rPr>
          <w:b/>
          <w:color w:val="003469"/>
        </w:rPr>
        <w:instrText xml:space="preserve">REF _Ref192578911 \h \* Charformat </w:instrText>
      </w:r>
      <w:r w:rsidR="005A2509" w:rsidRPr="005A2509">
        <w:rPr>
          <w:b/>
          <w:color w:val="003469"/>
        </w:rPr>
      </w:r>
      <w:r w:rsidR="00D74A04" w:rsidRPr="005A2509">
        <w:rPr>
          <w:b/>
          <w:color w:val="003469"/>
        </w:rPr>
        <w:fldChar w:fldCharType="separate"/>
      </w:r>
      <w:r w:rsidR="005A2509" w:rsidRPr="005A2509">
        <w:rPr>
          <w:b/>
          <w:color w:val="003469"/>
        </w:rPr>
        <w:t>Table 1</w:t>
      </w:r>
      <w:r w:rsidR="00D74A04" w:rsidRPr="005A2509">
        <w:rPr>
          <w:b/>
          <w:color w:val="003469"/>
        </w:rPr>
        <w:fldChar w:fldCharType="end"/>
      </w:r>
      <w:r w:rsidR="00EC1242" w:rsidRPr="000E2A6D">
        <w:t xml:space="preserve"> </w:t>
      </w:r>
      <w:r w:rsidR="00417C26" w:rsidRPr="000E2A6D">
        <w:t xml:space="preserve">shows our analysis of recent comments by MPC members). </w:t>
      </w:r>
      <w:r w:rsidR="00D01716" w:rsidRPr="000E2A6D">
        <w:t xml:space="preserve">Catherine Mann </w:t>
      </w:r>
      <w:hyperlink r:id="rId11" w:history="1">
        <w:r w:rsidR="00D01716" w:rsidRPr="000E2A6D">
          <w:rPr>
            <w:rStyle w:val="Hyperlink"/>
          </w:rPr>
          <w:t>expanded on her volte</w:t>
        </w:r>
        <w:r w:rsidR="00E242C1">
          <w:rPr>
            <w:rStyle w:val="Hyperlink"/>
          </w:rPr>
          <w:t>-</w:t>
        </w:r>
        <w:r w:rsidR="00D01716" w:rsidRPr="000E2A6D">
          <w:rPr>
            <w:rStyle w:val="Hyperlink"/>
          </w:rPr>
          <w:t>face</w:t>
        </w:r>
      </w:hyperlink>
      <w:r w:rsidR="00D01716" w:rsidRPr="000E2A6D">
        <w:t xml:space="preserve">, </w:t>
      </w:r>
      <w:r w:rsidR="00BE5134" w:rsidRPr="000E2A6D">
        <w:t xml:space="preserve">arguing survey evidence suggested </w:t>
      </w:r>
      <w:r w:rsidR="007F1AA3" w:rsidRPr="000E2A6D">
        <w:t xml:space="preserve">there could be a "non-linear" fall in labour demand in response to a series of large cost increases. In contrast, Dave Ramsden </w:t>
      </w:r>
      <w:hyperlink r:id="rId12" w:history="1">
        <w:r w:rsidR="007F1AA3" w:rsidRPr="004F10F9">
          <w:rPr>
            <w:rStyle w:val="Hyperlink"/>
          </w:rPr>
          <w:t>moved back into the pack</w:t>
        </w:r>
      </w:hyperlink>
      <w:r w:rsidR="007F1AA3" w:rsidRPr="000E2A6D">
        <w:t xml:space="preserve">, having briefly flirted with dovish dissent in December. Ramsden </w:t>
      </w:r>
      <w:r w:rsidR="00B3761E" w:rsidRPr="000E2A6D">
        <w:t>now thinks the risks are two-sided, having previously argued domestic disinflationary pressures would be stronger.</w:t>
      </w:r>
    </w:p>
    <w:p w14:paraId="3BF56519" w14:textId="1B4F27AC" w:rsidR="00CC6A3F" w:rsidRPr="000E2A6D" w:rsidRDefault="007C7AD9" w:rsidP="00CC6A3F">
      <w:r w:rsidRPr="000E2A6D">
        <w:t xml:space="preserve">The MPC </w:t>
      </w:r>
      <w:r w:rsidR="00DA567B" w:rsidRPr="000E2A6D">
        <w:t xml:space="preserve">largely </w:t>
      </w:r>
      <w:r w:rsidRPr="000E2A6D">
        <w:t xml:space="preserve">sidelined its inflation scenarios in </w:t>
      </w:r>
      <w:r w:rsidR="00E242C1">
        <w:t>its</w:t>
      </w:r>
      <w:r w:rsidR="00E242C1" w:rsidRPr="000E2A6D">
        <w:t xml:space="preserve"> </w:t>
      </w:r>
      <w:r w:rsidRPr="000E2A6D">
        <w:t>comm</w:t>
      </w:r>
      <w:r w:rsidR="00E242C1">
        <w:t>unication</w:t>
      </w:r>
      <w:r w:rsidRPr="000E2A6D">
        <w:t xml:space="preserve">s </w:t>
      </w:r>
      <w:r w:rsidR="00B3761E" w:rsidRPr="000E2A6D">
        <w:t>around</w:t>
      </w:r>
      <w:r w:rsidRPr="000E2A6D">
        <w:t xml:space="preserve"> the February meeting, but individual members have made liberal use of them in their comments</w:t>
      </w:r>
      <w:r w:rsidR="00E242C1">
        <w:t xml:space="preserve"> since</w:t>
      </w:r>
      <w:r w:rsidRPr="000E2A6D">
        <w:t>. W</w:t>
      </w:r>
      <w:r w:rsidR="00B3761E" w:rsidRPr="000E2A6D">
        <w:t xml:space="preserve">e estimate that seven </w:t>
      </w:r>
      <w:r w:rsidR="00E242C1">
        <w:t xml:space="preserve">members </w:t>
      </w:r>
      <w:r w:rsidR="00B3761E" w:rsidRPr="000E2A6D">
        <w:t>see the mid-range scenario as most likely to play out, with one of those leaning dovish (</w:t>
      </w:r>
      <w:r w:rsidR="00A44B0B" w:rsidRPr="000E2A6D">
        <w:t xml:space="preserve">Alan </w:t>
      </w:r>
      <w:r w:rsidR="00B3761E" w:rsidRPr="000E2A6D">
        <w:t>Taylor)</w:t>
      </w:r>
      <w:r w:rsidR="00E242C1">
        <w:t>,</w:t>
      </w:r>
      <w:r w:rsidR="00B3761E" w:rsidRPr="000E2A6D">
        <w:t xml:space="preserve"> and two concerned that supply weakness will cause pay growth and inflation to remain higher for longer (</w:t>
      </w:r>
      <w:r w:rsidR="00A44B0B" w:rsidRPr="000E2A6D">
        <w:t xml:space="preserve">Huw </w:t>
      </w:r>
      <w:r w:rsidR="00B3761E" w:rsidRPr="000E2A6D">
        <w:t xml:space="preserve">Pill and </w:t>
      </w:r>
      <w:r w:rsidR="00A44B0B" w:rsidRPr="000E2A6D">
        <w:t xml:space="preserve">Megan </w:t>
      </w:r>
      <w:r w:rsidR="00B3761E" w:rsidRPr="000E2A6D">
        <w:t>Greene</w:t>
      </w:r>
      <w:r w:rsidR="00750D59">
        <w:t xml:space="preserve">; </w:t>
      </w:r>
      <w:r w:rsidR="00D74A04" w:rsidRPr="005A2509">
        <w:rPr>
          <w:b/>
          <w:color w:val="003469"/>
        </w:rPr>
        <w:fldChar w:fldCharType="begin"/>
      </w:r>
      <w:r w:rsidR="005A2509" w:rsidRPr="005A2509">
        <w:rPr>
          <w:b/>
          <w:color w:val="003469"/>
        </w:rPr>
        <w:instrText xml:space="preserve">REF _Ref192578909 \h \* Charformat </w:instrText>
      </w:r>
      <w:r w:rsidR="005A2509" w:rsidRPr="005A2509">
        <w:rPr>
          <w:b/>
          <w:color w:val="003469"/>
        </w:rPr>
      </w:r>
      <w:r w:rsidR="00D74A04" w:rsidRPr="005A2509">
        <w:rPr>
          <w:b/>
          <w:color w:val="003469"/>
        </w:rPr>
        <w:fldChar w:fldCharType="separate"/>
      </w:r>
      <w:r w:rsidR="005A2509" w:rsidRPr="005A2509">
        <w:rPr>
          <w:b/>
          <w:color w:val="003469"/>
        </w:rPr>
        <w:t>Chart 1</w:t>
      </w:r>
      <w:r w:rsidR="00D74A04" w:rsidRPr="005A2509">
        <w:rPr>
          <w:b/>
          <w:color w:val="003469"/>
        </w:rPr>
        <w:fldChar w:fldCharType="end"/>
      </w:r>
      <w:r w:rsidRPr="000E2A6D">
        <w:t>).</w:t>
      </w:r>
    </w:p>
    <w:p w14:paraId="619929E5" w14:textId="1567A3A2" w:rsidR="00AD1CAB" w:rsidRPr="000E2A6D" w:rsidRDefault="00AD1CAB" w:rsidP="00CC6A3F">
      <w:pPr>
        <w:pStyle w:val="ExhibitTitle"/>
        <w:jc w:val="center"/>
      </w:pPr>
      <w:bookmarkStart w:id="0" w:name="_Ref192578909"/>
      <w:r w:rsidRPr="000E2A6D">
        <w:t xml:space="preserve">Chart </w:t>
      </w:r>
      <w:r w:rsidRPr="000E2A6D">
        <w:fldChar w:fldCharType="begin"/>
      </w:r>
      <w:r w:rsidR="00D74A04" w:rsidRPr="000E2A6D">
        <w:instrText>SEQ CHART</w:instrText>
      </w:r>
      <w:r w:rsidRPr="000E2A6D">
        <w:fldChar w:fldCharType="separate"/>
      </w:r>
      <w:r w:rsidR="00C55094" w:rsidRPr="000E2A6D">
        <w:t>1</w:t>
      </w:r>
      <w:r w:rsidRPr="000E2A6D">
        <w:fldChar w:fldCharType="end"/>
      </w:r>
      <w:bookmarkEnd w:id="0"/>
      <w:r w:rsidRPr="000E2A6D">
        <w:t xml:space="preserve">: </w:t>
      </w:r>
      <w:r w:rsidR="003D4B2D" w:rsidRPr="000E2A6D">
        <w:t>Most MPC members still think the mid-range inflation scenario is most likely to play out</w:t>
      </w:r>
    </w:p>
    <w:p w14:paraId="411E0A4A" w14:textId="46A5FB88" w:rsidR="00CC6A3F" w:rsidRPr="000E2A6D" w:rsidRDefault="00CC6A3F" w:rsidP="00CC6A3F">
      <w:pPr>
        <w:spacing w:after="0"/>
        <w:jc w:val="center"/>
      </w:pPr>
      <w:r w:rsidRPr="000E2A6D">
        <w:rPr>
          <w:noProof/>
        </w:rPr>
        <w:drawing>
          <wp:inline distT="0" distB="0" distL="0" distR="0" wp14:anchorId="68AF67B2" wp14:editId="0154D060">
            <wp:extent cx="4006964" cy="3140642"/>
            <wp:effectExtent l="0" t="0" r="0" b="3175"/>
            <wp:docPr id="7249133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13300" name=""/>
                    <pic:cNvPicPr/>
                  </pic:nvPicPr>
                  <pic:blipFill>
                    <a:blip r:embed="rId13">
                      <a:extLs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48A86A01" w14:textId="7CB3D340" w:rsidR="00AD1CAB" w:rsidRPr="000E2A6D" w:rsidRDefault="00CC6A3F" w:rsidP="00CC6A3F">
      <w:pPr>
        <w:pStyle w:val="ExhibitSource"/>
        <w:jc w:val="center"/>
      </w:pPr>
      <w:r w:rsidRPr="000E2A6D">
        <w:t>Source: Oxford Economics</w:t>
      </w:r>
    </w:p>
    <w:p w14:paraId="6E2268C5" w14:textId="54F7FCC1" w:rsidR="00AD1CAB" w:rsidRPr="000E2A6D" w:rsidRDefault="00AD1CAB" w:rsidP="00AD1CAB">
      <w:pPr>
        <w:pStyle w:val="ExhibitSource"/>
        <w:jc w:val="center"/>
        <w:sectPr w:rsidR="00AD1CAB" w:rsidRPr="000E2A6D" w:rsidSect="00CC6A3F">
          <w:headerReference w:type="even" r:id="rId15"/>
          <w:headerReference w:type="default" r:id="rId16"/>
          <w:footerReference w:type="default" r:id="rId17"/>
          <w:headerReference w:type="first" r:id="rId18"/>
          <w:footerReference w:type="first" r:id="rId19"/>
          <w:pgSz w:w="11906" w:h="16838"/>
          <w:pgMar w:top="2665" w:right="1276" w:bottom="838" w:left="1134" w:header="708" w:footer="300" w:gutter="0"/>
          <w:cols w:space="708"/>
          <w:titlePg/>
          <w:docGrid w:linePitch="360"/>
        </w:sectPr>
      </w:pPr>
    </w:p>
    <w:p w14:paraId="4FE226B8" w14:textId="35FB69A6" w:rsidR="00D01716" w:rsidRPr="000E2A6D" w:rsidRDefault="00D01716" w:rsidP="008A65EC">
      <w:pPr>
        <w:pStyle w:val="ExhibitTitle"/>
      </w:pPr>
      <w:bookmarkStart w:id="1" w:name="_Ref192578911"/>
      <w:r w:rsidRPr="000E2A6D">
        <w:lastRenderedPageBreak/>
        <w:t xml:space="preserve">Table </w:t>
      </w:r>
      <w:r w:rsidRPr="000E2A6D">
        <w:fldChar w:fldCharType="begin"/>
      </w:r>
      <w:r w:rsidR="00D74A04" w:rsidRPr="000E2A6D">
        <w:instrText>SEQ TABLE</w:instrText>
      </w:r>
      <w:r w:rsidRPr="000E2A6D">
        <w:fldChar w:fldCharType="separate"/>
      </w:r>
      <w:r w:rsidR="00C55094" w:rsidRPr="000E2A6D">
        <w:t>1</w:t>
      </w:r>
      <w:r w:rsidRPr="000E2A6D">
        <w:fldChar w:fldCharType="end"/>
      </w:r>
      <w:bookmarkEnd w:id="1"/>
      <w:r w:rsidRPr="000E2A6D">
        <w:t xml:space="preserve">: </w:t>
      </w:r>
      <w:r w:rsidR="009052BF" w:rsidRPr="000E2A6D">
        <w:t xml:space="preserve">Key comments by MPC members since the </w:t>
      </w:r>
      <w:r w:rsidR="00FF1880" w:rsidRPr="000E2A6D">
        <w:t>February</w:t>
      </w:r>
      <w:r w:rsidR="009052BF" w:rsidRPr="000E2A6D">
        <w:t xml:space="preserve"> meeting</w:t>
      </w:r>
    </w:p>
    <w:tbl>
      <w:tblPr>
        <w:tblStyle w:val="TableGridHeader"/>
        <w:tblW w:w="4855" w:type="pct"/>
        <w:tblLook w:val="04A0" w:firstRow="1" w:lastRow="0" w:firstColumn="1" w:lastColumn="0" w:noHBand="0" w:noVBand="1"/>
      </w:tblPr>
      <w:tblGrid>
        <w:gridCol w:w="1267"/>
        <w:gridCol w:w="1276"/>
        <w:gridCol w:w="6662"/>
      </w:tblGrid>
      <w:tr w:rsidR="00D01716" w:rsidRPr="000E2A6D" w14:paraId="257F6F63" w14:textId="77777777" w:rsidTr="005E703C">
        <w:trPr>
          <w:cnfStyle w:val="100000000000" w:firstRow="1" w:lastRow="0" w:firstColumn="0" w:lastColumn="0" w:oddVBand="0" w:evenVBand="0" w:oddHBand="0" w:evenHBand="0" w:firstRowFirstColumn="0" w:firstRowLastColumn="0" w:lastRowFirstColumn="0" w:lastRowLastColumn="0"/>
          <w:tblHeader/>
        </w:trPr>
        <w:tc>
          <w:tcPr>
            <w:tcW w:w="1267" w:type="dxa"/>
          </w:tcPr>
          <w:p w14:paraId="7550D117" w14:textId="5AA21067" w:rsidR="00D01716" w:rsidRPr="000E2A6D" w:rsidRDefault="00D01716" w:rsidP="00D01716">
            <w:pPr>
              <w:pStyle w:val="TableHeader"/>
            </w:pPr>
            <w:r w:rsidRPr="000E2A6D">
              <w:t>Speaker and link</w:t>
            </w:r>
          </w:p>
        </w:tc>
        <w:tc>
          <w:tcPr>
            <w:tcW w:w="1276" w:type="dxa"/>
          </w:tcPr>
          <w:p w14:paraId="387264BB" w14:textId="165C1656" w:rsidR="00D01716" w:rsidRPr="000E2A6D" w:rsidRDefault="00D01716" w:rsidP="00D01716">
            <w:pPr>
              <w:pStyle w:val="TableHeader"/>
            </w:pPr>
            <w:r w:rsidRPr="000E2A6D">
              <w:t>Date</w:t>
            </w:r>
          </w:p>
        </w:tc>
        <w:tc>
          <w:tcPr>
            <w:tcW w:w="6663" w:type="dxa"/>
          </w:tcPr>
          <w:p w14:paraId="67D9B19B" w14:textId="65D1AFB1" w:rsidR="00D01716" w:rsidRPr="000E2A6D" w:rsidRDefault="00D01716" w:rsidP="00D01716">
            <w:pPr>
              <w:pStyle w:val="TableHeader"/>
            </w:pPr>
            <w:r w:rsidRPr="000E2A6D">
              <w:t>Key takeaway</w:t>
            </w:r>
          </w:p>
        </w:tc>
      </w:tr>
      <w:tr w:rsidR="00D01716" w:rsidRPr="000E2A6D" w14:paraId="095A7569" w14:textId="77777777" w:rsidTr="005E703C">
        <w:tc>
          <w:tcPr>
            <w:tcW w:w="1267" w:type="dxa"/>
          </w:tcPr>
          <w:p w14:paraId="24E0E7E8" w14:textId="4F3CF143" w:rsidR="00D01716" w:rsidRPr="000E2A6D" w:rsidRDefault="00AE410A" w:rsidP="00D01716">
            <w:pPr>
              <w:pStyle w:val="TableData"/>
            </w:pPr>
            <w:hyperlink r:id="rId20" w:history="1">
              <w:r w:rsidR="00D01716" w:rsidRPr="000E2A6D">
                <w:rPr>
                  <w:rStyle w:val="Hyperlink"/>
                </w:rPr>
                <w:t>Mann</w:t>
              </w:r>
            </w:hyperlink>
          </w:p>
        </w:tc>
        <w:tc>
          <w:tcPr>
            <w:tcW w:w="1276" w:type="dxa"/>
          </w:tcPr>
          <w:p w14:paraId="632D78EF" w14:textId="43A53C4A" w:rsidR="00D01716" w:rsidRPr="000E2A6D" w:rsidRDefault="00D01716" w:rsidP="00D01716">
            <w:pPr>
              <w:pStyle w:val="TableData"/>
            </w:pPr>
            <w:r w:rsidRPr="000E2A6D">
              <w:t>March 6</w:t>
            </w:r>
          </w:p>
        </w:tc>
        <w:tc>
          <w:tcPr>
            <w:tcW w:w="6663" w:type="dxa"/>
          </w:tcPr>
          <w:p w14:paraId="3088C0D5" w14:textId="06734CD1" w:rsidR="00D01716" w:rsidRPr="000E2A6D" w:rsidRDefault="00FF1880" w:rsidP="00D01716">
            <w:pPr>
              <w:pStyle w:val="TableData"/>
            </w:pPr>
            <w:r w:rsidRPr="000E2A6D">
              <w:t xml:space="preserve">Mann said her switch from </w:t>
            </w:r>
            <w:r w:rsidR="005E703C" w:rsidRPr="000E2A6D">
              <w:t>hawk to dove was in response to business survey data suggesting a "non-linear downward adjustment" for labour demand in response to rising labour costs.</w:t>
            </w:r>
          </w:p>
        </w:tc>
      </w:tr>
      <w:tr w:rsidR="00D01716" w:rsidRPr="000E2A6D" w14:paraId="74521885" w14:textId="77777777" w:rsidTr="005E703C">
        <w:tc>
          <w:tcPr>
            <w:tcW w:w="1267" w:type="dxa"/>
          </w:tcPr>
          <w:p w14:paraId="6E57024D" w14:textId="5C647EFC" w:rsidR="00D01716" w:rsidRPr="000E2A6D" w:rsidRDefault="00AE410A" w:rsidP="00D01716">
            <w:pPr>
              <w:pStyle w:val="TableData"/>
            </w:pPr>
            <w:hyperlink r:id="rId21" w:history="1">
              <w:r w:rsidR="00D01716" w:rsidRPr="000E2A6D">
                <w:rPr>
                  <w:rStyle w:val="Hyperlink"/>
                </w:rPr>
                <w:t>Bailey</w:t>
              </w:r>
            </w:hyperlink>
          </w:p>
        </w:tc>
        <w:tc>
          <w:tcPr>
            <w:tcW w:w="1276" w:type="dxa"/>
          </w:tcPr>
          <w:p w14:paraId="1B0036EA" w14:textId="699330D2" w:rsidR="00D01716" w:rsidRPr="000E2A6D" w:rsidRDefault="00D01716" w:rsidP="00D01716">
            <w:pPr>
              <w:pStyle w:val="TableData"/>
            </w:pPr>
            <w:r w:rsidRPr="000E2A6D">
              <w:t>March 5</w:t>
            </w:r>
          </w:p>
        </w:tc>
        <w:tc>
          <w:tcPr>
            <w:tcW w:w="6663" w:type="dxa"/>
          </w:tcPr>
          <w:p w14:paraId="3B48D64D" w14:textId="6AE25EFE" w:rsidR="00D01716" w:rsidRPr="000E2A6D" w:rsidRDefault="00446951" w:rsidP="00D01716">
            <w:pPr>
              <w:pStyle w:val="TableData"/>
            </w:pPr>
            <w:r w:rsidRPr="000E2A6D">
              <w:t>Appearing before the Treasury Select Committee, the Governor said, "the demand weakness argument may be getting a bit stronger relative to last year" and emphasised the underlying path for inflation was still downwards.</w:t>
            </w:r>
          </w:p>
        </w:tc>
      </w:tr>
      <w:tr w:rsidR="009052BF" w:rsidRPr="000E2A6D" w14:paraId="769822AB" w14:textId="77777777" w:rsidTr="005E703C">
        <w:tc>
          <w:tcPr>
            <w:tcW w:w="1267" w:type="dxa"/>
          </w:tcPr>
          <w:p w14:paraId="54748B75" w14:textId="3FA80865" w:rsidR="009052BF" w:rsidRPr="000E2A6D" w:rsidRDefault="00AE410A" w:rsidP="009052BF">
            <w:pPr>
              <w:pStyle w:val="TableData"/>
            </w:pPr>
            <w:hyperlink r:id="rId22" w:history="1">
              <w:r w:rsidR="009052BF" w:rsidRPr="000E2A6D">
                <w:rPr>
                  <w:rStyle w:val="Hyperlink"/>
                </w:rPr>
                <w:t>Pill</w:t>
              </w:r>
            </w:hyperlink>
          </w:p>
        </w:tc>
        <w:tc>
          <w:tcPr>
            <w:tcW w:w="1276" w:type="dxa"/>
          </w:tcPr>
          <w:p w14:paraId="1616E2EB" w14:textId="77777777" w:rsidR="009052BF" w:rsidRPr="000E2A6D" w:rsidRDefault="009052BF" w:rsidP="009052BF">
            <w:pPr>
              <w:pStyle w:val="TableData"/>
            </w:pPr>
            <w:r w:rsidRPr="000E2A6D">
              <w:t>March 5</w:t>
            </w:r>
          </w:p>
        </w:tc>
        <w:tc>
          <w:tcPr>
            <w:tcW w:w="6663" w:type="dxa"/>
          </w:tcPr>
          <w:p w14:paraId="070C1BEE" w14:textId="178D31A0" w:rsidR="009052BF" w:rsidRPr="000E2A6D" w:rsidRDefault="00446951" w:rsidP="009052BF">
            <w:pPr>
              <w:pStyle w:val="TableData"/>
            </w:pPr>
            <w:r w:rsidRPr="000E2A6D">
              <w:t>The BoE's Chief Economist remarked that the "continued weakness in productivity growth and wider disruptions to the economy's supply-side were perpetuating the persistence of price and wage developments".</w:t>
            </w:r>
          </w:p>
        </w:tc>
      </w:tr>
      <w:tr w:rsidR="00D01716" w:rsidRPr="000E2A6D" w14:paraId="1EAA3A94" w14:textId="77777777" w:rsidTr="005E703C">
        <w:tc>
          <w:tcPr>
            <w:tcW w:w="1267" w:type="dxa"/>
          </w:tcPr>
          <w:p w14:paraId="0C838A46" w14:textId="19BB676A" w:rsidR="00D01716" w:rsidRPr="000E2A6D" w:rsidRDefault="00AE410A" w:rsidP="00D01716">
            <w:pPr>
              <w:pStyle w:val="TableData"/>
            </w:pPr>
            <w:hyperlink r:id="rId23" w:history="1">
              <w:r w:rsidR="00D01716" w:rsidRPr="000E2A6D">
                <w:rPr>
                  <w:rStyle w:val="Hyperlink"/>
                </w:rPr>
                <w:t>Taylor</w:t>
              </w:r>
            </w:hyperlink>
          </w:p>
        </w:tc>
        <w:tc>
          <w:tcPr>
            <w:tcW w:w="1276" w:type="dxa"/>
          </w:tcPr>
          <w:p w14:paraId="2D5C5EE5" w14:textId="72B91FB6" w:rsidR="00D01716" w:rsidRPr="000E2A6D" w:rsidRDefault="00D01716" w:rsidP="00D01716">
            <w:pPr>
              <w:pStyle w:val="TableData"/>
            </w:pPr>
            <w:r w:rsidRPr="000E2A6D">
              <w:t>March 5</w:t>
            </w:r>
          </w:p>
        </w:tc>
        <w:tc>
          <w:tcPr>
            <w:tcW w:w="6663" w:type="dxa"/>
          </w:tcPr>
          <w:p w14:paraId="6BA11B89" w14:textId="2F227A67" w:rsidR="00D01716" w:rsidRPr="000E2A6D" w:rsidRDefault="00446951" w:rsidP="00D01716">
            <w:pPr>
              <w:pStyle w:val="TableData"/>
            </w:pPr>
            <w:r w:rsidRPr="000E2A6D">
              <w:t xml:space="preserve">Taylor argued that the fall in inflation last year occurring alongside a slowdown in activity was "first-order evidence that the shock to demand was dominating". He also said the </w:t>
            </w:r>
            <w:r w:rsidR="00D272BC" w:rsidRPr="000E2A6D">
              <w:t xml:space="preserve">current </w:t>
            </w:r>
            <w:r w:rsidRPr="000E2A6D">
              <w:t xml:space="preserve">output gap </w:t>
            </w:r>
            <w:r w:rsidR="00D272BC" w:rsidRPr="000E2A6D">
              <w:t>is</w:t>
            </w:r>
            <w:r w:rsidRPr="000E2A6D">
              <w:t xml:space="preserve"> </w:t>
            </w:r>
            <w:r w:rsidR="00D272BC" w:rsidRPr="000E2A6D">
              <w:t xml:space="preserve">probably </w:t>
            </w:r>
            <w:r w:rsidRPr="000E2A6D">
              <w:t xml:space="preserve">larger than the </w:t>
            </w:r>
            <w:r w:rsidR="00D272BC" w:rsidRPr="000E2A6D">
              <w:t xml:space="preserve">estimate </w:t>
            </w:r>
            <w:r w:rsidRPr="000E2A6D">
              <w:t>in February's Monetary Policy Report.</w:t>
            </w:r>
          </w:p>
        </w:tc>
      </w:tr>
      <w:tr w:rsidR="00D01716" w:rsidRPr="000E2A6D" w14:paraId="2FC196EF" w14:textId="77777777" w:rsidTr="005E703C">
        <w:tc>
          <w:tcPr>
            <w:tcW w:w="1267" w:type="dxa"/>
          </w:tcPr>
          <w:p w14:paraId="74C45C05" w14:textId="19FB9F91" w:rsidR="00D01716" w:rsidRPr="000E2A6D" w:rsidRDefault="00AE410A" w:rsidP="00D01716">
            <w:pPr>
              <w:pStyle w:val="TableData"/>
            </w:pPr>
            <w:hyperlink r:id="rId24" w:history="1">
              <w:r w:rsidR="00D01716" w:rsidRPr="000E2A6D">
                <w:rPr>
                  <w:rStyle w:val="Hyperlink"/>
                </w:rPr>
                <w:t>Greene</w:t>
              </w:r>
            </w:hyperlink>
          </w:p>
        </w:tc>
        <w:tc>
          <w:tcPr>
            <w:tcW w:w="1276" w:type="dxa"/>
          </w:tcPr>
          <w:p w14:paraId="2C0B2520" w14:textId="0AC7A308" w:rsidR="00D01716" w:rsidRPr="000E2A6D" w:rsidRDefault="00D01716" w:rsidP="00D01716">
            <w:pPr>
              <w:pStyle w:val="TableData"/>
            </w:pPr>
            <w:r w:rsidRPr="000E2A6D">
              <w:t>March 5</w:t>
            </w:r>
          </w:p>
        </w:tc>
        <w:tc>
          <w:tcPr>
            <w:tcW w:w="6663" w:type="dxa"/>
          </w:tcPr>
          <w:p w14:paraId="79899FBA" w14:textId="1BD6F45A" w:rsidR="00D01716" w:rsidRPr="000E2A6D" w:rsidRDefault="00DF7325" w:rsidP="00D01716">
            <w:pPr>
              <w:pStyle w:val="TableData"/>
            </w:pPr>
            <w:r w:rsidRPr="000E2A6D">
              <w:t>Greene offered a similar view to Pill, arguing the recent uptick in measures of private sector earnings growth, food price inflation, and core goods prices were indicative of an economy that is primarily supply-constrained.</w:t>
            </w:r>
          </w:p>
        </w:tc>
      </w:tr>
      <w:tr w:rsidR="00D01716" w:rsidRPr="000E2A6D" w14:paraId="1A61AD6D" w14:textId="77777777" w:rsidTr="005E703C">
        <w:tc>
          <w:tcPr>
            <w:tcW w:w="1267" w:type="dxa"/>
          </w:tcPr>
          <w:p w14:paraId="47F40899" w14:textId="6234104D" w:rsidR="00D01716" w:rsidRPr="000E2A6D" w:rsidRDefault="00AE410A" w:rsidP="00D01716">
            <w:pPr>
              <w:pStyle w:val="TableData"/>
            </w:pPr>
            <w:hyperlink r:id="rId25" w:history="1">
              <w:r w:rsidR="00D01716" w:rsidRPr="000E2A6D">
                <w:rPr>
                  <w:rStyle w:val="Hyperlink"/>
                </w:rPr>
                <w:t>Ramsden</w:t>
              </w:r>
            </w:hyperlink>
          </w:p>
        </w:tc>
        <w:tc>
          <w:tcPr>
            <w:tcW w:w="1276" w:type="dxa"/>
          </w:tcPr>
          <w:p w14:paraId="77FABE07" w14:textId="0714DBA1" w:rsidR="00D01716" w:rsidRPr="000E2A6D" w:rsidRDefault="00D01716" w:rsidP="00D01716">
            <w:pPr>
              <w:pStyle w:val="TableData"/>
            </w:pPr>
            <w:r w:rsidRPr="000E2A6D">
              <w:t>February 28</w:t>
            </w:r>
          </w:p>
        </w:tc>
        <w:tc>
          <w:tcPr>
            <w:tcW w:w="6663" w:type="dxa"/>
          </w:tcPr>
          <w:p w14:paraId="69591AAF" w14:textId="632064E2" w:rsidR="00D01716" w:rsidRPr="000E2A6D" w:rsidRDefault="00924343" w:rsidP="00D01716">
            <w:pPr>
              <w:pStyle w:val="TableData"/>
            </w:pPr>
            <w:r w:rsidRPr="000E2A6D">
              <w:t>After</w:t>
            </w:r>
            <w:r w:rsidR="009A1781" w:rsidRPr="000E2A6D">
              <w:t xml:space="preserve"> flirt</w:t>
            </w:r>
            <w:r w:rsidRPr="000E2A6D">
              <w:t>ing</w:t>
            </w:r>
            <w:r w:rsidR="009A1781" w:rsidRPr="000E2A6D">
              <w:t xml:space="preserve"> with the dovish camp in December, Ramsden </w:t>
            </w:r>
            <w:r w:rsidRPr="000E2A6D">
              <w:t xml:space="preserve">has </w:t>
            </w:r>
            <w:r w:rsidR="009A1781" w:rsidRPr="000E2A6D">
              <w:t>reverted to the middle of the pack</w:t>
            </w:r>
            <w:r w:rsidR="006C1836" w:rsidRPr="000E2A6D">
              <w:t>. Though the core disinflationary process remains intact, he ar</w:t>
            </w:r>
            <w:r w:rsidR="009A1781" w:rsidRPr="000E2A6D">
              <w:t>gu</w:t>
            </w:r>
            <w:r w:rsidR="006C1836" w:rsidRPr="000E2A6D">
              <w:t>ed</w:t>
            </w:r>
            <w:r w:rsidR="009A1781" w:rsidRPr="000E2A6D">
              <w:t xml:space="preserve"> the risks </w:t>
            </w:r>
            <w:r w:rsidR="006C1836" w:rsidRPr="000E2A6D">
              <w:t>ar</w:t>
            </w:r>
            <w:r w:rsidR="009A1781" w:rsidRPr="000E2A6D">
              <w:t xml:space="preserve">e </w:t>
            </w:r>
            <w:r w:rsidR="006C1836" w:rsidRPr="000E2A6D">
              <w:t>now "two-sided".</w:t>
            </w:r>
          </w:p>
        </w:tc>
      </w:tr>
      <w:tr w:rsidR="00D01716" w:rsidRPr="000E2A6D" w14:paraId="07409A77" w14:textId="77777777" w:rsidTr="005E703C">
        <w:tc>
          <w:tcPr>
            <w:tcW w:w="1267" w:type="dxa"/>
          </w:tcPr>
          <w:p w14:paraId="30C82C1C" w14:textId="0C4805CA" w:rsidR="00D01716" w:rsidRPr="000E2A6D" w:rsidRDefault="00AE410A" w:rsidP="00D01716">
            <w:pPr>
              <w:pStyle w:val="TableData"/>
            </w:pPr>
            <w:hyperlink r:id="rId26" w:history="1">
              <w:r w:rsidR="00D01716" w:rsidRPr="000E2A6D">
                <w:rPr>
                  <w:rStyle w:val="Hyperlink"/>
                </w:rPr>
                <w:t>Dhingra</w:t>
              </w:r>
            </w:hyperlink>
          </w:p>
        </w:tc>
        <w:tc>
          <w:tcPr>
            <w:tcW w:w="1276" w:type="dxa"/>
          </w:tcPr>
          <w:p w14:paraId="0A510D7C" w14:textId="609DEDA3" w:rsidR="00D01716" w:rsidRPr="000E2A6D" w:rsidRDefault="00D01716" w:rsidP="00D01716">
            <w:pPr>
              <w:pStyle w:val="TableData"/>
            </w:pPr>
            <w:r w:rsidRPr="000E2A6D">
              <w:t>February 2</w:t>
            </w:r>
            <w:r w:rsidR="00246B5D" w:rsidRPr="000E2A6D">
              <w:t>4</w:t>
            </w:r>
          </w:p>
        </w:tc>
        <w:tc>
          <w:tcPr>
            <w:tcW w:w="6663" w:type="dxa"/>
          </w:tcPr>
          <w:p w14:paraId="3DAF4040" w14:textId="4541DE90" w:rsidR="00D01716" w:rsidRPr="000E2A6D" w:rsidRDefault="00246B5D" w:rsidP="00D01716">
            <w:pPr>
              <w:pStyle w:val="TableData"/>
            </w:pPr>
            <w:r w:rsidRPr="000E2A6D">
              <w:t>Dhingra argued that "demand is generally weak" and said the "consumption weakness is just not going away".</w:t>
            </w:r>
          </w:p>
        </w:tc>
      </w:tr>
    </w:tbl>
    <w:p w14:paraId="65C9445F" w14:textId="59D2193C" w:rsidR="00D01716" w:rsidRPr="000E2A6D" w:rsidRDefault="00D01716" w:rsidP="008A65EC">
      <w:pPr>
        <w:pStyle w:val="ExhibitSource"/>
      </w:pPr>
      <w:r w:rsidRPr="000E2A6D">
        <w:t>Source: Oxford Economics</w:t>
      </w:r>
    </w:p>
    <w:p w14:paraId="3CB9C345" w14:textId="00327CA8" w:rsidR="00AD1CAB" w:rsidRPr="000E2A6D" w:rsidRDefault="006C2C2C" w:rsidP="00AD1CAB">
      <w:r w:rsidRPr="000E2A6D">
        <w:t xml:space="preserve">The MPC's middle scenario is broadly consistent with </w:t>
      </w:r>
      <w:r w:rsidR="00750D59">
        <w:t xml:space="preserve">maintaining </w:t>
      </w:r>
      <w:r w:rsidRPr="000E2A6D">
        <w:t>the cut-hold tempo</w:t>
      </w:r>
      <w:r w:rsidR="00AD1CAB" w:rsidRPr="000E2A6D">
        <w:t>.</w:t>
      </w:r>
      <w:r w:rsidRPr="000E2A6D">
        <w:t xml:space="preserve"> It follows, therefore, that the majority will vote to hold Bank Rate at 4.5% next week. From our perspective, the only real question mark is whether Taylor votes to cut. He voted for </w:t>
      </w:r>
      <w:r w:rsidR="002A67E7" w:rsidRPr="000E2A6D">
        <w:t>back-to-back</w:t>
      </w:r>
      <w:r w:rsidRPr="000E2A6D">
        <w:t xml:space="preserve"> cuts in December, and his recent testimony to the Treasury Select Committee made clear that </w:t>
      </w:r>
      <w:r w:rsidR="00D542D9" w:rsidRPr="000E2A6D">
        <w:t>he thought weak demand was the domina</w:t>
      </w:r>
      <w:r w:rsidR="00E9501A" w:rsidRPr="000E2A6D">
        <w:t>n</w:t>
      </w:r>
      <w:r w:rsidR="00D542D9" w:rsidRPr="000E2A6D">
        <w:t>t</w:t>
      </w:r>
      <w:r w:rsidR="00E9501A" w:rsidRPr="000E2A6D">
        <w:t xml:space="preserve"> </w:t>
      </w:r>
      <w:r w:rsidR="00D542D9" w:rsidRPr="000E2A6D">
        <w:t xml:space="preserve">factor in the inflation outlook. </w:t>
      </w:r>
      <w:r w:rsidR="001A0A21" w:rsidRPr="000E2A6D">
        <w:t>However, he also cited concerns about the likely scale of regulated price rises in April and the recent strength of the official pay series. He characterised his February vote as steering a middle course</w:t>
      </w:r>
      <w:r w:rsidR="002D520D" w:rsidRPr="000E2A6D">
        <w:t xml:space="preserve"> through those factors; </w:t>
      </w:r>
      <w:r w:rsidR="00CC1BF2" w:rsidRPr="000E2A6D">
        <w:t xml:space="preserve">this time around </w:t>
      </w:r>
      <w:r w:rsidR="002D520D" w:rsidRPr="000E2A6D">
        <w:t>the middle course is</w:t>
      </w:r>
      <w:r w:rsidR="00CC1BF2" w:rsidRPr="000E2A6D">
        <w:t xml:space="preserve"> likely to be a vote to hold.</w:t>
      </w:r>
    </w:p>
    <w:p w14:paraId="7EB80DF4" w14:textId="6C7294C3" w:rsidR="00CC1BF2" w:rsidRPr="000E2A6D" w:rsidRDefault="00FD6EC4" w:rsidP="008A65EC">
      <w:pPr>
        <w:pStyle w:val="Heading3"/>
      </w:pPr>
      <w:r w:rsidRPr="000E2A6D">
        <w:t xml:space="preserve">Recent data offer </w:t>
      </w:r>
      <w:r w:rsidR="00750D59">
        <w:t>few</w:t>
      </w:r>
      <w:r w:rsidRPr="000E2A6D">
        <w:t xml:space="preserve"> new insight</w:t>
      </w:r>
      <w:r w:rsidR="00750D59">
        <w:t>s</w:t>
      </w:r>
      <w:r w:rsidRPr="000E2A6D">
        <w:t xml:space="preserve"> to the MPC</w:t>
      </w:r>
    </w:p>
    <w:p w14:paraId="6CFAC9CB" w14:textId="676F1339" w:rsidR="00525119" w:rsidRPr="000E2A6D" w:rsidRDefault="00FD6EC4" w:rsidP="00AD1CAB">
      <w:r w:rsidRPr="000E2A6D">
        <w:t xml:space="preserve">Data published since the last meeting have been mixed. </w:t>
      </w:r>
      <w:r w:rsidR="003E3F39" w:rsidRPr="000E2A6D">
        <w:t xml:space="preserve">January's reading for </w:t>
      </w:r>
      <w:hyperlink r:id="rId27" w:history="1">
        <w:r w:rsidR="003E3F39" w:rsidRPr="000E2A6D">
          <w:rPr>
            <w:rStyle w:val="Hyperlink"/>
          </w:rPr>
          <w:t>CPI inflation</w:t>
        </w:r>
      </w:hyperlink>
      <w:r w:rsidR="003E3F39" w:rsidRPr="000E2A6D">
        <w:t xml:space="preserve"> came in 0.2ppt</w:t>
      </w:r>
      <w:r w:rsidR="00A1699B" w:rsidRPr="000E2A6D">
        <w:t>s</w:t>
      </w:r>
      <w:r w:rsidR="003E3F39" w:rsidRPr="000E2A6D">
        <w:t xml:space="preserve"> above the BoE staff's forecast, but s</w:t>
      </w:r>
      <w:r w:rsidRPr="000E2A6D">
        <w:t xml:space="preserve">ervices inflation </w:t>
      </w:r>
      <w:r w:rsidR="003E3F39" w:rsidRPr="000E2A6D">
        <w:t xml:space="preserve">– a key signal of underlying pressures – came in 0.2ppts lower than anticipated. </w:t>
      </w:r>
    </w:p>
    <w:p w14:paraId="6FA17D7E" w14:textId="038EA4F1" w:rsidR="008F0237" w:rsidRPr="000E2A6D" w:rsidRDefault="003E3F39" w:rsidP="00AD1CAB">
      <w:r w:rsidRPr="000E2A6D">
        <w:t xml:space="preserve">Private sector regular </w:t>
      </w:r>
      <w:hyperlink r:id="rId28" w:history="1">
        <w:r w:rsidRPr="000E2A6D">
          <w:rPr>
            <w:rStyle w:val="Hyperlink"/>
          </w:rPr>
          <w:t>pay growth</w:t>
        </w:r>
      </w:hyperlink>
      <w:r w:rsidRPr="000E2A6D">
        <w:t xml:space="preserve"> of 6.2% in the three months to December was still well above the pace the MPC considers consistent with achieving the inflation target over the medium-term. But the official series for pay growth increasingly looks an outlier, with all other measures much softer.</w:t>
      </w:r>
    </w:p>
    <w:p w14:paraId="193A36A2" w14:textId="49659F1D" w:rsidR="00525119" w:rsidRPr="000E2A6D" w:rsidRDefault="00525119" w:rsidP="00AD1CAB">
      <w:r w:rsidRPr="000E2A6D">
        <w:t xml:space="preserve">The MPC will have exceptional pre-release access to </w:t>
      </w:r>
      <w:r w:rsidR="000B5B8E" w:rsidRPr="000E2A6D">
        <w:t xml:space="preserve">the next set of labour market statistics (due to be published the morning </w:t>
      </w:r>
      <w:r w:rsidR="00750D59">
        <w:t xml:space="preserve">that </w:t>
      </w:r>
      <w:r w:rsidR="000B5B8E" w:rsidRPr="000E2A6D">
        <w:t>the MPC announce</w:t>
      </w:r>
      <w:r w:rsidR="00750D59">
        <w:t>s its decision</w:t>
      </w:r>
      <w:r w:rsidR="000B5B8E" w:rsidRPr="000E2A6D">
        <w:t>)</w:t>
      </w:r>
      <w:r w:rsidR="00750D59">
        <w:t>,</w:t>
      </w:r>
      <w:r w:rsidR="000B5B8E" w:rsidRPr="000E2A6D">
        <w:t xml:space="preserve"> but a calendar quirk means it won’t see February's inflation data (due out on </w:t>
      </w:r>
      <w:r w:rsidR="002D520D" w:rsidRPr="000E2A6D">
        <w:t>March</w:t>
      </w:r>
      <w:r w:rsidR="000B5B8E" w:rsidRPr="000E2A6D">
        <w:t xml:space="preserve"> 26).</w:t>
      </w:r>
    </w:p>
    <w:p w14:paraId="5E61A8FC" w14:textId="56F9ED80" w:rsidR="00C624AB" w:rsidRPr="000E2A6D" w:rsidRDefault="00E41561" w:rsidP="00AD1CAB">
      <w:r w:rsidRPr="000E2A6D">
        <w:t>Turning</w:t>
      </w:r>
      <w:r w:rsidR="00C624AB" w:rsidRPr="000E2A6D">
        <w:t xml:space="preserve"> to demand, December's </w:t>
      </w:r>
      <w:hyperlink r:id="rId29" w:history="1">
        <w:r w:rsidR="00C624AB" w:rsidRPr="000E2A6D">
          <w:rPr>
            <w:rStyle w:val="Hyperlink"/>
          </w:rPr>
          <w:t>GDP</w:t>
        </w:r>
      </w:hyperlink>
      <w:r w:rsidR="00C624AB" w:rsidRPr="000E2A6D">
        <w:t xml:space="preserve"> outturn was much stronger than expected. But this </w:t>
      </w:r>
      <w:r w:rsidR="00525119" w:rsidRPr="000E2A6D">
        <w:t>followed a series of softer readings</w:t>
      </w:r>
      <w:r w:rsidR="00750D59">
        <w:t>,</w:t>
      </w:r>
      <w:r w:rsidR="00525119" w:rsidRPr="000E2A6D">
        <w:t xml:space="preserve"> and </w:t>
      </w:r>
      <w:hyperlink r:id="rId30" w:history="1">
        <w:r w:rsidR="001A4AB2" w:rsidRPr="000E2A6D">
          <w:rPr>
            <w:rStyle w:val="Hyperlink"/>
          </w:rPr>
          <w:t>problems with residual seasonality</w:t>
        </w:r>
      </w:hyperlink>
      <w:r w:rsidR="001A4AB2" w:rsidRPr="000E2A6D">
        <w:t xml:space="preserve"> make </w:t>
      </w:r>
      <w:r w:rsidR="0080549A" w:rsidRPr="000E2A6D">
        <w:t>deriv</w:t>
      </w:r>
      <w:r w:rsidR="00750D59">
        <w:t>ing</w:t>
      </w:r>
      <w:r w:rsidR="0080549A" w:rsidRPr="000E2A6D">
        <w:t xml:space="preserve"> a clear signal from activity data</w:t>
      </w:r>
      <w:r w:rsidR="00750D59">
        <w:t xml:space="preserve"> difficult</w:t>
      </w:r>
      <w:r w:rsidR="0080549A" w:rsidRPr="000E2A6D">
        <w:t>.</w:t>
      </w:r>
      <w:r w:rsidR="00522840" w:rsidRPr="000E2A6D">
        <w:t xml:space="preserve"> </w:t>
      </w:r>
      <w:hyperlink r:id="rId31" w:history="1">
        <w:r w:rsidR="00522840" w:rsidRPr="000E2A6D">
          <w:rPr>
            <w:rStyle w:val="Hyperlink"/>
          </w:rPr>
          <w:t>Business survey data remains subdued</w:t>
        </w:r>
      </w:hyperlink>
      <w:r w:rsidR="00522840" w:rsidRPr="000E2A6D">
        <w:t>, but it's hard to separate dissatisfaction with the Budget and Trump-related uncertainty from actual trends in activity.</w:t>
      </w:r>
    </w:p>
    <w:p w14:paraId="3E929026" w14:textId="31916CE3" w:rsidR="00C736EE" w:rsidRPr="000E2A6D" w:rsidRDefault="00750D59" w:rsidP="008A65EC">
      <w:pPr>
        <w:pStyle w:val="Heading3"/>
      </w:pPr>
      <w:r w:rsidRPr="000E2A6D">
        <w:lastRenderedPageBreak/>
        <w:t xml:space="preserve">August </w:t>
      </w:r>
      <w:r w:rsidR="00F107CF" w:rsidRPr="000E2A6D">
        <w:t xml:space="preserve">is likely to be </w:t>
      </w:r>
      <w:r>
        <w:t>the n</w:t>
      </w:r>
      <w:r w:rsidRPr="000E2A6D">
        <w:t xml:space="preserve">ext meeting with genuine jeopardy </w:t>
      </w:r>
    </w:p>
    <w:p w14:paraId="32271E7B" w14:textId="3F03731A" w:rsidR="0088468C" w:rsidRDefault="007F457E" w:rsidP="00F107CF">
      <w:r w:rsidRPr="000E2A6D">
        <w:t xml:space="preserve">At the recent </w:t>
      </w:r>
      <w:r w:rsidR="00750D59" w:rsidRPr="00750D59">
        <w:t>Treasury Select Committee</w:t>
      </w:r>
      <w:r w:rsidRPr="000E2A6D">
        <w:t xml:space="preserve"> hearing, MPC members were at pains to stress the heightened degree of uncertainty, </w:t>
      </w:r>
      <w:r w:rsidR="003B2E2E" w:rsidRPr="000E2A6D">
        <w:t>and Taylor remarked that "every meeting coming up for the MPC will be a live meeting"</w:t>
      </w:r>
      <w:r w:rsidRPr="000E2A6D">
        <w:t xml:space="preserve">. But </w:t>
      </w:r>
      <w:r w:rsidR="003B2E2E" w:rsidRPr="000E2A6D">
        <w:t xml:space="preserve">we think the reality is somewhat different. </w:t>
      </w:r>
      <w:r w:rsidRPr="000E2A6D">
        <w:t xml:space="preserve">Bank Rate is still well above all estimates of neutral, and unless there's a sudden, unexpected, change in the growth or inflation </w:t>
      </w:r>
      <w:r w:rsidR="008E02E1" w:rsidRPr="000E2A6D">
        <w:t>outlooks</w:t>
      </w:r>
      <w:r w:rsidRPr="000E2A6D">
        <w:t xml:space="preserve">, </w:t>
      </w:r>
      <w:r w:rsidR="008E02E1" w:rsidRPr="000E2A6D">
        <w:t xml:space="preserve">we view a 25bps </w:t>
      </w:r>
      <w:r w:rsidR="007C4A0C" w:rsidRPr="000E2A6D">
        <w:t>cut in May</w:t>
      </w:r>
      <w:r w:rsidR="008E02E1" w:rsidRPr="000E2A6D">
        <w:t xml:space="preserve"> as almost certain</w:t>
      </w:r>
      <w:r w:rsidR="007C4A0C" w:rsidRPr="000E2A6D">
        <w:t>.</w:t>
      </w:r>
      <w:r w:rsidR="008E02E1" w:rsidRPr="000E2A6D">
        <w:t xml:space="preserve"> </w:t>
      </w:r>
    </w:p>
    <w:p w14:paraId="164D9634" w14:textId="37181695" w:rsidR="00F107CF" w:rsidRPr="000E2A6D" w:rsidRDefault="008E02E1" w:rsidP="00F107CF">
      <w:r w:rsidRPr="000E2A6D">
        <w:t>Financial markets largely agree, pricing a 7</w:t>
      </w:r>
      <w:r w:rsidR="00890F3B" w:rsidRPr="000E2A6D">
        <w:t>5</w:t>
      </w:r>
      <w:r w:rsidRPr="000E2A6D">
        <w:t>% chance of a 25bps cut by the May meeting.</w:t>
      </w:r>
      <w:r w:rsidR="00A44B0B" w:rsidRPr="000E2A6D">
        <w:t xml:space="preserve"> </w:t>
      </w:r>
      <w:r w:rsidRPr="000E2A6D">
        <w:t>Furthermore,</w:t>
      </w:r>
      <w:r w:rsidR="00A44B0B" w:rsidRPr="000E2A6D">
        <w:t xml:space="preserve"> though </w:t>
      </w:r>
      <w:r w:rsidRPr="000E2A6D">
        <w:t xml:space="preserve">the MPC's most hawkish members, </w:t>
      </w:r>
      <w:r w:rsidR="00A44B0B" w:rsidRPr="000E2A6D">
        <w:t>Pill and Greene</w:t>
      </w:r>
      <w:r w:rsidRPr="000E2A6D">
        <w:t>,</w:t>
      </w:r>
      <w:r w:rsidR="00A44B0B" w:rsidRPr="000E2A6D">
        <w:t xml:space="preserve"> expressed concerns about supply weakness at the TSC hearing, they confirmed that the mid-range scenario remained their baseline and that they expected Bank Rate to continue to gradually fall.</w:t>
      </w:r>
    </w:p>
    <w:p w14:paraId="51706372" w14:textId="59D454B0" w:rsidR="00B81E05" w:rsidRPr="000E2A6D" w:rsidRDefault="00B81E05" w:rsidP="00F107CF">
      <w:r w:rsidRPr="000E2A6D">
        <w:t>Financial market developments since the February meeting</w:t>
      </w:r>
      <w:r w:rsidR="00877329" w:rsidRPr="000E2A6D">
        <w:t xml:space="preserve"> support the gradual pace of rate cuts continuing</w:t>
      </w:r>
      <w:r w:rsidR="00B81379" w:rsidRPr="000E2A6D">
        <w:t xml:space="preserve">. Gas and oil prices have dropped back, while sterling has strengthened against the dollar. This implies the pickup in inflation will be slightly more muted this summer than </w:t>
      </w:r>
      <w:r w:rsidR="0088468C" w:rsidRPr="000E2A6D">
        <w:t>anticipated</w:t>
      </w:r>
      <w:r w:rsidR="0088468C">
        <w:t xml:space="preserve"> in</w:t>
      </w:r>
      <w:r w:rsidR="0088468C" w:rsidRPr="000E2A6D">
        <w:t xml:space="preserve"> </w:t>
      </w:r>
      <w:r w:rsidR="00B81379" w:rsidRPr="000E2A6D">
        <w:t>the BoE's most recent forecast (</w:t>
      </w:r>
      <w:r w:rsidR="00D74A04" w:rsidRPr="005A2509">
        <w:rPr>
          <w:b/>
          <w:color w:val="003469"/>
        </w:rPr>
        <w:fldChar w:fldCharType="begin"/>
      </w:r>
      <w:r w:rsidR="005A2509" w:rsidRPr="005A2509">
        <w:rPr>
          <w:b/>
          <w:color w:val="003469"/>
        </w:rPr>
        <w:instrText xml:space="preserve">REF _Ref192578910 \h \* Charformat </w:instrText>
      </w:r>
      <w:r w:rsidR="005A2509" w:rsidRPr="005A2509">
        <w:rPr>
          <w:b/>
          <w:color w:val="003469"/>
        </w:rPr>
      </w:r>
      <w:r w:rsidR="00D74A04" w:rsidRPr="005A2509">
        <w:rPr>
          <w:b/>
          <w:color w:val="003469"/>
        </w:rPr>
        <w:fldChar w:fldCharType="separate"/>
      </w:r>
      <w:r w:rsidR="005A2509" w:rsidRPr="005A2509">
        <w:rPr>
          <w:b/>
          <w:color w:val="003469"/>
        </w:rPr>
        <w:t>Chart 2</w:t>
      </w:r>
      <w:r w:rsidR="00D74A04" w:rsidRPr="005A2509">
        <w:rPr>
          <w:b/>
          <w:color w:val="003469"/>
        </w:rPr>
        <w:fldChar w:fldCharType="end"/>
      </w:r>
      <w:r w:rsidR="00B81379" w:rsidRPr="000E2A6D">
        <w:t>).</w:t>
      </w:r>
    </w:p>
    <w:p w14:paraId="39C6E5E6" w14:textId="047B289A" w:rsidR="00AD1CAB" w:rsidRPr="000E2A6D" w:rsidRDefault="00AD1CAB" w:rsidP="008A65EC">
      <w:pPr>
        <w:pStyle w:val="ExhibitTitle"/>
      </w:pPr>
      <w:bookmarkStart w:id="2" w:name="_Ref192578910"/>
      <w:r w:rsidRPr="000E2A6D">
        <w:t xml:space="preserve">Chart </w:t>
      </w:r>
      <w:r w:rsidRPr="000E2A6D">
        <w:fldChar w:fldCharType="begin"/>
      </w:r>
      <w:r w:rsidR="00C55094" w:rsidRPr="000E2A6D">
        <w:instrText>SEQ CHART</w:instrText>
      </w:r>
      <w:r w:rsidRPr="000E2A6D">
        <w:fldChar w:fldCharType="separate"/>
      </w:r>
      <w:r w:rsidR="00C55094" w:rsidRPr="000E2A6D">
        <w:t>2</w:t>
      </w:r>
      <w:r w:rsidRPr="000E2A6D">
        <w:fldChar w:fldCharType="end"/>
      </w:r>
      <w:bookmarkEnd w:id="2"/>
      <w:r w:rsidRPr="000E2A6D">
        <w:t xml:space="preserve">: </w:t>
      </w:r>
      <w:r w:rsidR="00B81379" w:rsidRPr="000E2A6D">
        <w:t>Financial market developments point to a lower peak for inflation</w:t>
      </w:r>
    </w:p>
    <w:p w14:paraId="2DB173FA" w14:textId="1EA23874" w:rsidR="00C55094" w:rsidRPr="000E2A6D" w:rsidRDefault="00C55094" w:rsidP="008A65EC">
      <w:pPr>
        <w:spacing w:after="0"/>
      </w:pPr>
      <w:r w:rsidRPr="000E2A6D">
        <w:rPr>
          <w:noProof/>
        </w:rPr>
        <w:drawing>
          <wp:inline distT="0" distB="0" distL="0" distR="0" wp14:anchorId="505C8D3C" wp14:editId="508DD130">
            <wp:extent cx="3250933" cy="2548068"/>
            <wp:effectExtent l="0" t="0" r="6985" b="5080"/>
            <wp:docPr id="66634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94" name=""/>
                    <pic:cNvPicPr/>
                  </pic:nvPicPr>
                  <pic:blipFill>
                    <a:blip r:embed="rId32">
                      <a:extLst>
                        <a:ext uri="{96DAC541-7B7A-43D3-8B79-37D633B846F1}">
                          <asvg:svgBlip xmlns:asvg="http://schemas.microsoft.com/office/drawing/2016/SVG/main" r:embed="rId33"/>
                        </a:ext>
                      </a:extLst>
                    </a:blip>
                    <a:srcRect b="1886"/>
                    <a:stretch>
                      <a:fillRect/>
                    </a:stretch>
                  </pic:blipFill>
                  <pic:spPr>
                    <a:xfrm>
                      <a:off x="0" y="0"/>
                      <a:ext cx="3250933" cy="2548068"/>
                    </a:xfrm>
                    <a:prstGeom prst="rect">
                      <a:avLst/>
                    </a:prstGeom>
                  </pic:spPr>
                </pic:pic>
              </a:graphicData>
            </a:graphic>
          </wp:inline>
        </w:drawing>
      </w:r>
    </w:p>
    <w:p w14:paraId="57D40E70" w14:textId="0CDD358C" w:rsidR="00AD1CAB" w:rsidRPr="000E2A6D" w:rsidRDefault="00C55094" w:rsidP="008A65EC">
      <w:pPr>
        <w:pStyle w:val="ExhibitSource"/>
      </w:pPr>
      <w:r w:rsidRPr="000E2A6D">
        <w:t>Sources: Oxford Economics, Bank of England, HMT</w:t>
      </w:r>
    </w:p>
    <w:p w14:paraId="0F46D92F" w14:textId="3D1B1350" w:rsidR="00AD1CAB" w:rsidRPr="000E2A6D" w:rsidRDefault="00A105BD" w:rsidP="00AD1CAB">
      <w:r w:rsidRPr="000E2A6D">
        <w:t xml:space="preserve">But the key influence on the BoE's forecasts – and </w:t>
      </w:r>
      <w:r w:rsidR="0088468C">
        <w:t xml:space="preserve">the </w:t>
      </w:r>
      <w:r w:rsidRPr="000E2A6D">
        <w:t>most o</w:t>
      </w:r>
      <w:r w:rsidR="00855AB0" w:rsidRPr="000E2A6D">
        <w:t>bvious threat to the cut-hold tempo</w:t>
      </w:r>
      <w:r w:rsidRPr="000E2A6D">
        <w:t xml:space="preserve"> –</w:t>
      </w:r>
      <w:r w:rsidR="00855AB0" w:rsidRPr="000E2A6D">
        <w:t xml:space="preserve"> will </w:t>
      </w:r>
      <w:r w:rsidR="00CC1E76" w:rsidRPr="000E2A6D">
        <w:t xml:space="preserve">be evidence of the impact of </w:t>
      </w:r>
      <w:r w:rsidR="00855AB0" w:rsidRPr="000E2A6D">
        <w:t xml:space="preserve">April's increases in regulated prices, employers' national insurance contributions, and the national living wage. Indeed, Governor Bailey has identified the increase in NICs as </w:t>
      </w:r>
      <w:r w:rsidR="008D5B11">
        <w:t>a</w:t>
      </w:r>
      <w:r w:rsidR="008D5B11" w:rsidRPr="000E2A6D">
        <w:t xml:space="preserve"> </w:t>
      </w:r>
      <w:r w:rsidR="00855AB0" w:rsidRPr="000E2A6D">
        <w:t xml:space="preserve">key source of domestic uncertainty on several occasions. Business surveys and April's inflation outturn will be available for the MPC's June meeting. But there will be scant official labour market data until the run up to the August meeting. The MPC will also update its forecasts then, so the August meeting </w:t>
      </w:r>
      <w:r w:rsidR="002A7F69" w:rsidRPr="000E2A6D">
        <w:t>is likely to be</w:t>
      </w:r>
      <w:r w:rsidR="00855AB0" w:rsidRPr="000E2A6D">
        <w:t xml:space="preserve"> the </w:t>
      </w:r>
      <w:r w:rsidR="002A7F69" w:rsidRPr="000E2A6D">
        <w:t>next</w:t>
      </w:r>
      <w:r w:rsidR="00855AB0" w:rsidRPr="000E2A6D">
        <w:t xml:space="preserve"> time there will be genuine jeopardy around the monetary policy decision.</w:t>
      </w:r>
    </w:p>
    <w:sectPr w:rsidR="00AD1CAB" w:rsidRPr="000E2A6D" w:rsidSect="00CC6A3F">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F9595" w14:textId="77777777" w:rsidR="00AD1CAB" w:rsidRDefault="00AD1CAB" w:rsidP="00AD1CAB">
      <w:pPr>
        <w:spacing w:before="0" w:after="0"/>
      </w:pPr>
      <w:r>
        <w:separator/>
      </w:r>
    </w:p>
  </w:endnote>
  <w:endnote w:type="continuationSeparator" w:id="0">
    <w:p w14:paraId="5986F148" w14:textId="77777777" w:rsidR="00AD1CAB" w:rsidRDefault="00AD1CAB" w:rsidP="00AD1CA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45C9" w14:textId="4FE6BA1D" w:rsidR="00AD1CAB" w:rsidRPr="00AD1CAB" w:rsidRDefault="00AD1CAB" w:rsidP="00AD1CAB">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03B16" w14:textId="514E4099" w:rsidR="00AD1CAB" w:rsidRDefault="00AD1CAB" w:rsidP="00AD1CAB">
    <w:pPr>
      <w:pStyle w:val="Author"/>
    </w:pPr>
    <w:r>
      <w:t>Andrew Goodwin</w:t>
    </w:r>
    <w:r w:rsidR="008A65EC">
      <w:t xml:space="preserve"> - </w:t>
    </w:r>
    <w:r>
      <w:t>Chief UK Economist</w:t>
    </w:r>
    <w:r w:rsidR="008A65EC">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C448A" w14:textId="77777777" w:rsidR="00AD1CAB" w:rsidRDefault="00AD1CAB" w:rsidP="00AD1CAB">
      <w:pPr>
        <w:spacing w:before="0" w:after="0"/>
      </w:pPr>
      <w:r>
        <w:separator/>
      </w:r>
    </w:p>
  </w:footnote>
  <w:footnote w:type="continuationSeparator" w:id="0">
    <w:p w14:paraId="38D50D7E" w14:textId="77777777" w:rsidR="00AD1CAB" w:rsidRDefault="00AD1CAB" w:rsidP="00AD1CA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EF7DA" w14:textId="77777777" w:rsidR="00AD1CAB" w:rsidRDefault="00AD1CA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51FF" w14:textId="13FBFD54" w:rsidR="00AD1CAB" w:rsidRDefault="00AD1CAB" w:rsidP="00AD1CAB">
    <w:pPr>
      <w:pStyle w:val="Headline"/>
      <w:spacing w:before="120"/>
      <w:ind w:right="-1000"/>
    </w:pPr>
    <w:r w:rsidRPr="00AD1CAB">
      <w:rPr>
        <w:noProof/>
      </w:rPr>
      <w:drawing>
        <wp:anchor distT="0" distB="0" distL="114300" distR="114300" simplePos="0" relativeHeight="251658239" behindDoc="1" locked="1" layoutInCell="1" allowOverlap="1" wp14:anchorId="54BB0321" wp14:editId="0861DA73">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D026D3" w:rsidRPr="00D026D3">
      <w:t xml:space="preserve">MPC preview – </w:t>
    </w:r>
    <w:r w:rsidR="00A123A4" w:rsidRPr="00A123A4">
      <w:t>More of the same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9F44" w14:textId="5A2F209D" w:rsidR="00AD1CAB" w:rsidRDefault="00AD1CAB" w:rsidP="00AD1CAB">
    <w:r w:rsidRPr="00AD1CAB">
      <w:rPr>
        <w:noProof/>
      </w:rPr>
      <w:drawing>
        <wp:anchor distT="0" distB="0" distL="114300" distR="114300" simplePos="0" relativeHeight="251659264" behindDoc="1" locked="1" layoutInCell="1" allowOverlap="1" wp14:anchorId="5D02FC87" wp14:editId="598F45D8">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518891294"/>
      <w:lock w:val="sdtLocked"/>
      <w:placeholder>
        <w:docPart w:val="DefaultPlaceholder_-1854013437"/>
      </w:placeholder>
      <w:date w:fullDate="2025-03-13T00:00:00Z">
        <w:dateFormat w:val="d MMMM yyyy"/>
        <w:lid w:val="en-GB"/>
        <w:storeMappedDataAs w:val="dateTime"/>
        <w:calendar w:val="gregorian"/>
      </w:date>
    </w:sdtPr>
    <w:sdtEndPr/>
    <w:sdtContent>
      <w:p w14:paraId="18A122D8" w14:textId="7E26D586" w:rsidR="00AD1CAB" w:rsidRPr="00AD1CAB" w:rsidRDefault="00DA70FE" w:rsidP="00AD1CAB">
        <w:pPr>
          <w:pStyle w:val="PublishDate"/>
          <w:framePr w:w="2835" w:h="340" w:hRule="exact" w:hSpace="180" w:wrap="around" w:vAnchor="page" w:hAnchor="page" w:x="7801" w:y="601" w:anchorLock="1"/>
        </w:pPr>
        <w:r>
          <w:t>13 March 2025</w:t>
        </w:r>
      </w:p>
    </w:sdtContent>
  </w:sdt>
  <w:p w14:paraId="4A131FBE" w14:textId="5A0DA63D" w:rsidR="00AD1CAB" w:rsidRDefault="00F10DE9" w:rsidP="00AD1CAB">
    <w:pPr>
      <w:pStyle w:val="ProductDescription"/>
      <w:framePr w:w="11339" w:h="1474" w:hRule="exact" w:hSpace="180" w:wrap="around" w:vAnchor="page" w:hAnchor="page" w:x="401" w:y="1141" w:anchorLock="1"/>
      <w:spacing w:after="200"/>
    </w:pPr>
    <w:r>
      <w:t>Research Briefing</w:t>
    </w:r>
    <w:r w:rsidR="00AD1CAB">
      <w:t xml:space="preserve"> | </w:t>
    </w:r>
    <w:r>
      <w:t>UK</w:t>
    </w:r>
  </w:p>
  <w:p w14:paraId="59E9E416" w14:textId="62375257" w:rsidR="00AD1CAB" w:rsidRDefault="00D026D3" w:rsidP="00AD1CAB">
    <w:pPr>
      <w:pStyle w:val="Headline"/>
      <w:framePr w:w="11339" w:h="1474" w:hRule="exact" w:hSpace="180" w:wrap="around" w:vAnchor="page" w:hAnchor="page" w:x="401" w:y="1141" w:anchorLock="1"/>
      <w:spacing w:line="200" w:lineRule="auto"/>
    </w:pPr>
    <w:r>
      <w:t xml:space="preserve">MPC preview – </w:t>
    </w:r>
    <w:r w:rsidR="00A123A4" w:rsidRPr="00A123A4">
      <w:t>More of the same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AB"/>
    <w:rsid w:val="00003BA7"/>
    <w:rsid w:val="0000431B"/>
    <w:rsid w:val="00022761"/>
    <w:rsid w:val="00023E25"/>
    <w:rsid w:val="00043615"/>
    <w:rsid w:val="0005491E"/>
    <w:rsid w:val="000B5B8E"/>
    <w:rsid w:val="000C0ADF"/>
    <w:rsid w:val="000D3E43"/>
    <w:rsid w:val="000E2A6D"/>
    <w:rsid w:val="000E2BD3"/>
    <w:rsid w:val="000F3F52"/>
    <w:rsid w:val="001018E9"/>
    <w:rsid w:val="00120D7A"/>
    <w:rsid w:val="00124E58"/>
    <w:rsid w:val="001374B0"/>
    <w:rsid w:val="001375F2"/>
    <w:rsid w:val="00160F71"/>
    <w:rsid w:val="0016252D"/>
    <w:rsid w:val="0016316B"/>
    <w:rsid w:val="0017078A"/>
    <w:rsid w:val="00190C04"/>
    <w:rsid w:val="00192CDF"/>
    <w:rsid w:val="001A0A21"/>
    <w:rsid w:val="001A4AB2"/>
    <w:rsid w:val="001A5775"/>
    <w:rsid w:val="001A6993"/>
    <w:rsid w:val="001A749F"/>
    <w:rsid w:val="001B2B67"/>
    <w:rsid w:val="001B2C32"/>
    <w:rsid w:val="001D566E"/>
    <w:rsid w:val="001D7057"/>
    <w:rsid w:val="001E0785"/>
    <w:rsid w:val="001E0C4A"/>
    <w:rsid w:val="001F3317"/>
    <w:rsid w:val="001F3BDB"/>
    <w:rsid w:val="00236154"/>
    <w:rsid w:val="00242E5E"/>
    <w:rsid w:val="00246B5D"/>
    <w:rsid w:val="002615F6"/>
    <w:rsid w:val="00262D94"/>
    <w:rsid w:val="00263E48"/>
    <w:rsid w:val="002745D6"/>
    <w:rsid w:val="00282A8A"/>
    <w:rsid w:val="00286754"/>
    <w:rsid w:val="0029566B"/>
    <w:rsid w:val="002A67E7"/>
    <w:rsid w:val="002A7F69"/>
    <w:rsid w:val="002C1955"/>
    <w:rsid w:val="002D0DC9"/>
    <w:rsid w:val="002D520D"/>
    <w:rsid w:val="002F68FA"/>
    <w:rsid w:val="003017D9"/>
    <w:rsid w:val="0031169C"/>
    <w:rsid w:val="00316CBE"/>
    <w:rsid w:val="00336655"/>
    <w:rsid w:val="003472B5"/>
    <w:rsid w:val="00357D90"/>
    <w:rsid w:val="00370974"/>
    <w:rsid w:val="00374E02"/>
    <w:rsid w:val="0038541D"/>
    <w:rsid w:val="003B007D"/>
    <w:rsid w:val="003B0CAB"/>
    <w:rsid w:val="003B2E2E"/>
    <w:rsid w:val="003B715A"/>
    <w:rsid w:val="003C1BB1"/>
    <w:rsid w:val="003D4B2D"/>
    <w:rsid w:val="003E3F39"/>
    <w:rsid w:val="003E6239"/>
    <w:rsid w:val="003E7F3C"/>
    <w:rsid w:val="003F0F4E"/>
    <w:rsid w:val="0040359C"/>
    <w:rsid w:val="00405A12"/>
    <w:rsid w:val="00405D65"/>
    <w:rsid w:val="00417C26"/>
    <w:rsid w:val="004258C9"/>
    <w:rsid w:val="00442992"/>
    <w:rsid w:val="004458BB"/>
    <w:rsid w:val="00446951"/>
    <w:rsid w:val="004602D9"/>
    <w:rsid w:val="0046292D"/>
    <w:rsid w:val="004677EA"/>
    <w:rsid w:val="004709EA"/>
    <w:rsid w:val="004827E3"/>
    <w:rsid w:val="00495DE7"/>
    <w:rsid w:val="004A2A92"/>
    <w:rsid w:val="004B205A"/>
    <w:rsid w:val="004B4F66"/>
    <w:rsid w:val="004C7923"/>
    <w:rsid w:val="004D473F"/>
    <w:rsid w:val="004D5B83"/>
    <w:rsid w:val="004D650E"/>
    <w:rsid w:val="004D6FED"/>
    <w:rsid w:val="004F10F9"/>
    <w:rsid w:val="00516C0A"/>
    <w:rsid w:val="005176F2"/>
    <w:rsid w:val="00522840"/>
    <w:rsid w:val="00524103"/>
    <w:rsid w:val="00525119"/>
    <w:rsid w:val="00535C71"/>
    <w:rsid w:val="005414BA"/>
    <w:rsid w:val="0054280C"/>
    <w:rsid w:val="005473C6"/>
    <w:rsid w:val="00563FEB"/>
    <w:rsid w:val="00575045"/>
    <w:rsid w:val="00576CB8"/>
    <w:rsid w:val="00592138"/>
    <w:rsid w:val="005A2509"/>
    <w:rsid w:val="005E404F"/>
    <w:rsid w:val="005E703C"/>
    <w:rsid w:val="005F0616"/>
    <w:rsid w:val="005F7401"/>
    <w:rsid w:val="006125A3"/>
    <w:rsid w:val="006166EE"/>
    <w:rsid w:val="00633BE2"/>
    <w:rsid w:val="00671564"/>
    <w:rsid w:val="006739BF"/>
    <w:rsid w:val="0067595A"/>
    <w:rsid w:val="006A1630"/>
    <w:rsid w:val="006A676D"/>
    <w:rsid w:val="006B76A5"/>
    <w:rsid w:val="006C1836"/>
    <w:rsid w:val="006C2C2C"/>
    <w:rsid w:val="006C7C06"/>
    <w:rsid w:val="006F4E8C"/>
    <w:rsid w:val="006F60F1"/>
    <w:rsid w:val="007040A3"/>
    <w:rsid w:val="00730E79"/>
    <w:rsid w:val="0074116D"/>
    <w:rsid w:val="00750D59"/>
    <w:rsid w:val="007723AE"/>
    <w:rsid w:val="007A0F18"/>
    <w:rsid w:val="007B57CD"/>
    <w:rsid w:val="007C4A0C"/>
    <w:rsid w:val="007C7AD9"/>
    <w:rsid w:val="007F1AA3"/>
    <w:rsid w:val="007F457E"/>
    <w:rsid w:val="007F5D5D"/>
    <w:rsid w:val="0080549A"/>
    <w:rsid w:val="008413F8"/>
    <w:rsid w:val="00847933"/>
    <w:rsid w:val="00855AB0"/>
    <w:rsid w:val="00855D68"/>
    <w:rsid w:val="0086090E"/>
    <w:rsid w:val="008742FC"/>
    <w:rsid w:val="00874B7C"/>
    <w:rsid w:val="00877329"/>
    <w:rsid w:val="0088455B"/>
    <w:rsid w:val="0088468C"/>
    <w:rsid w:val="00890F3B"/>
    <w:rsid w:val="008A65EC"/>
    <w:rsid w:val="008D4F08"/>
    <w:rsid w:val="008D5B11"/>
    <w:rsid w:val="008E02E1"/>
    <w:rsid w:val="008E11F0"/>
    <w:rsid w:val="008E6742"/>
    <w:rsid w:val="008E721D"/>
    <w:rsid w:val="008F0237"/>
    <w:rsid w:val="008F1A70"/>
    <w:rsid w:val="008F401E"/>
    <w:rsid w:val="009052BF"/>
    <w:rsid w:val="009148F6"/>
    <w:rsid w:val="00920D15"/>
    <w:rsid w:val="00924343"/>
    <w:rsid w:val="009337A8"/>
    <w:rsid w:val="00933B30"/>
    <w:rsid w:val="009634AC"/>
    <w:rsid w:val="00963AA5"/>
    <w:rsid w:val="00973624"/>
    <w:rsid w:val="00995E6B"/>
    <w:rsid w:val="00997780"/>
    <w:rsid w:val="009A1781"/>
    <w:rsid w:val="009B723B"/>
    <w:rsid w:val="009C7C16"/>
    <w:rsid w:val="009E07F1"/>
    <w:rsid w:val="009E36E2"/>
    <w:rsid w:val="009E5F70"/>
    <w:rsid w:val="009F0B7E"/>
    <w:rsid w:val="009F37D1"/>
    <w:rsid w:val="009F3F01"/>
    <w:rsid w:val="00A0333D"/>
    <w:rsid w:val="00A105BD"/>
    <w:rsid w:val="00A123A4"/>
    <w:rsid w:val="00A1699B"/>
    <w:rsid w:val="00A25234"/>
    <w:rsid w:val="00A3129B"/>
    <w:rsid w:val="00A332D4"/>
    <w:rsid w:val="00A44B0B"/>
    <w:rsid w:val="00A50835"/>
    <w:rsid w:val="00A52669"/>
    <w:rsid w:val="00A56EE0"/>
    <w:rsid w:val="00A576A0"/>
    <w:rsid w:val="00A63323"/>
    <w:rsid w:val="00A66B32"/>
    <w:rsid w:val="00A77085"/>
    <w:rsid w:val="00A9430E"/>
    <w:rsid w:val="00AB24B7"/>
    <w:rsid w:val="00AB6B99"/>
    <w:rsid w:val="00AD07ED"/>
    <w:rsid w:val="00AD1CAB"/>
    <w:rsid w:val="00AE410A"/>
    <w:rsid w:val="00AE6C3C"/>
    <w:rsid w:val="00AE76E6"/>
    <w:rsid w:val="00B04E07"/>
    <w:rsid w:val="00B16B5A"/>
    <w:rsid w:val="00B17434"/>
    <w:rsid w:val="00B3761E"/>
    <w:rsid w:val="00B46018"/>
    <w:rsid w:val="00B51BAB"/>
    <w:rsid w:val="00B73402"/>
    <w:rsid w:val="00B7343B"/>
    <w:rsid w:val="00B81379"/>
    <w:rsid w:val="00B81E05"/>
    <w:rsid w:val="00B846EA"/>
    <w:rsid w:val="00B910EA"/>
    <w:rsid w:val="00BB6195"/>
    <w:rsid w:val="00BE1485"/>
    <w:rsid w:val="00BE5134"/>
    <w:rsid w:val="00BF6A2A"/>
    <w:rsid w:val="00C17065"/>
    <w:rsid w:val="00C55094"/>
    <w:rsid w:val="00C55396"/>
    <w:rsid w:val="00C624AB"/>
    <w:rsid w:val="00C65A69"/>
    <w:rsid w:val="00C71A9B"/>
    <w:rsid w:val="00C72052"/>
    <w:rsid w:val="00C736EE"/>
    <w:rsid w:val="00C75153"/>
    <w:rsid w:val="00C76458"/>
    <w:rsid w:val="00C84AD7"/>
    <w:rsid w:val="00C90D41"/>
    <w:rsid w:val="00C93538"/>
    <w:rsid w:val="00C9768F"/>
    <w:rsid w:val="00CA4BF3"/>
    <w:rsid w:val="00CB23EC"/>
    <w:rsid w:val="00CB7716"/>
    <w:rsid w:val="00CC1BF2"/>
    <w:rsid w:val="00CC1E76"/>
    <w:rsid w:val="00CC3321"/>
    <w:rsid w:val="00CC6A3F"/>
    <w:rsid w:val="00CE3160"/>
    <w:rsid w:val="00D01716"/>
    <w:rsid w:val="00D01AEE"/>
    <w:rsid w:val="00D026D3"/>
    <w:rsid w:val="00D272BC"/>
    <w:rsid w:val="00D35384"/>
    <w:rsid w:val="00D361A8"/>
    <w:rsid w:val="00D379EC"/>
    <w:rsid w:val="00D44219"/>
    <w:rsid w:val="00D542D9"/>
    <w:rsid w:val="00D54638"/>
    <w:rsid w:val="00D645EE"/>
    <w:rsid w:val="00D74A04"/>
    <w:rsid w:val="00D82250"/>
    <w:rsid w:val="00DA567B"/>
    <w:rsid w:val="00DA70FE"/>
    <w:rsid w:val="00DB0BE6"/>
    <w:rsid w:val="00DB4661"/>
    <w:rsid w:val="00DB7FCD"/>
    <w:rsid w:val="00DC3B6C"/>
    <w:rsid w:val="00DE568D"/>
    <w:rsid w:val="00DE673B"/>
    <w:rsid w:val="00DF68CB"/>
    <w:rsid w:val="00DF7325"/>
    <w:rsid w:val="00DF73F9"/>
    <w:rsid w:val="00E10235"/>
    <w:rsid w:val="00E213A8"/>
    <w:rsid w:val="00E23560"/>
    <w:rsid w:val="00E242C1"/>
    <w:rsid w:val="00E25FED"/>
    <w:rsid w:val="00E41561"/>
    <w:rsid w:val="00E9501A"/>
    <w:rsid w:val="00EA0803"/>
    <w:rsid w:val="00EA2025"/>
    <w:rsid w:val="00EC10CA"/>
    <w:rsid w:val="00EC1242"/>
    <w:rsid w:val="00EC77E1"/>
    <w:rsid w:val="00ED615F"/>
    <w:rsid w:val="00ED6FF0"/>
    <w:rsid w:val="00F107CF"/>
    <w:rsid w:val="00F10DE9"/>
    <w:rsid w:val="00F151DD"/>
    <w:rsid w:val="00F2643F"/>
    <w:rsid w:val="00F52C66"/>
    <w:rsid w:val="00F72F2A"/>
    <w:rsid w:val="00F90E13"/>
    <w:rsid w:val="00FB0753"/>
    <w:rsid w:val="00FC1EA7"/>
    <w:rsid w:val="00FD6EC4"/>
    <w:rsid w:val="00FE0BBF"/>
    <w:rsid w:val="00FE0EF6"/>
    <w:rsid w:val="00FE5C10"/>
    <w:rsid w:val="00FF18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4A0F0C7D"/>
  <w15:chartTrackingRefBased/>
  <w15:docId w15:val="{E42FEFA4-0AA6-47A8-B0D3-2B7E28539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CA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AD1C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AD1CAB"/>
    <w:pPr>
      <w:outlineLvl w:val="1"/>
    </w:pPr>
    <w:rPr>
      <w:sz w:val="28"/>
    </w:rPr>
  </w:style>
  <w:style w:type="paragraph" w:styleId="Heading3">
    <w:name w:val="heading 3"/>
    <w:basedOn w:val="Normal"/>
    <w:next w:val="Normal"/>
    <w:link w:val="Heading3Char"/>
    <w:uiPriority w:val="9"/>
    <w:unhideWhenUsed/>
    <w:qFormat/>
    <w:rsid w:val="00AD1C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AD1C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AD1C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AD1CA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AD1CA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AD1C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AD1C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CA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AD1CA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AD1CA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AD1CA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AD1CAB"/>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AD1CAB"/>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AD1CAB"/>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AD1CA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D1CAB"/>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AD1C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AD1CAB"/>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AD1CAB"/>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AD1CAB"/>
    <w:pPr>
      <w:tabs>
        <w:tab w:val="center" w:pos="4320"/>
        <w:tab w:val="right" w:pos="8640"/>
      </w:tabs>
    </w:pPr>
  </w:style>
  <w:style w:type="character" w:customStyle="1" w:styleId="HeaderChar">
    <w:name w:val="Header Char"/>
    <w:basedOn w:val="DefaultParagraphFont"/>
    <w:link w:val="Header"/>
    <w:uiPriority w:val="99"/>
    <w:rsid w:val="00AD1CA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AD1CAB"/>
    <w:pPr>
      <w:tabs>
        <w:tab w:val="center" w:pos="4320"/>
        <w:tab w:val="right" w:pos="8640"/>
      </w:tabs>
    </w:pPr>
  </w:style>
  <w:style w:type="character" w:customStyle="1" w:styleId="FooterChar">
    <w:name w:val="Footer Char"/>
    <w:basedOn w:val="DefaultParagraphFont"/>
    <w:link w:val="Footer"/>
    <w:uiPriority w:val="99"/>
    <w:rsid w:val="00AD1CAB"/>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AD1CAB"/>
    <w:rPr>
      <w:noProof w:val="0"/>
    </w:rPr>
  </w:style>
  <w:style w:type="character" w:styleId="Hyperlink">
    <w:name w:val="Hyperlink"/>
    <w:basedOn w:val="DefaultParagraphFont"/>
    <w:uiPriority w:val="99"/>
    <w:unhideWhenUsed/>
    <w:rsid w:val="00AD1CAB"/>
    <w:rPr>
      <w:noProof w:val="0"/>
      <w:color w:val="467886" w:themeColor="hyperlink"/>
      <w:u w:val="single"/>
    </w:rPr>
  </w:style>
  <w:style w:type="paragraph" w:styleId="Revision">
    <w:name w:val="Revision"/>
    <w:hidden/>
    <w:uiPriority w:val="99"/>
    <w:semiHidden/>
    <w:rsid w:val="00AD1CA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AD1CAB"/>
    <w:pPr>
      <w:spacing w:after="120"/>
    </w:pPr>
    <w:rPr>
      <w:b/>
      <w:bCs/>
      <w:color w:val="FFFFFF"/>
      <w:sz w:val="32"/>
      <w:szCs w:val="32"/>
    </w:rPr>
  </w:style>
  <w:style w:type="paragraph" w:customStyle="1" w:styleId="Headline">
    <w:name w:val="Headline"/>
    <w:basedOn w:val="Normal"/>
    <w:next w:val="Normal"/>
    <w:link w:val="HeadlineChar"/>
    <w:qFormat/>
    <w:rsid w:val="00AD1CAB"/>
    <w:rPr>
      <w:rFonts w:ascii="Segoe UI Semilight" w:hAnsi="Segoe UI Semilight" w:cs="Segoe UI Semilight"/>
      <w:b/>
      <w:bCs/>
      <w:color w:val="FFFFFF"/>
      <w:sz w:val="40"/>
      <w:szCs w:val="40"/>
    </w:rPr>
  </w:style>
  <w:style w:type="paragraph" w:customStyle="1" w:styleId="ExhibitTitle">
    <w:name w:val="Exhibit Title"/>
    <w:basedOn w:val="Normal"/>
    <w:qFormat/>
    <w:rsid w:val="00AD1C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AD1CAB"/>
    <w:pPr>
      <w:shd w:val="clear" w:color="auto" w:fill="D6E2FA"/>
      <w:spacing w:after="0"/>
    </w:pPr>
    <w:rPr>
      <w:color w:val="595959" w:themeColor="text1" w:themeTint="A6"/>
      <w:sz w:val="18"/>
    </w:rPr>
  </w:style>
  <w:style w:type="paragraph" w:customStyle="1" w:styleId="ExhibitSource">
    <w:name w:val="Exhibit Source"/>
    <w:next w:val="Normal"/>
    <w:qFormat/>
    <w:rsid w:val="00AD1C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AD1CAB"/>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AD1CAB"/>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AD1CAB"/>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AD1CA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AD1CAB"/>
    <w:rPr>
      <w:rFonts w:ascii="Segoe UI" w:hAnsi="Segoe UI" w:cs="Segoe UI"/>
      <w:noProof w:val="0"/>
      <w:color w:val="000000" w:themeColor="text1"/>
    </w:rPr>
  </w:style>
  <w:style w:type="paragraph" w:customStyle="1" w:styleId="Summary">
    <w:name w:val="Summary"/>
    <w:basedOn w:val="Normal"/>
    <w:link w:val="SummaryChar"/>
    <w:qFormat/>
    <w:rsid w:val="00AD1CAB"/>
    <w:pPr>
      <w:numPr>
        <w:numId w:val="1"/>
      </w:numPr>
      <w:ind w:left="1797" w:hanging="357"/>
    </w:pPr>
    <w:rPr>
      <w:kern w:val="2"/>
      <w:sz w:val="22"/>
      <w14:ligatures w14:val="standardContextual"/>
    </w:rPr>
  </w:style>
  <w:style w:type="paragraph" w:customStyle="1" w:styleId="TableData">
    <w:name w:val="Table Data"/>
    <w:link w:val="TableDataChar"/>
    <w:qFormat/>
    <w:rsid w:val="00AD1CA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AD1CA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AD1CA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AD1CA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AD1CA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AD1CA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AD1CA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AD1CA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AD1CAB"/>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AD1CA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AD1CAB"/>
    <w:rPr>
      <w:color w:val="003469"/>
    </w:rPr>
  </w:style>
  <w:style w:type="character" w:customStyle="1" w:styleId="RepeatingFooterChar">
    <w:name w:val="Repeating Footer Char"/>
    <w:basedOn w:val="FooterChar"/>
    <w:link w:val="RepeatingFooter"/>
    <w:rsid w:val="00AD1CA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AD1CA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AD1CAB"/>
    <w:rPr>
      <w:b/>
      <w:bCs/>
      <w:noProof w:val="0"/>
    </w:rPr>
  </w:style>
  <w:style w:type="character" w:customStyle="1" w:styleId="Italics">
    <w:name w:val="Italics"/>
    <w:uiPriority w:val="1"/>
    <w:qFormat/>
    <w:rsid w:val="00AD1CAB"/>
    <w:rPr>
      <w:i/>
      <w:iCs/>
      <w:noProof w:val="0"/>
    </w:rPr>
  </w:style>
  <w:style w:type="table" w:customStyle="1" w:styleId="TableGridHeader">
    <w:name w:val="Table Grid Header"/>
    <w:basedOn w:val="TableNormal"/>
    <w:uiPriority w:val="99"/>
    <w:rsid w:val="00AD1CA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www.reuters.com/markets/rates-bonds/bank-englands-dhingra-says-mpc-divided-over-pace-rate-cuts-2025-02-24/" TargetMode="External"/><Relationship Id="rId3" Type="http://schemas.openxmlformats.org/officeDocument/2006/relationships/customXml" Target="../customXml/item3.xml"/><Relationship Id="rId21" Type="http://schemas.openxmlformats.org/officeDocument/2006/relationships/hyperlink" Target="https://committees.parliament.uk/oralevidence/15477/html/"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bankofengland.co.uk/speech/2025/february/dave-ramsden-keynote-speech-stellenbosch-university-on-monetary-policy-geopolitical-fragmentation" TargetMode="External"/><Relationship Id="rId17" Type="http://schemas.openxmlformats.org/officeDocument/2006/relationships/footer" Target="footer1.xml"/><Relationship Id="rId25" Type="http://schemas.openxmlformats.org/officeDocument/2006/relationships/hyperlink" Target="https://www.bankofengland.co.uk/speech/2025/february/dave-ramsden-keynote-speech-stellenbosch-university-on-monetary-policy-geopolitical-fragmentation" TargetMode="External"/><Relationship Id="rId33"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bankofengland.co.uk/speech/2025/march/catherine-l-mann-keynote-lecture-reserve-bank-of-new-zealand-research-conference" TargetMode="External"/><Relationship Id="rId29" Type="http://schemas.openxmlformats.org/officeDocument/2006/relationships/hyperlink" Target="https://my.oxfordeconomics.com/reports/2489A7C009084eFa8E2A2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nkofengland.co.uk/speech/2025/march/catherine-l-mann-keynote-lecture-reserve-bank-of-new-zealand-research-conference" TargetMode="External"/><Relationship Id="rId24" Type="http://schemas.openxmlformats.org/officeDocument/2006/relationships/hyperlink" Target="https://committees.parliament.uk/oralevidence/15477/html/" TargetMode="External"/><Relationship Id="rId32" Type="http://schemas.openxmlformats.org/officeDocument/2006/relationships/image" Target="media/image5.png"/><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committees.parliament.uk/oralevidence/15477/html/" TargetMode="External"/><Relationship Id="rId28" Type="http://schemas.openxmlformats.org/officeDocument/2006/relationships/hyperlink" Target="https://my.oxfordeconomics.com/reportaction/277F73908aF545B7862B03/Toc" TargetMode="External"/><Relationship Id="rId36" Type="http://schemas.openxmlformats.org/officeDocument/2006/relationships/theme" Target="theme/theme1.xml"/><Relationship Id="rId10" Type="http://schemas.openxmlformats.org/officeDocument/2006/relationships/hyperlink" Target="https://my.oxfordeconomics.com/reportaction/8180CdCe656B4a3d8D3164/Toc" TargetMode="External"/><Relationship Id="rId19" Type="http://schemas.openxmlformats.org/officeDocument/2006/relationships/footer" Target="footer2.xml"/><Relationship Id="rId31" Type="http://schemas.openxmlformats.org/officeDocument/2006/relationships/hyperlink" Target="https://my.oxfordeconomics.com/reports/758d05dA1c224072aC35A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 Id="rId22" Type="http://schemas.openxmlformats.org/officeDocument/2006/relationships/hyperlink" Target="https://committees.parliament.uk/oralevidence/15477/html/" TargetMode="External"/><Relationship Id="rId27" Type="http://schemas.openxmlformats.org/officeDocument/2006/relationships/hyperlink" Target="https://my.oxfordeconomics.com/reportaction/6b9C37D512944eFfb002eb/Toc" TargetMode="External"/><Relationship Id="rId30" Type="http://schemas.openxmlformats.org/officeDocument/2006/relationships/hyperlink" Target="https://my.oxfordeconomics.com/reports/a03DD12da962424ba96511" TargetMode="External"/><Relationship Id="rId35" Type="http://schemas.openxmlformats.org/officeDocument/2006/relationships/glossaryDocument" Target="glossary/document.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6688013C-2D6E-4148-B837-A33285265F18}"/>
      </w:docPartPr>
      <w:docPartBody>
        <w:p w:rsidR="009F1DBF" w:rsidRDefault="009F1DBF">
          <w:r w:rsidRPr="009E697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BF"/>
    <w:rsid w:val="0000431B"/>
    <w:rsid w:val="00336655"/>
    <w:rsid w:val="008413F8"/>
    <w:rsid w:val="009F1DBF"/>
    <w:rsid w:val="00A3129B"/>
    <w:rsid w:val="00B51BAB"/>
    <w:rsid w:val="00C55396"/>
    <w:rsid w:val="00EC77E1"/>
    <w:rsid w:val="00FE0B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CFE0BCA5-B2E1-4970-A434-A0504F064A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ECCC0D-D01A-48CC-A0C8-62D03D626389}">
  <ds:schemaRefs>
    <ds:schemaRef ds:uri="http://schemas.microsoft.com/sharepoint/v3/contenttype/forms"/>
  </ds:schemaRefs>
</ds:datastoreItem>
</file>

<file path=customXml/itemProps3.xml><?xml version="1.0" encoding="utf-8"?>
<ds:datastoreItem xmlns:ds="http://schemas.openxmlformats.org/officeDocument/2006/customXml" ds:itemID="{DDACA787-F303-48DA-9356-CA9CB7540DC0}">
  <ds:schemaRefs>
    <ds:schemaRef ds:uri="http://purl.org/dc/terms/"/>
    <ds:schemaRef ds:uri="http://purl.org/dc/dcmitype/"/>
    <ds:schemaRef ds:uri="6ec33f61-c765-4e3b-9958-53c32fd1fd0b"/>
    <ds:schemaRef ds:uri="http://schemas.microsoft.com/office/2006/metadata/properties"/>
    <ds:schemaRef ds:uri="http://schemas.openxmlformats.org/package/2006/metadata/core-properties"/>
    <ds:schemaRef ds:uri="6c77b332-7df6-4eff-997f-266963d55fc4"/>
    <ds:schemaRef ds:uri="http://schemas.microsoft.com/office/2006/documentManagement/types"/>
    <ds:schemaRef ds:uri="http://purl.org/dc/elements/1.1/"/>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1536</Words>
  <Characters>8065</Characters>
  <Application>Microsoft Office Word</Application>
  <DocSecurity>0</DocSecurity>
  <Lines>141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dcterms:created xsi:type="dcterms:W3CDTF">2025-03-13T10:24:00Z</dcterms:created>
  <dcterms:modified xsi:type="dcterms:W3CDTF">2025-03-13T10:54:00Z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v0.8.1.1</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2025-03-13T10:28:39.000Z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Briefing\20250313 RB UK MPC preview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ContentTypeId">
    <vt:lpwstr>0x01010009401BB7205AF745BAD4FA98BDE0B98F</vt:lpwstr>
  </property>
  <property fmtid="{D5CDD505-2E9C-101B-9397-08002B2CF9AE}" pid="18" name="OEP_PRODUCT_CODE">
    <vt:lpwstr>8fa4E312e3594e03b9cEa7</vt:lpwstr>
  </property>
  <property fmtid="{D5CDD505-2E9C-101B-9397-08002B2CF9AE}" pid="19" name="OEP_PUBLISH_DATE">
    <vt:lpwstr/>
  </property>
</Properties>
</file>