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0F9DC" w14:textId="2834B718" w:rsidR="009D51AB" w:rsidRDefault="00F00A97" w:rsidP="009D51AB">
      <w:pPr>
        <w:pStyle w:val="Bullet"/>
      </w:pPr>
      <w:r>
        <w:t xml:space="preserve">As expected, the Bank of England held interest rates at today's meeting, </w:t>
      </w:r>
      <w:r w:rsidR="00232B66">
        <w:t xml:space="preserve">following </w:t>
      </w:r>
      <w:r>
        <w:t>last month's cut.</w:t>
      </w:r>
      <w:r w:rsidR="009D51AB">
        <w:t xml:space="preserve"> </w:t>
      </w:r>
      <w:r>
        <w:t xml:space="preserve">Cutting at alternate meetings has become </w:t>
      </w:r>
      <w:r w:rsidR="00291919">
        <w:t xml:space="preserve">the </w:t>
      </w:r>
      <w:r w:rsidR="00A90190">
        <w:t xml:space="preserve">norm </w:t>
      </w:r>
      <w:r w:rsidR="00291919">
        <w:t>and this</w:t>
      </w:r>
      <w:r>
        <w:t xml:space="preserve"> is unlikely to change until at least August</w:t>
      </w:r>
      <w:r w:rsidR="00291919">
        <w:t>,</w:t>
      </w:r>
      <w:r>
        <w:t xml:space="preserve"> given </w:t>
      </w:r>
      <w:r w:rsidR="00612D5F">
        <w:t xml:space="preserve">that </w:t>
      </w:r>
      <w:r>
        <w:t xml:space="preserve">policy is still </w:t>
      </w:r>
      <w:r w:rsidR="00742F4F">
        <w:t>clearly</w:t>
      </w:r>
      <w:r>
        <w:t xml:space="preserve"> restrictive</w:t>
      </w:r>
      <w:r w:rsidR="00742F4F">
        <w:t xml:space="preserve">, growth is sluggish, and </w:t>
      </w:r>
      <w:r w:rsidR="00742F4F" w:rsidRPr="00742F4F">
        <w:t>the</w:t>
      </w:r>
      <w:r w:rsidR="001564E7">
        <w:t xml:space="preserve"> BoE's</w:t>
      </w:r>
      <w:r w:rsidR="00742F4F" w:rsidRPr="00742F4F">
        <w:t xml:space="preserve"> </w:t>
      </w:r>
      <w:r w:rsidR="00A90190" w:rsidRPr="00742F4F">
        <w:t xml:space="preserve">measure </w:t>
      </w:r>
      <w:r w:rsidR="00A90190">
        <w:t xml:space="preserve">of </w:t>
      </w:r>
      <w:r w:rsidR="00742F4F" w:rsidRPr="00742F4F">
        <w:t>core services inflation is slowing gradually</w:t>
      </w:r>
      <w:r>
        <w:t>.</w:t>
      </w:r>
    </w:p>
    <w:p w14:paraId="20B9DE12" w14:textId="370C8DAB" w:rsidR="009D51AB" w:rsidRDefault="00253130" w:rsidP="009D51AB">
      <w:pPr>
        <w:pStyle w:val="Bullet"/>
      </w:pPr>
      <w:r>
        <w:t xml:space="preserve">The MPC gave advanced notice that </w:t>
      </w:r>
      <w:r w:rsidR="006833E0">
        <w:t xml:space="preserve">it will recast its </w:t>
      </w:r>
      <w:r>
        <w:t>inflation scenarios in May, with a stronger focus on the balance between demand and supply</w:t>
      </w:r>
      <w:r w:rsidR="00AC5231">
        <w:t xml:space="preserve">. </w:t>
      </w:r>
      <w:r w:rsidR="008F390A">
        <w:t>T</w:t>
      </w:r>
      <w:r w:rsidR="00753BDF">
        <w:t xml:space="preserve">his change </w:t>
      </w:r>
      <w:r w:rsidR="008F390A">
        <w:t>should</w:t>
      </w:r>
      <w:r w:rsidR="00753BDF">
        <w:t xml:space="preserve"> </w:t>
      </w:r>
      <w:r w:rsidR="00057B21">
        <w:t xml:space="preserve">help it </w:t>
      </w:r>
      <w:r w:rsidR="00753BDF">
        <w:t>communicat</w:t>
      </w:r>
      <w:r w:rsidR="00057B21">
        <w:t>e decisions</w:t>
      </w:r>
      <w:r w:rsidR="00753BDF">
        <w:t>, given the scenarios will better match the MPC's key discussion points</w:t>
      </w:r>
      <w:r w:rsidR="008F390A">
        <w:t xml:space="preserve">. But </w:t>
      </w:r>
      <w:r w:rsidR="00753BDF">
        <w:t>we don</w:t>
      </w:r>
      <w:r w:rsidR="00057B21">
        <w:t>'</w:t>
      </w:r>
      <w:r w:rsidR="00753BDF">
        <w:t xml:space="preserve">t expect </w:t>
      </w:r>
      <w:r w:rsidR="002B24C5">
        <w:t>the switch</w:t>
      </w:r>
      <w:r w:rsidR="00753BDF">
        <w:t xml:space="preserve"> to change the outlook for monetary policy.</w:t>
      </w:r>
    </w:p>
    <w:p w14:paraId="635FE5F6" w14:textId="4C514F7E" w:rsidR="00742F4F" w:rsidRDefault="00742F4F" w:rsidP="009D51AB">
      <w:pPr>
        <w:pStyle w:val="Bullet"/>
      </w:pPr>
      <w:r w:rsidRPr="00742F4F">
        <w:t>We expect the MPC will cut rates by 25bp</w:t>
      </w:r>
      <w:r w:rsidR="00E2197F">
        <w:t>s</w:t>
      </w:r>
      <w:r w:rsidRPr="00742F4F">
        <w:t xml:space="preserve"> in May, with </w:t>
      </w:r>
      <w:r w:rsidR="003B2902">
        <w:t>Bank Rate</w:t>
      </w:r>
      <w:r w:rsidRPr="00742F4F">
        <w:t xml:space="preserve"> falling to 3.75% </w:t>
      </w:r>
      <w:r w:rsidR="00E2197F">
        <w:t>by</w:t>
      </w:r>
      <w:r w:rsidR="00E2197F" w:rsidRPr="00742F4F">
        <w:t xml:space="preserve"> </w:t>
      </w:r>
      <w:r w:rsidRPr="00742F4F">
        <w:t>year</w:t>
      </w:r>
      <w:r>
        <w:t xml:space="preserve"> </w:t>
      </w:r>
      <w:r w:rsidRPr="00742F4F">
        <w:t>end</w:t>
      </w:r>
      <w:r>
        <w:t>.</w:t>
      </w:r>
    </w:p>
    <w:p w14:paraId="08DCD7DE" w14:textId="29F6C888" w:rsidR="009D51AB" w:rsidRDefault="00883D16" w:rsidP="009D51AB">
      <w:r w:rsidRPr="00883D16">
        <w:t xml:space="preserve">The Bank of England's Monetary Policy Committee voted </w:t>
      </w:r>
      <w:r w:rsidR="00956600">
        <w:t>8-1</w:t>
      </w:r>
      <w:r w:rsidRPr="00883D16">
        <w:t xml:space="preserve"> to </w:t>
      </w:r>
      <w:r>
        <w:t>hold</w:t>
      </w:r>
      <w:r w:rsidRPr="00883D16">
        <w:t xml:space="preserve"> Bank Rate </w:t>
      </w:r>
      <w:r>
        <w:t>at</w:t>
      </w:r>
      <w:r w:rsidRPr="00883D16">
        <w:t xml:space="preserve"> 4.5% at today's meeting.</w:t>
      </w:r>
      <w:r>
        <w:t xml:space="preserve"> The </w:t>
      </w:r>
      <w:r w:rsidR="00956600">
        <w:t>sole</w:t>
      </w:r>
      <w:r>
        <w:t xml:space="preserve"> dissenter</w:t>
      </w:r>
      <w:r w:rsidR="00956600">
        <w:t>, S</w:t>
      </w:r>
      <w:r w:rsidRPr="00883D16">
        <w:t>wati Dhingra</w:t>
      </w:r>
      <w:r w:rsidR="00956600">
        <w:t xml:space="preserve">, </w:t>
      </w:r>
      <w:r w:rsidRPr="00883D16">
        <w:t xml:space="preserve">voted for a </w:t>
      </w:r>
      <w:r>
        <w:t>25</w:t>
      </w:r>
      <w:r w:rsidRPr="00883D16">
        <w:t>bp cut</w:t>
      </w:r>
      <w:r>
        <w:t xml:space="preserve">. </w:t>
      </w:r>
      <w:r w:rsidR="005638B0">
        <w:t xml:space="preserve">In </w:t>
      </w:r>
      <w:hyperlink r:id="rId10" w:history="1">
        <w:r w:rsidR="005638B0" w:rsidRPr="005638B0">
          <w:rPr>
            <w:rStyle w:val="Hyperlink"/>
          </w:rPr>
          <w:t>our preview</w:t>
        </w:r>
      </w:hyperlink>
      <w:r w:rsidR="005638B0">
        <w:t xml:space="preserve">, we argued that the only real uncertainty was whether Alan Taylor would vote for another cut. In the event, Taylor </w:t>
      </w:r>
      <w:r w:rsidR="00F00A97">
        <w:t>rowed with the majority</w:t>
      </w:r>
      <w:r w:rsidR="00956600">
        <w:t xml:space="preserve">. But Catherine Mann continued her </w:t>
      </w:r>
      <w:r w:rsidR="00470DA8">
        <w:t xml:space="preserve">fickle </w:t>
      </w:r>
      <w:r w:rsidR="00956600">
        <w:t xml:space="preserve">voting behaviour, voting for no change in March </w:t>
      </w:r>
      <w:r w:rsidR="007C7381">
        <w:t xml:space="preserve">after </w:t>
      </w:r>
      <w:r w:rsidR="00956600">
        <w:t>back</w:t>
      </w:r>
      <w:r w:rsidR="007C7381">
        <w:t>ing</w:t>
      </w:r>
      <w:r w:rsidR="00956600">
        <w:t xml:space="preserve"> a 50bps cut in February</w:t>
      </w:r>
      <w:r w:rsidR="000C0876">
        <w:t xml:space="preserve"> and </w:t>
      </w:r>
      <w:r w:rsidR="007C7381">
        <w:t xml:space="preserve">having </w:t>
      </w:r>
      <w:r w:rsidR="000C0876">
        <w:t xml:space="preserve">given a </w:t>
      </w:r>
      <w:hyperlink r:id="rId11" w:history="1">
        <w:r w:rsidR="000C0876" w:rsidRPr="000B11AC">
          <w:rPr>
            <w:rStyle w:val="Hyperlink"/>
          </w:rPr>
          <w:t>very dovish speech</w:t>
        </w:r>
      </w:hyperlink>
      <w:r w:rsidR="000C0876">
        <w:t xml:space="preserve"> </w:t>
      </w:r>
      <w:r w:rsidR="007C7381">
        <w:t xml:space="preserve">just </w:t>
      </w:r>
      <w:r w:rsidR="00FB2AEF">
        <w:t>two</w:t>
      </w:r>
      <w:r w:rsidR="000C0876">
        <w:t xml:space="preserve"> weeks ago</w:t>
      </w:r>
      <w:r w:rsidR="00956600">
        <w:t>.</w:t>
      </w:r>
    </w:p>
    <w:p w14:paraId="1B5216E9" w14:textId="102D912A" w:rsidR="009D51AB" w:rsidRDefault="009829F2" w:rsidP="009D51AB">
      <w:r>
        <w:t>The MPC</w:t>
      </w:r>
      <w:r w:rsidR="003D01BD">
        <w:t>'</w:t>
      </w:r>
      <w:r>
        <w:t xml:space="preserve">s overall message was that there had been little in the way of domestic economic developments since the February meeting, but that the degree of global </w:t>
      </w:r>
      <w:r w:rsidR="00481C9C">
        <w:t xml:space="preserve">trade policy </w:t>
      </w:r>
      <w:r>
        <w:t xml:space="preserve">uncertainty </w:t>
      </w:r>
      <w:r>
        <w:t xml:space="preserve">has increased. </w:t>
      </w:r>
      <w:r w:rsidR="00BB6802">
        <w:t>T</w:t>
      </w:r>
      <w:r>
        <w:t>he committee</w:t>
      </w:r>
      <w:r w:rsidR="00BB6802">
        <w:t>'s</w:t>
      </w:r>
      <w:r>
        <w:t xml:space="preserve"> </w:t>
      </w:r>
      <w:r w:rsidR="00BB6802">
        <w:t xml:space="preserve">views on </w:t>
      </w:r>
      <w:r>
        <w:t>the growth and inflation outlooks</w:t>
      </w:r>
      <w:r w:rsidR="00BB6802">
        <w:t xml:space="preserve"> still vary</w:t>
      </w:r>
      <w:r>
        <w:t xml:space="preserve">. But </w:t>
      </w:r>
      <w:r w:rsidR="00261D86">
        <w:t>as</w:t>
      </w:r>
      <w:r>
        <w:t xml:space="preserve"> all members believe policy is </w:t>
      </w:r>
      <w:r w:rsidR="00261D86">
        <w:t xml:space="preserve">currently </w:t>
      </w:r>
      <w:r>
        <w:t xml:space="preserve">restrictive, those divisions aren't </w:t>
      </w:r>
      <w:r w:rsidR="00261D86">
        <w:t xml:space="preserve">sufficient </w:t>
      </w:r>
      <w:r>
        <w:t xml:space="preserve">to </w:t>
      </w:r>
      <w:r w:rsidR="00474DC9">
        <w:t>cause major disagreement</w:t>
      </w:r>
      <w:r w:rsidR="0056757B">
        <w:t>s</w:t>
      </w:r>
      <w:r w:rsidR="00474DC9">
        <w:t xml:space="preserve"> on the </w:t>
      </w:r>
      <w:r w:rsidR="003A7919">
        <w:t>immediate policy decision</w:t>
      </w:r>
      <w:r w:rsidR="00474DC9">
        <w:t>.</w:t>
      </w:r>
    </w:p>
    <w:p w14:paraId="203E213C" w14:textId="79A91CDB" w:rsidR="009D51AB" w:rsidRDefault="00A435E1" w:rsidP="009D51AB">
      <w:r>
        <w:t>A</w:t>
      </w:r>
      <w:r w:rsidR="00481C9C">
        <w:t>t</w:t>
      </w:r>
      <w:r w:rsidR="00481C9C" w:rsidRPr="00474DC9">
        <w:t xml:space="preserve"> the February meeting</w:t>
      </w:r>
      <w:r w:rsidR="00481C9C">
        <w:t>, t</w:t>
      </w:r>
      <w:r w:rsidR="00474DC9" w:rsidRPr="00474DC9">
        <w:t xml:space="preserve">he MPC largely sidelined </w:t>
      </w:r>
      <w:r>
        <w:t>the</w:t>
      </w:r>
      <w:r w:rsidR="00474DC9" w:rsidRPr="00474DC9">
        <w:t xml:space="preserve"> </w:t>
      </w:r>
      <w:r w:rsidR="00481C9C">
        <w:t xml:space="preserve">three </w:t>
      </w:r>
      <w:r w:rsidR="00474DC9" w:rsidRPr="00474DC9">
        <w:t>inflation scenarios</w:t>
      </w:r>
      <w:r>
        <w:t xml:space="preserve"> it had previously used to frame its </w:t>
      </w:r>
      <w:r w:rsidR="005204E3">
        <w:t>messages</w:t>
      </w:r>
      <w:r w:rsidR="00474DC9">
        <w:t xml:space="preserve">. In the minutes </w:t>
      </w:r>
      <w:r w:rsidR="005204E3">
        <w:t xml:space="preserve">from the </w:t>
      </w:r>
      <w:r w:rsidR="00474DC9">
        <w:t>March meeting, the committee signalled that the scenarios will be replaced in May. The</w:t>
      </w:r>
      <w:r w:rsidR="00D20931">
        <w:t>se</w:t>
      </w:r>
      <w:r w:rsidR="00474DC9">
        <w:t xml:space="preserve"> new scenarios will build on the MPC's recent discussions about the balance between demand and supply. One scenario will focus on longer-lasting demand weakness. The other will look at greater persistence in domestic wages and prices resulting from more constrained supply</w:t>
      </w:r>
      <w:r w:rsidR="00146F8E">
        <w:t>,</w:t>
      </w:r>
      <w:r w:rsidR="00474DC9">
        <w:t xml:space="preserve"> and additional second-round effects from this year's anticipated pickup in inflation.</w:t>
      </w:r>
      <w:r w:rsidR="00B77107">
        <w:t xml:space="preserve"> More closely aligning the scenarios with the MPC's key discussion points should aid communications, but we doubt it will have much impact on the policy outlook.</w:t>
      </w:r>
    </w:p>
    <w:p w14:paraId="482E6FD3" w14:textId="594306C6" w:rsidR="00221C9F" w:rsidRDefault="006366CC" w:rsidP="009D51AB">
      <w:r>
        <w:t xml:space="preserve">Since the rate-cutting cycle started in August 2024, the MPC has </w:t>
      </w:r>
      <w:r>
        <w:t>cut</w:t>
      </w:r>
      <w:r>
        <w:t xml:space="preserve"> </w:t>
      </w:r>
      <w:r w:rsidR="00FB2AEF">
        <w:t xml:space="preserve">rates </w:t>
      </w:r>
      <w:r>
        <w:t xml:space="preserve">at meetings </w:t>
      </w:r>
      <w:r w:rsidR="00DA7EF6">
        <w:t>accompanie</w:t>
      </w:r>
      <w:r w:rsidR="00FB2AEF">
        <w:t>d</w:t>
      </w:r>
      <w:r w:rsidR="00DA7EF6">
        <w:t xml:space="preserve"> by </w:t>
      </w:r>
      <w:r>
        <w:t xml:space="preserve">a Monetary Policy Report and </w:t>
      </w:r>
      <w:r w:rsidR="00DA7EF6">
        <w:t xml:space="preserve">a </w:t>
      </w:r>
      <w:r>
        <w:t>press conference</w:t>
      </w:r>
      <w:r w:rsidR="009506C3">
        <w:t>,</w:t>
      </w:r>
      <w:r>
        <w:t xml:space="preserve"> and held </w:t>
      </w:r>
      <w:r w:rsidR="00DA7EF6">
        <w:t xml:space="preserve">rates </w:t>
      </w:r>
      <w:r>
        <w:t xml:space="preserve">at intervening meetings. </w:t>
      </w:r>
      <w:r w:rsidR="00EF2732">
        <w:t>Although t</w:t>
      </w:r>
      <w:r w:rsidR="0063789F">
        <w:t>he minutes stated that "t</w:t>
      </w:r>
      <w:r w:rsidR="0063789F" w:rsidRPr="0063789F">
        <w:t>here was no presumption that monetary policy was on a pre-set path over the next few meetings</w:t>
      </w:r>
      <w:r w:rsidR="0063789F">
        <w:t xml:space="preserve">", </w:t>
      </w:r>
      <w:r w:rsidR="00640CB1">
        <w:t xml:space="preserve">in practice </w:t>
      </w:r>
      <w:r w:rsidR="0063789F">
        <w:t>we think the bar to switching from the cut-hold tempo is high</w:t>
      </w:r>
      <w:r w:rsidR="00673C7D">
        <w:t>.</w:t>
      </w:r>
      <w:r w:rsidR="0063789F" w:rsidRPr="0063789F">
        <w:t xml:space="preserve"> </w:t>
      </w:r>
      <w:r w:rsidR="00221C9F">
        <w:t xml:space="preserve">Bank Rate </w:t>
      </w:r>
      <w:r w:rsidR="00640CB1">
        <w:t xml:space="preserve">is </w:t>
      </w:r>
      <w:r w:rsidR="00221C9F">
        <w:t>still comfortably in restrictive territor</w:t>
      </w:r>
      <w:r w:rsidR="00640CB1">
        <w:t>y, growth is sluggish, and the BoE's measure of underlying pressure continue</w:t>
      </w:r>
      <w:r w:rsidR="006409E5">
        <w:t>s</w:t>
      </w:r>
      <w:r w:rsidR="00640CB1">
        <w:t xml:space="preserve"> to cool, </w:t>
      </w:r>
      <w:r w:rsidR="00673C7D">
        <w:t>giving the MPC reason to cut</w:t>
      </w:r>
      <w:r w:rsidR="00640CB1">
        <w:t xml:space="preserve">. But </w:t>
      </w:r>
      <w:r w:rsidR="00221C9F">
        <w:t>the</w:t>
      </w:r>
      <w:r w:rsidR="00673C7D">
        <w:t>ir</w:t>
      </w:r>
      <w:r w:rsidR="00221C9F">
        <w:t xml:space="preserve"> </w:t>
      </w:r>
      <w:r w:rsidR="00E46612">
        <w:t>uncertain</w:t>
      </w:r>
      <w:r w:rsidR="00640CB1">
        <w:t>ty</w:t>
      </w:r>
      <w:r w:rsidR="00E46612">
        <w:t xml:space="preserve"> about the outlooks for demand and inflation</w:t>
      </w:r>
      <w:r w:rsidR="00640CB1">
        <w:t xml:space="preserve"> argues against a rapid return to neutral, so </w:t>
      </w:r>
      <w:r w:rsidR="0063789F">
        <w:t>cutting at alternate meetings is clearly the default option</w:t>
      </w:r>
      <w:r w:rsidR="00640CB1">
        <w:t>. W</w:t>
      </w:r>
      <w:r w:rsidR="00221C9F">
        <w:t>e think it</w:t>
      </w:r>
      <w:r w:rsidR="00960DDA">
        <w:t>'s</w:t>
      </w:r>
      <w:r w:rsidR="00221C9F">
        <w:t xml:space="preserve"> very likely there will be another 25bp cut in May</w:t>
      </w:r>
      <w:r w:rsidR="00640CB1">
        <w:t xml:space="preserve"> and market pricing for that month appears too cautious.</w:t>
      </w:r>
    </w:p>
    <w:p w14:paraId="54D17BA8" w14:textId="07EAFD36" w:rsidR="00A56C43" w:rsidRDefault="00221C9F" w:rsidP="009D51AB">
      <w:r>
        <w:t xml:space="preserve">The next time there's likely to be genuine </w:t>
      </w:r>
      <w:r w:rsidR="00025129">
        <w:t>uncertainty</w:t>
      </w:r>
      <w:r>
        <w:t xml:space="preserve"> around the MPC's decision will </w:t>
      </w:r>
      <w:r w:rsidR="00025129">
        <w:t xml:space="preserve">probably </w:t>
      </w:r>
      <w:r>
        <w:t xml:space="preserve">be the August meeting. </w:t>
      </w:r>
      <w:r w:rsidR="00FA6D57">
        <w:t>At that</w:t>
      </w:r>
      <w:r>
        <w:t xml:space="preserve"> point </w:t>
      </w:r>
      <w:r w:rsidR="00FA6D57">
        <w:t>the committee c</w:t>
      </w:r>
      <w:r>
        <w:t>an begin to incorporate evidence of the impact of April's increases in national insurance contributions, the national living wage, and regulated prices into their forecasts and decision-making.</w:t>
      </w:r>
    </w:p>
    <w:p w14:paraId="7A57AE98" w14:textId="4797CCFB" w:rsidR="009D51AB" w:rsidRDefault="00A56C43" w:rsidP="009D51AB">
      <w:r>
        <w:t xml:space="preserve">Assuming our baseline forecast plays out, </w:t>
      </w:r>
      <w:r w:rsidR="006E5614" w:rsidRPr="006E5614">
        <w:t xml:space="preserve">with sluggish activity and inflation a little below the MPC's forecast </w:t>
      </w:r>
      <w:r w:rsidR="001D2A53">
        <w:t>in 2025</w:t>
      </w:r>
      <w:r w:rsidR="006E5614" w:rsidRPr="006E5614">
        <w:t>,</w:t>
      </w:r>
      <w:r w:rsidR="006E5614">
        <w:t xml:space="preserve"> </w:t>
      </w:r>
      <w:r>
        <w:t>w</w:t>
      </w:r>
      <w:r w:rsidR="00B77107">
        <w:t xml:space="preserve">e </w:t>
      </w:r>
      <w:r w:rsidR="00640C78">
        <w:t>still</w:t>
      </w:r>
      <w:r>
        <w:t xml:space="preserve"> expect another 75bps of cuts </w:t>
      </w:r>
      <w:r w:rsidR="001D2A53">
        <w:t>this year.</w:t>
      </w:r>
      <w:r w:rsidR="006E5614">
        <w:t xml:space="preserve"> This would </w:t>
      </w:r>
      <w:r w:rsidR="00640C78">
        <w:t xml:space="preserve">put </w:t>
      </w:r>
      <w:r>
        <w:t xml:space="preserve">Bank Rate at 3.75% at the end of the year. The risks </w:t>
      </w:r>
      <w:r w:rsidR="00D03E52">
        <w:t xml:space="preserve">to </w:t>
      </w:r>
      <w:r w:rsidR="00640C78">
        <w:t xml:space="preserve">our </w:t>
      </w:r>
      <w:r w:rsidR="00D03E52">
        <w:t xml:space="preserve">call </w:t>
      </w:r>
      <w:r>
        <w:t>appear broadly balanced.</w:t>
      </w:r>
    </w:p>
    <w:p w14:paraId="4F26ABBE" w14:textId="69B92763" w:rsidR="009D51AB" w:rsidRDefault="009D51AB" w:rsidP="00452403"/>
    <w:p w14:paraId="0BB56544" w14:textId="0B0439F5" w:rsidR="009D51AB" w:rsidRDefault="009D51AB" w:rsidP="009D51AB">
      <w:pPr>
        <w:pStyle w:val="ExhibitSource"/>
        <w:jc w:val="center"/>
        <w:sectPr w:rsidR="009D51AB" w:rsidSect="009D51AB">
          <w:headerReference w:type="even" r:id="rId12"/>
          <w:headerReference w:type="default" r:id="rId13"/>
          <w:footerReference w:type="default" r:id="rId14"/>
          <w:headerReference w:type="first" r:id="rId15"/>
          <w:footerReference w:type="first" r:id="rId16"/>
          <w:pgSz w:w="11906" w:h="16838"/>
          <w:pgMar w:top="2665" w:right="1276" w:bottom="838" w:left="1134" w:header="708" w:footer="300" w:gutter="0"/>
          <w:cols w:space="708"/>
          <w:titlePg/>
          <w:docGrid w:linePitch="360"/>
        </w:sectPr>
      </w:pPr>
    </w:p>
    <w:p w14:paraId="25260607" w14:textId="77777777" w:rsidR="00581FD0" w:rsidRPr="00806469" w:rsidRDefault="00581FD0" w:rsidP="00433173">
      <w:pPr>
        <w:pStyle w:val="Heading2"/>
      </w:pPr>
      <w:r w:rsidRPr="00806469">
        <w:lastRenderedPageBreak/>
        <w:t>Key passages from the MPC minutes</w:t>
      </w:r>
    </w:p>
    <w:p w14:paraId="1A64BA7D" w14:textId="3AAC938D" w:rsidR="00581FD0" w:rsidRPr="00DD01CD" w:rsidRDefault="00581FD0" w:rsidP="00DD01CD">
      <w:pPr>
        <w:rPr>
          <w:i/>
        </w:rPr>
      </w:pPr>
      <w:r w:rsidRPr="00DD01CD">
        <w:rPr>
          <w:i/>
        </w:rPr>
        <w:t>“</w:t>
      </w:r>
      <w:r w:rsidR="00DD01CD" w:rsidRPr="00DD01CD">
        <w:rPr>
          <w:i/>
        </w:rPr>
        <w:t>At this meeting, eight members preferred to maintain Bank Rate at 4.5%. The Committee had noted in February that progress on disinflation in domestic prices and wages had generally continued. There had been relatively little news since the previous meeting from UK economic developments, notwithstanding the intensification in global uncertainties, and there continued to be a range of views underlying these members’ outlooks for the economy and inflation. There remained two-sided risks around the balance of supply and demand, and the persistence of domestic price and wage pressures. The underlying disinflationary process was expected to continue, but an accumulation of evidence would be used to assess progress. There was no presumption that monetary policy was on a pre-set path over the next few meetings</w:t>
      </w:r>
      <w:r w:rsidRPr="00DD01CD">
        <w:rPr>
          <w:i/>
        </w:rPr>
        <w:t>."</w:t>
      </w:r>
    </w:p>
    <w:p w14:paraId="2552FB31" w14:textId="142811FA" w:rsidR="00581FD0" w:rsidRDefault="00581FD0" w:rsidP="00581FD0">
      <w:r w:rsidRPr="00581FD0">
        <w:rPr>
          <w:b/>
          <w:color w:val="003469"/>
        </w:rPr>
        <w:t>Our interpretation:</w:t>
      </w:r>
      <w:r w:rsidRPr="00806469">
        <w:t xml:space="preserve"> </w:t>
      </w:r>
      <w:r w:rsidR="00F2033F">
        <w:t>Th</w:t>
      </w:r>
      <w:r w:rsidR="003929CD">
        <w:t xml:space="preserve">is paragraph is </w:t>
      </w:r>
      <w:r w:rsidR="001A2300">
        <w:t>very non-committal, both in terms of recent news and how the outlook might evolve</w:t>
      </w:r>
      <w:r>
        <w:t>.</w:t>
      </w:r>
      <w:r w:rsidR="001A2300">
        <w:t xml:space="preserve"> We don't think </w:t>
      </w:r>
      <w:r w:rsidR="00640C78">
        <w:t xml:space="preserve">the </w:t>
      </w:r>
      <w:r w:rsidR="001A2300">
        <w:t>vagueness is because the minutes aim to cater for a wide range of views. Rather, we think most of the committee are genuinely unsure about the outlook. This lack of conviction is consistent with continuing the cut-hold pattern of the rate cutting cycle to date</w:t>
      </w:r>
      <w:r w:rsidR="00253B1C">
        <w:t>,</w:t>
      </w:r>
      <w:r w:rsidR="00601840">
        <w:t xml:space="preserve"> and while policy might not formally be on a pre-set path, </w:t>
      </w:r>
      <w:r w:rsidR="00BA3670">
        <w:t xml:space="preserve">the bar to changing </w:t>
      </w:r>
      <w:r w:rsidR="00253B1C">
        <w:t xml:space="preserve">the </w:t>
      </w:r>
      <w:r w:rsidR="00BA3670">
        <w:t>tempo looks high</w:t>
      </w:r>
      <w:r w:rsidR="001A2300">
        <w:t>.</w:t>
      </w:r>
    </w:p>
    <w:p w14:paraId="7B7B5FF6" w14:textId="0A711E3E" w:rsidR="00581FD0" w:rsidRPr="00DD01CD" w:rsidRDefault="00581FD0" w:rsidP="00581FD0">
      <w:pPr>
        <w:rPr>
          <w:i/>
        </w:rPr>
      </w:pPr>
      <w:r w:rsidRPr="00DD01CD">
        <w:rPr>
          <w:i/>
        </w:rPr>
        <w:t>"</w:t>
      </w:r>
      <w:r w:rsidR="00DD01CD" w:rsidRPr="00DD01CD">
        <w:rPr>
          <w:i/>
        </w:rPr>
        <w:t>One member preferred a 0.25 percentage point reduction in Bank Rate, to 4.25%. While global price developments had continued to pose risks for some time, disaggregated data pointed to inflation continuing to decline through both wage and price-setting channels. The earlier concerns of an asymmetry in the inflation process on the way down compared to the way up had not materialised, as goods disinflation had generally been passed through to consumers. The subdued outlook for demand remained consistent with services inflation normalising sustainably to target over the medium term. The setting of Bank Rate needed to account for policy transmission and the risks to supply capacity from a prolonged period of monetary restrictiveness</w:t>
      </w:r>
      <w:r w:rsidRPr="00DD01CD">
        <w:rPr>
          <w:i/>
        </w:rPr>
        <w:t>."</w:t>
      </w:r>
    </w:p>
    <w:p w14:paraId="471D666A" w14:textId="148EE1C1" w:rsidR="00581FD0" w:rsidRPr="00806469" w:rsidRDefault="00581FD0" w:rsidP="00581FD0">
      <w:r w:rsidRPr="00581FD0">
        <w:rPr>
          <w:b/>
          <w:color w:val="003469"/>
        </w:rPr>
        <w:t>Our interpretation:</w:t>
      </w:r>
      <w:r>
        <w:t xml:space="preserve"> Swati Dhingra </w:t>
      </w:r>
      <w:r w:rsidR="00F2033F">
        <w:t>has consistently voted for looser policy than the majority on the basis that the outlook for demand is weak and this will ultimately be reflected in inflation</w:t>
      </w:r>
      <w:r>
        <w:t>.</w:t>
      </w:r>
      <w:r w:rsidR="00F2033F">
        <w:t xml:space="preserve"> We think it's unlikely that she </w:t>
      </w:r>
      <w:r w:rsidR="00E70306">
        <w:t xml:space="preserve">will </w:t>
      </w:r>
      <w:r w:rsidR="00F2033F">
        <w:t>rein in her dovishness any time soon.</w:t>
      </w:r>
    </w:p>
    <w:p w14:paraId="5C964CD9" w14:textId="44A90BF3" w:rsidR="00581FD0" w:rsidRPr="00DD01CD" w:rsidRDefault="00581FD0" w:rsidP="00DD01CD">
      <w:pPr>
        <w:rPr>
          <w:i/>
        </w:rPr>
      </w:pPr>
      <w:r w:rsidRPr="00DD01CD">
        <w:rPr>
          <w:i/>
        </w:rPr>
        <w:t>"</w:t>
      </w:r>
      <w:r w:rsidR="00DD01CD" w:rsidRPr="00DD01CD">
        <w:rPr>
          <w:i/>
        </w:rPr>
        <w:t>Based on the Committee’s evolving view of the medium-term outlook for inflation, a gradual and careful approach to the further withdrawal of monetary policy restraint was appropriate. Should there be greater or longer-lasting weakness in demand relative to supply, this could push down on inflationary pressures, warranting a less restrictive path of Bank Rate. Should there be more constrained supply relative to demand and more persistence in domestic wages and prices, including from second-round effects related to the near-term increase in CPI inflation, this would warrant a relatively tighter monetary policy path</w:t>
      </w:r>
      <w:r w:rsidRPr="00DD01CD">
        <w:rPr>
          <w:i/>
        </w:rPr>
        <w:t>.</w:t>
      </w:r>
    </w:p>
    <w:p w14:paraId="0D0F0829" w14:textId="25A4D3CD" w:rsidR="00581FD0" w:rsidRPr="00DD01CD" w:rsidRDefault="00DD01CD" w:rsidP="00581FD0">
      <w:pPr>
        <w:rPr>
          <w:i/>
        </w:rPr>
      </w:pPr>
      <w:r w:rsidRPr="00DD01CD">
        <w:rPr>
          <w:i/>
        </w:rPr>
        <w:t>The Committee would continue to monitor closely the risks of inflation persistence and what the evidence might reveal about the balance between aggregate supply and demand in the economy. Monetary policy would need to continue to remain restrictive for sufficiently long until the risks to inflation returning sustainably to the 2% target in the medium term had dissipated further. The Committee would decide the appropriate degree of monetary policy restrictiveness at each meeting</w:t>
      </w:r>
      <w:r w:rsidR="00581FD0" w:rsidRPr="00DD01CD">
        <w:rPr>
          <w:i/>
        </w:rPr>
        <w:t>."</w:t>
      </w:r>
    </w:p>
    <w:p w14:paraId="30B91166" w14:textId="25B0BD64" w:rsidR="009D51AB" w:rsidRDefault="00581FD0" w:rsidP="00452403">
      <w:r w:rsidRPr="00581FD0">
        <w:rPr>
          <w:b/>
          <w:color w:val="003469"/>
        </w:rPr>
        <w:t>Our interpretation:</w:t>
      </w:r>
      <w:r>
        <w:t xml:space="preserve"> </w:t>
      </w:r>
      <w:r w:rsidR="00F2033F">
        <w:t>This is similar guidance on the monetary policy outlook to recent months</w:t>
      </w:r>
      <w:r>
        <w:t>.</w:t>
      </w:r>
      <w:r w:rsidR="00F2033F">
        <w:t xml:space="preserve"> Though the MPC is keen to stress each meeting is live, we think the reality is somewhat different and the bar to deviating from the cut-hold tempo is high. In particular, most members will want to avoid making firm conclusions until they have more evidence on the impact of </w:t>
      </w:r>
      <w:r w:rsidR="00197823">
        <w:t xml:space="preserve">the </w:t>
      </w:r>
      <w:r w:rsidR="00F2033F" w:rsidRPr="00F2033F">
        <w:t>April increases in national insurance contributions, the national living wage, and regulated prices</w:t>
      </w:r>
      <w:r w:rsidR="00F2033F">
        <w:t>.</w:t>
      </w:r>
    </w:p>
    <w:sectPr w:rsidR="009D51AB" w:rsidSect="009D51AB">
      <w:pgSz w:w="11906" w:h="16838"/>
      <w:pgMar w:top="1417" w:right="1276" w:bottom="992"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0E8D0" w14:textId="77777777" w:rsidR="00CB7016" w:rsidRDefault="00CB7016" w:rsidP="009D51AB">
      <w:pPr>
        <w:spacing w:before="0" w:after="0"/>
      </w:pPr>
      <w:r>
        <w:separator/>
      </w:r>
    </w:p>
  </w:endnote>
  <w:endnote w:type="continuationSeparator" w:id="0">
    <w:p w14:paraId="251B11A1" w14:textId="77777777" w:rsidR="00CB7016" w:rsidRDefault="00CB7016" w:rsidP="009D51A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D826F" w14:textId="2CCC8C57" w:rsidR="009D51AB" w:rsidRPr="009D51AB" w:rsidRDefault="009D51AB" w:rsidP="009D51AB">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B063D" w14:textId="7434FE0A" w:rsidR="009D51AB" w:rsidRDefault="009D51AB" w:rsidP="009D51AB">
    <w:pPr>
      <w:pStyle w:val="Author"/>
    </w:pPr>
    <w:r>
      <w:t>Andrew Goodwin</w:t>
    </w:r>
    <w:r w:rsidR="00433173">
      <w:t xml:space="preserve"> - </w:t>
    </w:r>
    <w:r>
      <w:t>Chief UK Economist</w:t>
    </w:r>
    <w:r w:rsidR="00433173">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53186" w14:textId="77777777" w:rsidR="00CB7016" w:rsidRDefault="00CB7016" w:rsidP="009D51AB">
      <w:pPr>
        <w:spacing w:before="0" w:after="0"/>
      </w:pPr>
      <w:r>
        <w:separator/>
      </w:r>
    </w:p>
  </w:footnote>
  <w:footnote w:type="continuationSeparator" w:id="0">
    <w:p w14:paraId="66E8C8F7" w14:textId="77777777" w:rsidR="00CB7016" w:rsidRDefault="00CB7016" w:rsidP="009D51A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A7656" w14:textId="77777777" w:rsidR="009D51AB" w:rsidRDefault="009D51AB">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DE0DE" w14:textId="675016ED" w:rsidR="009D51AB" w:rsidRDefault="009D51AB" w:rsidP="009D51AB">
    <w:pPr>
      <w:pStyle w:val="Headline"/>
      <w:spacing w:before="120"/>
      <w:ind w:right="-1000"/>
    </w:pPr>
    <w:r w:rsidRPr="009D51AB">
      <w:rPr>
        <w:noProof/>
      </w:rPr>
      <w:drawing>
        <wp:anchor distT="0" distB="0" distL="114300" distR="114300" simplePos="0" relativeHeight="251658239" behindDoc="1" locked="1" layoutInCell="1" allowOverlap="1" wp14:anchorId="20466C98" wp14:editId="7BD91C7F">
          <wp:simplePos x="0" y="0"/>
          <wp:positionH relativeFrom="page">
            <wp:posOffset>0</wp:posOffset>
          </wp:positionH>
          <wp:positionV relativeFrom="page">
            <wp:posOffset>0</wp:posOffset>
          </wp:positionV>
          <wp:extent cx="7553325" cy="10658475"/>
          <wp:effectExtent l="0" t="0" r="9525" b="9525"/>
          <wp:wrapNone/>
          <wp:docPr id="23"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7F6E7E">
      <w:t xml:space="preserve">The </w:t>
    </w:r>
    <w:r w:rsidR="00452403" w:rsidRPr="00452403">
      <w:t>MPC remains on autopilot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6277F" w14:textId="7EF6F7CC" w:rsidR="009D51AB" w:rsidRDefault="009D51AB" w:rsidP="009D51AB">
    <w:r w:rsidRPr="009D51AB">
      <w:rPr>
        <w:noProof/>
      </w:rPr>
      <w:drawing>
        <wp:anchor distT="0" distB="0" distL="114300" distR="114300" simplePos="0" relativeHeight="251659264" behindDoc="1" locked="1" layoutInCell="1" allowOverlap="1" wp14:anchorId="638D442B" wp14:editId="649C5380">
          <wp:simplePos x="0" y="0"/>
          <wp:positionH relativeFrom="page">
            <wp:posOffset>0</wp:posOffset>
          </wp:positionH>
          <wp:positionV relativeFrom="page">
            <wp:posOffset>190500</wp:posOffset>
          </wp:positionV>
          <wp:extent cx="7569200" cy="1503667"/>
          <wp:effectExtent l="0" t="0" r="0" b="1905"/>
          <wp:wrapNone/>
          <wp:docPr id="15" name="Picture 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921452950"/>
      <w:lock w:val="sdtLocked"/>
      <w:placeholder>
        <w:docPart w:val="DefaultPlaceholder_-1854013437"/>
      </w:placeholder>
      <w:date w:fullDate="2025-03-20T00:00:00Z">
        <w:dateFormat w:val="d MMMM yyyy"/>
        <w:lid w:val="en-GB"/>
        <w:storeMappedDataAs w:val="dateTime"/>
        <w:calendar w:val="gregorian"/>
      </w:date>
    </w:sdtPr>
    <w:sdtEndPr/>
    <w:sdtContent>
      <w:p w14:paraId="7676C2ED" w14:textId="09CE269A" w:rsidR="009D51AB" w:rsidRPr="009D51AB" w:rsidRDefault="009D51AB" w:rsidP="009D51AB">
        <w:pPr>
          <w:pStyle w:val="PublishDate"/>
          <w:framePr w:w="2835" w:h="340" w:hRule="exact" w:hSpace="180" w:wrap="around" w:vAnchor="page" w:hAnchor="page" w:x="7801" w:y="601" w:anchorLock="1"/>
        </w:pPr>
        <w:r>
          <w:t>20 March 2025</w:t>
        </w:r>
      </w:p>
    </w:sdtContent>
  </w:sdt>
  <w:p w14:paraId="084202DF" w14:textId="25478EC1" w:rsidR="009D51AB" w:rsidRDefault="00452403" w:rsidP="009D51AB">
    <w:pPr>
      <w:pStyle w:val="ProductDescription"/>
      <w:framePr w:w="11339" w:h="1474" w:hRule="exact" w:hSpace="180" w:wrap="around" w:vAnchor="page" w:hAnchor="page" w:x="401" w:y="1141" w:anchorLock="1"/>
      <w:spacing w:after="200"/>
    </w:pPr>
    <w:r>
      <w:t>Research Briefing</w:t>
    </w:r>
    <w:r w:rsidR="009D51AB">
      <w:t xml:space="preserve"> | </w:t>
    </w:r>
    <w:r>
      <w:t>UK</w:t>
    </w:r>
  </w:p>
  <w:p w14:paraId="1CE58BDD" w14:textId="110EC57F" w:rsidR="009D51AB" w:rsidRDefault="007F6E7E" w:rsidP="009D51AB">
    <w:pPr>
      <w:pStyle w:val="Headline"/>
      <w:framePr w:w="11339" w:h="1474" w:hRule="exact" w:hSpace="180" w:wrap="around" w:vAnchor="page" w:hAnchor="page" w:x="401" w:y="1141" w:anchorLock="1"/>
      <w:spacing w:line="200" w:lineRule="auto"/>
    </w:pPr>
    <w:r>
      <w:t xml:space="preserve">The </w:t>
    </w:r>
    <w:r w:rsidR="00452403">
      <w:t>MPC remains on autopilot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EAAA1E9E"/>
    <w:lvl w:ilvl="0" w:tplc="F766AABE">
      <w:start w:val="1"/>
      <w:numFmt w:val="bullet"/>
      <w:lvlText w:val=""/>
      <w:lvlJc w:val="left"/>
      <w:pPr>
        <w:ind w:left="360" w:hanging="360"/>
      </w:pPr>
      <w:rPr>
        <w:rFonts w:ascii="Wingdings" w:hAnsi="Wingdings" w:hint="default"/>
        <w:color w:val="D86DCB"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38D3E6D"/>
    <w:multiLevelType w:val="hybridMultilevel"/>
    <w:tmpl w:val="9370A748"/>
    <w:lvl w:ilvl="0" w:tplc="5528530E">
      <w:start w:val="1"/>
      <w:numFmt w:val="bullet"/>
      <w:pStyle w:val="Bullet"/>
      <w:lvlText w:val=""/>
      <w:lvlJc w:val="left"/>
      <w:pPr>
        <w:ind w:left="360" w:hanging="360"/>
      </w:pPr>
      <w:rPr>
        <w:rFonts w:ascii="Wingdings" w:hAnsi="Wingdings" w:hint="default"/>
        <w:color w:val="92CDDC"/>
        <w:sz w:val="20"/>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3"/>
  </w:num>
  <w:num w:numId="2" w16cid:durableId="2074311132">
    <w:abstractNumId w:val="1"/>
  </w:num>
  <w:num w:numId="3" w16cid:durableId="1590693657">
    <w:abstractNumId w:val="4"/>
  </w:num>
  <w:num w:numId="4" w16cid:durableId="1590037850">
    <w:abstractNumId w:val="0"/>
  </w:num>
  <w:num w:numId="5" w16cid:durableId="554319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1AB"/>
    <w:rsid w:val="00003BA7"/>
    <w:rsid w:val="00022761"/>
    <w:rsid w:val="00025129"/>
    <w:rsid w:val="00043760"/>
    <w:rsid w:val="0005491E"/>
    <w:rsid w:val="00057B21"/>
    <w:rsid w:val="00070F6A"/>
    <w:rsid w:val="000775FC"/>
    <w:rsid w:val="00086882"/>
    <w:rsid w:val="000B11AC"/>
    <w:rsid w:val="000C0876"/>
    <w:rsid w:val="000C0ADF"/>
    <w:rsid w:val="000D3E43"/>
    <w:rsid w:val="000E2BD3"/>
    <w:rsid w:val="000F3F52"/>
    <w:rsid w:val="001018E9"/>
    <w:rsid w:val="00120D7A"/>
    <w:rsid w:val="00123789"/>
    <w:rsid w:val="00124E58"/>
    <w:rsid w:val="001307C7"/>
    <w:rsid w:val="00146F8E"/>
    <w:rsid w:val="0015146D"/>
    <w:rsid w:val="001564E7"/>
    <w:rsid w:val="00160F71"/>
    <w:rsid w:val="0016316B"/>
    <w:rsid w:val="0017078A"/>
    <w:rsid w:val="00180EED"/>
    <w:rsid w:val="00190534"/>
    <w:rsid w:val="00190C04"/>
    <w:rsid w:val="00192CDF"/>
    <w:rsid w:val="00195F9A"/>
    <w:rsid w:val="00197823"/>
    <w:rsid w:val="001A2300"/>
    <w:rsid w:val="001A5775"/>
    <w:rsid w:val="001A6993"/>
    <w:rsid w:val="001A749F"/>
    <w:rsid w:val="001B2982"/>
    <w:rsid w:val="001B2B67"/>
    <w:rsid w:val="001B2C32"/>
    <w:rsid w:val="001D2A53"/>
    <w:rsid w:val="001D7057"/>
    <w:rsid w:val="001E0785"/>
    <w:rsid w:val="001E0C4A"/>
    <w:rsid w:val="001F3317"/>
    <w:rsid w:val="00221C9F"/>
    <w:rsid w:val="00232B66"/>
    <w:rsid w:val="00242E5E"/>
    <w:rsid w:val="00253130"/>
    <w:rsid w:val="00253B1C"/>
    <w:rsid w:val="002615F6"/>
    <w:rsid w:val="00261D86"/>
    <w:rsid w:val="00262D94"/>
    <w:rsid w:val="00263E48"/>
    <w:rsid w:val="002745D6"/>
    <w:rsid w:val="00282A8A"/>
    <w:rsid w:val="00286754"/>
    <w:rsid w:val="00291919"/>
    <w:rsid w:val="0029566B"/>
    <w:rsid w:val="002B24C5"/>
    <w:rsid w:val="002C1955"/>
    <w:rsid w:val="002D0DC9"/>
    <w:rsid w:val="003017D9"/>
    <w:rsid w:val="0031169C"/>
    <w:rsid w:val="00316CBE"/>
    <w:rsid w:val="00370974"/>
    <w:rsid w:val="00374E02"/>
    <w:rsid w:val="003929CD"/>
    <w:rsid w:val="003A7919"/>
    <w:rsid w:val="003B0CAB"/>
    <w:rsid w:val="003B2902"/>
    <w:rsid w:val="003B715A"/>
    <w:rsid w:val="003C1BB1"/>
    <w:rsid w:val="003D01BD"/>
    <w:rsid w:val="003E7F3C"/>
    <w:rsid w:val="003F0F4E"/>
    <w:rsid w:val="0040359C"/>
    <w:rsid w:val="00405A12"/>
    <w:rsid w:val="00405D65"/>
    <w:rsid w:val="004258C9"/>
    <w:rsid w:val="00433173"/>
    <w:rsid w:val="004458BB"/>
    <w:rsid w:val="00452403"/>
    <w:rsid w:val="004602D9"/>
    <w:rsid w:val="0046292D"/>
    <w:rsid w:val="004677EA"/>
    <w:rsid w:val="00470DA8"/>
    <w:rsid w:val="00474DC9"/>
    <w:rsid w:val="00481C9C"/>
    <w:rsid w:val="004827E3"/>
    <w:rsid w:val="00484C85"/>
    <w:rsid w:val="00495DE7"/>
    <w:rsid w:val="004A2A92"/>
    <w:rsid w:val="004B205A"/>
    <w:rsid w:val="004B4F66"/>
    <w:rsid w:val="004C7923"/>
    <w:rsid w:val="004D473F"/>
    <w:rsid w:val="004D5B83"/>
    <w:rsid w:val="004D650E"/>
    <w:rsid w:val="004D6FED"/>
    <w:rsid w:val="004E06FF"/>
    <w:rsid w:val="00516C0A"/>
    <w:rsid w:val="005176F2"/>
    <w:rsid w:val="005204E3"/>
    <w:rsid w:val="00524103"/>
    <w:rsid w:val="00535C71"/>
    <w:rsid w:val="005414BA"/>
    <w:rsid w:val="0054280C"/>
    <w:rsid w:val="0054466B"/>
    <w:rsid w:val="005473C6"/>
    <w:rsid w:val="005638B0"/>
    <w:rsid w:val="00563FEB"/>
    <w:rsid w:val="0056757B"/>
    <w:rsid w:val="00575045"/>
    <w:rsid w:val="00576CB8"/>
    <w:rsid w:val="00581FD0"/>
    <w:rsid w:val="00592138"/>
    <w:rsid w:val="005E404F"/>
    <w:rsid w:val="005F0616"/>
    <w:rsid w:val="005F7DDF"/>
    <w:rsid w:val="00601840"/>
    <w:rsid w:val="006125A3"/>
    <w:rsid w:val="00612D5F"/>
    <w:rsid w:val="006166EE"/>
    <w:rsid w:val="00633BE2"/>
    <w:rsid w:val="006366CC"/>
    <w:rsid w:val="0063789F"/>
    <w:rsid w:val="006409E5"/>
    <w:rsid w:val="00640C78"/>
    <w:rsid w:val="00640CB1"/>
    <w:rsid w:val="00651305"/>
    <w:rsid w:val="00671564"/>
    <w:rsid w:val="006739BF"/>
    <w:rsid w:val="00673C7D"/>
    <w:rsid w:val="0067595A"/>
    <w:rsid w:val="006833E0"/>
    <w:rsid w:val="00692B1D"/>
    <w:rsid w:val="006A1630"/>
    <w:rsid w:val="006A676D"/>
    <w:rsid w:val="006B76A5"/>
    <w:rsid w:val="006C7C06"/>
    <w:rsid w:val="006E356E"/>
    <w:rsid w:val="006E5614"/>
    <w:rsid w:val="006F60F1"/>
    <w:rsid w:val="00730E79"/>
    <w:rsid w:val="0074116D"/>
    <w:rsid w:val="00742F4F"/>
    <w:rsid w:val="00753BDF"/>
    <w:rsid w:val="007723AE"/>
    <w:rsid w:val="007A0F18"/>
    <w:rsid w:val="007B57CD"/>
    <w:rsid w:val="007C7381"/>
    <w:rsid w:val="007E54B4"/>
    <w:rsid w:val="007F5D5D"/>
    <w:rsid w:val="007F6E7E"/>
    <w:rsid w:val="00847933"/>
    <w:rsid w:val="00855D68"/>
    <w:rsid w:val="0086090E"/>
    <w:rsid w:val="008742FC"/>
    <w:rsid w:val="00874B7C"/>
    <w:rsid w:val="00883D16"/>
    <w:rsid w:val="0088455B"/>
    <w:rsid w:val="008D4F08"/>
    <w:rsid w:val="008E11F0"/>
    <w:rsid w:val="008E721D"/>
    <w:rsid w:val="008F1A70"/>
    <w:rsid w:val="008F390A"/>
    <w:rsid w:val="009148F6"/>
    <w:rsid w:val="00920D15"/>
    <w:rsid w:val="00933B30"/>
    <w:rsid w:val="0094077F"/>
    <w:rsid w:val="00941A18"/>
    <w:rsid w:val="009506C3"/>
    <w:rsid w:val="00956600"/>
    <w:rsid w:val="00960DDA"/>
    <w:rsid w:val="009634AC"/>
    <w:rsid w:val="00963AA5"/>
    <w:rsid w:val="00973624"/>
    <w:rsid w:val="009829F2"/>
    <w:rsid w:val="00983711"/>
    <w:rsid w:val="009850E6"/>
    <w:rsid w:val="00995E6B"/>
    <w:rsid w:val="009B723B"/>
    <w:rsid w:val="009C7C16"/>
    <w:rsid w:val="009D51AB"/>
    <w:rsid w:val="009E07F1"/>
    <w:rsid w:val="009E5F70"/>
    <w:rsid w:val="009F37D1"/>
    <w:rsid w:val="009F3F01"/>
    <w:rsid w:val="00A25234"/>
    <w:rsid w:val="00A332D4"/>
    <w:rsid w:val="00A435E1"/>
    <w:rsid w:val="00A50835"/>
    <w:rsid w:val="00A52669"/>
    <w:rsid w:val="00A56C43"/>
    <w:rsid w:val="00A576A0"/>
    <w:rsid w:val="00A63323"/>
    <w:rsid w:val="00A66B32"/>
    <w:rsid w:val="00A77085"/>
    <w:rsid w:val="00A90190"/>
    <w:rsid w:val="00A9430E"/>
    <w:rsid w:val="00AB24B7"/>
    <w:rsid w:val="00AB6B99"/>
    <w:rsid w:val="00AC5231"/>
    <w:rsid w:val="00AD07ED"/>
    <w:rsid w:val="00AE76E6"/>
    <w:rsid w:val="00B03B49"/>
    <w:rsid w:val="00B04E07"/>
    <w:rsid w:val="00B16B5A"/>
    <w:rsid w:val="00B7343B"/>
    <w:rsid w:val="00B77107"/>
    <w:rsid w:val="00B846EA"/>
    <w:rsid w:val="00B910EA"/>
    <w:rsid w:val="00BA3670"/>
    <w:rsid w:val="00BB6195"/>
    <w:rsid w:val="00BB6802"/>
    <w:rsid w:val="00BE1485"/>
    <w:rsid w:val="00BF6A2A"/>
    <w:rsid w:val="00C17065"/>
    <w:rsid w:val="00C36AED"/>
    <w:rsid w:val="00C65A69"/>
    <w:rsid w:val="00C71A9B"/>
    <w:rsid w:val="00C72052"/>
    <w:rsid w:val="00C75153"/>
    <w:rsid w:val="00C76458"/>
    <w:rsid w:val="00C84AD7"/>
    <w:rsid w:val="00C90D41"/>
    <w:rsid w:val="00C93538"/>
    <w:rsid w:val="00C9768F"/>
    <w:rsid w:val="00CA4BF3"/>
    <w:rsid w:val="00CB23EC"/>
    <w:rsid w:val="00CB7016"/>
    <w:rsid w:val="00CB7716"/>
    <w:rsid w:val="00CC3321"/>
    <w:rsid w:val="00CC7894"/>
    <w:rsid w:val="00CE3160"/>
    <w:rsid w:val="00D01AEE"/>
    <w:rsid w:val="00D03E52"/>
    <w:rsid w:val="00D20931"/>
    <w:rsid w:val="00D361A8"/>
    <w:rsid w:val="00D379EC"/>
    <w:rsid w:val="00D44219"/>
    <w:rsid w:val="00D645EE"/>
    <w:rsid w:val="00D82250"/>
    <w:rsid w:val="00DA7EF6"/>
    <w:rsid w:val="00DB0BE6"/>
    <w:rsid w:val="00DC3B6C"/>
    <w:rsid w:val="00DD01CD"/>
    <w:rsid w:val="00DE568D"/>
    <w:rsid w:val="00DF68CB"/>
    <w:rsid w:val="00DF73F9"/>
    <w:rsid w:val="00E10235"/>
    <w:rsid w:val="00E176D8"/>
    <w:rsid w:val="00E213A8"/>
    <w:rsid w:val="00E2197F"/>
    <w:rsid w:val="00E23560"/>
    <w:rsid w:val="00E46612"/>
    <w:rsid w:val="00E70306"/>
    <w:rsid w:val="00EA0803"/>
    <w:rsid w:val="00EA2025"/>
    <w:rsid w:val="00EC10CA"/>
    <w:rsid w:val="00ED615F"/>
    <w:rsid w:val="00ED6FF0"/>
    <w:rsid w:val="00EF2732"/>
    <w:rsid w:val="00F00A97"/>
    <w:rsid w:val="00F2033F"/>
    <w:rsid w:val="00F23937"/>
    <w:rsid w:val="00F2643F"/>
    <w:rsid w:val="00F44127"/>
    <w:rsid w:val="00F52C66"/>
    <w:rsid w:val="00F72F2A"/>
    <w:rsid w:val="00F95E05"/>
    <w:rsid w:val="00FA6D57"/>
    <w:rsid w:val="00FB2AEF"/>
    <w:rsid w:val="00FC1EA7"/>
    <w:rsid w:val="00FD16F0"/>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100919"/>
  <w15:chartTrackingRefBased/>
  <w15:docId w15:val="{F558A047-A7E1-40DD-8CBB-06B984A92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1AB"/>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9D51AB"/>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9D51AB"/>
    <w:pPr>
      <w:outlineLvl w:val="1"/>
    </w:pPr>
    <w:rPr>
      <w:sz w:val="28"/>
    </w:rPr>
  </w:style>
  <w:style w:type="paragraph" w:styleId="Heading3">
    <w:name w:val="heading 3"/>
    <w:basedOn w:val="Normal"/>
    <w:next w:val="Normal"/>
    <w:link w:val="Heading3Char"/>
    <w:uiPriority w:val="9"/>
    <w:unhideWhenUsed/>
    <w:qFormat/>
    <w:rsid w:val="009D51AB"/>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9D51AB"/>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9D51A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9D51AB"/>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9D51AB"/>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9D51A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9D51A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1AB"/>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9D51AB"/>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9D51AB"/>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9D51AB"/>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9D51AB"/>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9D51AB"/>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9D51AB"/>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9D51AB"/>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9D51AB"/>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9D51AB"/>
    <w:pPr>
      <w:ind w:left="862" w:right="862"/>
      <w:jc w:val="center"/>
    </w:pPr>
    <w:rPr>
      <w:i/>
      <w:iCs/>
      <w:color w:val="404040" w:themeColor="text1" w:themeTint="BF"/>
    </w:rPr>
  </w:style>
  <w:style w:type="character" w:customStyle="1" w:styleId="QuoteChar">
    <w:name w:val="Quote Char"/>
    <w:basedOn w:val="DefaultParagraphFont"/>
    <w:link w:val="Quote"/>
    <w:uiPriority w:val="29"/>
    <w:rsid w:val="009D51AB"/>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9D51AB"/>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9D51AB"/>
    <w:pPr>
      <w:tabs>
        <w:tab w:val="center" w:pos="4320"/>
        <w:tab w:val="right" w:pos="8640"/>
      </w:tabs>
    </w:pPr>
  </w:style>
  <w:style w:type="character" w:customStyle="1" w:styleId="HeaderChar">
    <w:name w:val="Header Char"/>
    <w:basedOn w:val="DefaultParagraphFont"/>
    <w:link w:val="Header"/>
    <w:uiPriority w:val="99"/>
    <w:rsid w:val="009D51AB"/>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9D51AB"/>
    <w:pPr>
      <w:tabs>
        <w:tab w:val="center" w:pos="4320"/>
        <w:tab w:val="right" w:pos="8640"/>
      </w:tabs>
    </w:pPr>
  </w:style>
  <w:style w:type="character" w:customStyle="1" w:styleId="FooterChar">
    <w:name w:val="Footer Char"/>
    <w:basedOn w:val="DefaultParagraphFont"/>
    <w:link w:val="Footer"/>
    <w:uiPriority w:val="99"/>
    <w:rsid w:val="009D51AB"/>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9D51AB"/>
    <w:rPr>
      <w:noProof w:val="0"/>
    </w:rPr>
  </w:style>
  <w:style w:type="character" w:styleId="Hyperlink">
    <w:name w:val="Hyperlink"/>
    <w:basedOn w:val="DefaultParagraphFont"/>
    <w:uiPriority w:val="99"/>
    <w:unhideWhenUsed/>
    <w:rsid w:val="009D51AB"/>
    <w:rPr>
      <w:noProof w:val="0"/>
      <w:color w:val="467886" w:themeColor="hyperlink"/>
      <w:u w:val="single"/>
    </w:rPr>
  </w:style>
  <w:style w:type="paragraph" w:styleId="Revision">
    <w:name w:val="Revision"/>
    <w:hidden/>
    <w:uiPriority w:val="99"/>
    <w:semiHidden/>
    <w:rsid w:val="009D51AB"/>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9D51AB"/>
    <w:pPr>
      <w:spacing w:after="120"/>
    </w:pPr>
    <w:rPr>
      <w:b/>
      <w:bCs/>
      <w:color w:val="FFFFFF"/>
      <w:sz w:val="32"/>
      <w:szCs w:val="32"/>
    </w:rPr>
  </w:style>
  <w:style w:type="paragraph" w:customStyle="1" w:styleId="Headline">
    <w:name w:val="Headline"/>
    <w:basedOn w:val="Normal"/>
    <w:next w:val="Normal"/>
    <w:link w:val="HeadlineChar"/>
    <w:qFormat/>
    <w:rsid w:val="009D51AB"/>
    <w:rPr>
      <w:rFonts w:ascii="Segoe UI Semilight" w:hAnsi="Segoe UI Semilight" w:cs="Segoe UI Semilight"/>
      <w:b/>
      <w:bCs/>
      <w:color w:val="FFFFFF"/>
      <w:sz w:val="40"/>
      <w:szCs w:val="40"/>
    </w:rPr>
  </w:style>
  <w:style w:type="paragraph" w:customStyle="1" w:styleId="ExhibitTitle">
    <w:name w:val="Exhibit Title"/>
    <w:basedOn w:val="Normal"/>
    <w:qFormat/>
    <w:rsid w:val="009D51AB"/>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9D51AB"/>
    <w:pPr>
      <w:shd w:val="clear" w:color="auto" w:fill="D6E2FA"/>
      <w:spacing w:after="0"/>
    </w:pPr>
    <w:rPr>
      <w:color w:val="595959" w:themeColor="text1" w:themeTint="A6"/>
      <w:sz w:val="18"/>
    </w:rPr>
  </w:style>
  <w:style w:type="paragraph" w:customStyle="1" w:styleId="ExhibitSource">
    <w:name w:val="Exhibit Source"/>
    <w:next w:val="Normal"/>
    <w:qFormat/>
    <w:rsid w:val="009D51AB"/>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9D51AB"/>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9D51AB"/>
    <w:pPr>
      <w:numPr>
        <w:numId w:val="5"/>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9D51AB"/>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9D51AB"/>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9D51AB"/>
    <w:rPr>
      <w:rFonts w:ascii="Segoe UI" w:hAnsi="Segoe UI" w:cs="Segoe UI"/>
      <w:noProof w:val="0"/>
      <w:color w:val="000000" w:themeColor="text1"/>
    </w:rPr>
  </w:style>
  <w:style w:type="paragraph" w:customStyle="1" w:styleId="Summary">
    <w:name w:val="Summary"/>
    <w:basedOn w:val="Normal"/>
    <w:link w:val="SummaryChar"/>
    <w:qFormat/>
    <w:rsid w:val="009D51AB"/>
    <w:pPr>
      <w:numPr>
        <w:numId w:val="1"/>
      </w:numPr>
      <w:ind w:left="1797" w:hanging="357"/>
    </w:pPr>
    <w:rPr>
      <w:kern w:val="2"/>
      <w:sz w:val="22"/>
      <w14:ligatures w14:val="standardContextual"/>
    </w:rPr>
  </w:style>
  <w:style w:type="paragraph" w:customStyle="1" w:styleId="TableData">
    <w:name w:val="Table Data"/>
    <w:link w:val="TableDataChar"/>
    <w:qFormat/>
    <w:rsid w:val="009D51AB"/>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9D51AB"/>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9D51AB"/>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9D51AB"/>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9D51AB"/>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9D51AB"/>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9D51AB"/>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9D51AB"/>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9D51AB"/>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9D51AB"/>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9D51AB"/>
    <w:rPr>
      <w:color w:val="003469"/>
    </w:rPr>
  </w:style>
  <w:style w:type="character" w:customStyle="1" w:styleId="RepeatingFooterChar">
    <w:name w:val="Repeating Footer Char"/>
    <w:basedOn w:val="FooterChar"/>
    <w:link w:val="RepeatingFooter"/>
    <w:rsid w:val="009D51AB"/>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9D51AB"/>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9D51AB"/>
    <w:rPr>
      <w:b/>
      <w:bCs/>
      <w:noProof w:val="0"/>
    </w:rPr>
  </w:style>
  <w:style w:type="character" w:customStyle="1" w:styleId="Italics">
    <w:name w:val="Italics"/>
    <w:uiPriority w:val="1"/>
    <w:qFormat/>
    <w:rsid w:val="009D51AB"/>
    <w:rPr>
      <w:i/>
      <w:iCs/>
      <w:noProof w:val="0"/>
    </w:rPr>
  </w:style>
  <w:style w:type="table" w:customStyle="1" w:styleId="TableGridHeader">
    <w:name w:val="Table Grid Header"/>
    <w:basedOn w:val="TableNormal"/>
    <w:uiPriority w:val="99"/>
    <w:rsid w:val="009D51AB"/>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bankofengland.co.uk/speech/2025/march/catherine-l-mann-keynote-lecture-reserve-bank-of-new-zealand-research-conference" TargetMode="Externa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my.oxfordeconomics.com/reportaction/8fa4E312e3594e03b9cEa7/Toc"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22D357DF-020B-4693-9954-848B49B3D3A8}"/>
      </w:docPartPr>
      <w:docPartBody>
        <w:p w:rsidR="008D2461" w:rsidRDefault="008D2461">
          <w:r w:rsidRPr="00D107A8">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461"/>
    <w:rsid w:val="000775FC"/>
    <w:rsid w:val="00086882"/>
    <w:rsid w:val="00484C85"/>
    <w:rsid w:val="008D2461"/>
    <w:rsid w:val="00CA143E"/>
    <w:rsid w:val="00CC78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B8913DBA-A7D2-4DDD-A0A5-8AAC9DDB6C9A}">
  <ds:schemaRefs>
    <ds:schemaRef ds:uri="http://schemas.microsoft.com/sharepoint/v3/contenttype/forms"/>
  </ds:schemaRefs>
</ds:datastoreItem>
</file>

<file path=customXml/itemProps2.xml><?xml version="1.0" encoding="utf-8"?>
<ds:datastoreItem xmlns:ds="http://schemas.openxmlformats.org/officeDocument/2006/customXml" ds:itemID="{7C488102-72E6-4245-912A-3D713837FE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EB2CD6-9693-4F7B-B22C-EF48BB6B8189}">
  <ds:schemaRefs>
    <ds:schemaRef ds:uri="http://schemas.microsoft.com/office/2006/metadata/properties"/>
    <ds:schemaRef ds:uri="http://schemas.microsoft.com/office/infopath/2007/PartnerControls"/>
    <ds:schemaRef ds:uri="6ec33f61-c765-4e3b-9958-53c32fd1fd0b"/>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1263</Words>
  <Characters>6631</Characters>
  <Application>Microsoft Office Word</Application>
  <DocSecurity>0</DocSecurity>
  <Lines>86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10</cp:revision>
  <dcterms:created xsi:type="dcterms:W3CDTF">2025-03-20T14:46:00Z</dcterms:created>
  <dcterms:modified xsi:type="dcterms:W3CDTF">2025-03-20T14:58:00Z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v0.8.1.1</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2025-03-20T14:46:32.000Z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v0.8.1.1</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Themes:interest rates,monetary policy</vt:lpwstr>
  </property>
  <property fmtid="{D5CDD505-2E9C-101B-9397-08002B2CF9AE}" pid="16" name="ContentTypeId">
    <vt:lpwstr>0x01010009401BB7205AF745BAD4FA98BDE0B98F</vt:lpwstr>
  </property>
  <property fmtid="{D5CDD505-2E9C-101B-9397-08002B2CF9AE}" pid="17" name="OEP_PRODUCT_CODE">
    <vt:lpwstr>19c4597cf46C4092a8422a</vt:lpwstr>
  </property>
  <property fmtid="{D5CDD505-2E9C-101B-9397-08002B2CF9AE}" pid="18" name="OEP_PUBLISH_DATE">
    <vt:lpwstr/>
  </property>
</Properties>
</file>