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8EF9E9" w14:textId="614910A4" w:rsidR="00FE5F6D" w:rsidRDefault="001E56EF" w:rsidP="00FE5F6D">
      <w:pPr>
        <w:pStyle w:val="Bullet"/>
      </w:pPr>
      <w:r w:rsidRPr="001E56EF">
        <w:t xml:space="preserve">The Monetary Policy Committee voted </w:t>
      </w:r>
      <w:r>
        <w:t xml:space="preserve">7-2 </w:t>
      </w:r>
      <w:r w:rsidRPr="001E56EF">
        <w:t xml:space="preserve">to keep Bank Rate at 5.25% at </w:t>
      </w:r>
      <w:r>
        <w:t>June's</w:t>
      </w:r>
      <w:r w:rsidRPr="001E56EF">
        <w:t xml:space="preserve"> meeting</w:t>
      </w:r>
      <w:r w:rsidR="00FE5F6D">
        <w:t xml:space="preserve">. </w:t>
      </w:r>
      <w:r>
        <w:t>But the fact the decision was "finely balanced" for some, and the hint</w:t>
      </w:r>
      <w:r w:rsidR="0024757F">
        <w:t xml:space="preserve"> that the upcoming forecast update will be pivotal, mean that an August rate cut looks likely.</w:t>
      </w:r>
    </w:p>
    <w:p w14:paraId="1152EB5D" w14:textId="3F853945" w:rsidR="00A02424" w:rsidRDefault="001E56EF" w:rsidP="00FE5F6D">
      <w:pPr>
        <w:pStyle w:val="Bullet"/>
      </w:pPr>
      <w:r>
        <w:t xml:space="preserve">The majority </w:t>
      </w:r>
      <w:r w:rsidR="001E65DF">
        <w:t xml:space="preserve">of the MPC </w:t>
      </w:r>
      <w:r>
        <w:t xml:space="preserve">appear to be moving away from </w:t>
      </w:r>
      <w:r w:rsidR="001E65DF">
        <w:t>relying</w:t>
      </w:r>
      <w:r>
        <w:t xml:space="preserve"> on backward-looking indicators of inflation persistence</w:t>
      </w:r>
      <w:r w:rsidR="001E65DF">
        <w:t>,</w:t>
      </w:r>
      <w:r>
        <w:t xml:space="preserve"> and </w:t>
      </w:r>
      <w:r w:rsidR="001E65DF">
        <w:t xml:space="preserve">are now taking </w:t>
      </w:r>
      <w:r>
        <w:t>a more forward-looking approach.</w:t>
      </w:r>
    </w:p>
    <w:p w14:paraId="779ACB80" w14:textId="52855DD9" w:rsidR="00FE5F6D" w:rsidRDefault="001E56EF" w:rsidP="00FE5F6D">
      <w:pPr>
        <w:pStyle w:val="Bullet"/>
      </w:pPr>
      <w:r>
        <w:t>We stick with our forecast that Bank Rate will be cut by 25bps in August and November.</w:t>
      </w:r>
    </w:p>
    <w:p w14:paraId="521A2B96" w14:textId="3766B673" w:rsidR="00FE5F6D" w:rsidRDefault="002C2162" w:rsidP="00FE5F6D">
      <w:r w:rsidRPr="002C2162">
        <w:t xml:space="preserve">The Bank of England's Monetary Policy Committee voted </w:t>
      </w:r>
      <w:r>
        <w:t xml:space="preserve">7-2 </w:t>
      </w:r>
      <w:r w:rsidRPr="002C2162">
        <w:t xml:space="preserve">to keep Bank Rate unchanged at 5.25% at the </w:t>
      </w:r>
      <w:r>
        <w:t>June</w:t>
      </w:r>
      <w:r w:rsidRPr="002C2162">
        <w:t xml:space="preserve"> meeting</w:t>
      </w:r>
      <w:r w:rsidR="00FE5F6D">
        <w:t>.</w:t>
      </w:r>
      <w:r>
        <w:t xml:space="preserve"> This was the same outcome as </w:t>
      </w:r>
      <w:r w:rsidR="00EA17CF">
        <w:t xml:space="preserve">May and was in line with </w:t>
      </w:r>
      <w:hyperlink r:id="rId10" w:history="1">
        <w:r w:rsidR="00EA17CF" w:rsidRPr="00EA17CF">
          <w:rPr>
            <w:rStyle w:val="Hyperlink"/>
          </w:rPr>
          <w:t>our expectations</w:t>
        </w:r>
      </w:hyperlink>
      <w:r w:rsidR="00EA17CF">
        <w:t xml:space="preserve">. </w:t>
      </w:r>
      <w:r w:rsidR="001E65DF">
        <w:t xml:space="preserve">Committee members </w:t>
      </w:r>
      <w:r>
        <w:t xml:space="preserve">Dave Ramsden and Swati Dhingra again </w:t>
      </w:r>
      <w:r w:rsidR="00EA17CF">
        <w:t xml:space="preserve">dissented, </w:t>
      </w:r>
      <w:r>
        <w:t>voting for a 25bps rate cut.</w:t>
      </w:r>
    </w:p>
    <w:p w14:paraId="6D3F34AA" w14:textId="75EA23A9" w:rsidR="00A1333D" w:rsidRDefault="001E65DF" w:rsidP="00FE5F6D">
      <w:r>
        <w:t>S</w:t>
      </w:r>
      <w:r w:rsidR="00EA17CF">
        <w:t xml:space="preserve">ervices inflation, one of the MPC's key indicators of inflation persistence, </w:t>
      </w:r>
      <w:r w:rsidR="00A1333D">
        <w:t>had been</w:t>
      </w:r>
      <w:r w:rsidR="0089043E">
        <w:t xml:space="preserve"> well above the BoE staff's forecasts in April and May</w:t>
      </w:r>
      <w:r>
        <w:t>,</w:t>
      </w:r>
      <w:r w:rsidR="0089043E">
        <w:t xml:space="preserve"> </w:t>
      </w:r>
      <w:r>
        <w:t>so</w:t>
      </w:r>
      <w:r w:rsidR="00A1333D">
        <w:t xml:space="preserve"> there was little </w:t>
      </w:r>
      <w:r w:rsidR="0089043E">
        <w:t xml:space="preserve">chance of interest rates being cut today. </w:t>
      </w:r>
      <w:r>
        <w:t>W</w:t>
      </w:r>
      <w:r w:rsidR="00B03F75">
        <w:t xml:space="preserve">e </w:t>
      </w:r>
      <w:r w:rsidR="00745E19">
        <w:t xml:space="preserve">were </w:t>
      </w:r>
      <w:r>
        <w:t xml:space="preserve">more </w:t>
      </w:r>
      <w:r w:rsidR="00745E19">
        <w:t>interested to see</w:t>
      </w:r>
      <w:r w:rsidR="0089043E">
        <w:t xml:space="preserve"> how the MPC reacted to this data, and the extent to which it attempted to </w:t>
      </w:r>
      <w:r w:rsidR="00D23949">
        <w:t>move</w:t>
      </w:r>
      <w:r w:rsidR="0089043E">
        <w:t xml:space="preserve"> the focus onto </w:t>
      </w:r>
      <w:r w:rsidR="00A1333D">
        <w:t>indicators</w:t>
      </w:r>
      <w:r w:rsidR="00D23949">
        <w:t xml:space="preserve"> that w</w:t>
      </w:r>
      <w:r w:rsidR="00A1333D">
        <w:t>ere</w:t>
      </w:r>
      <w:r w:rsidR="00D23949">
        <w:t xml:space="preserve"> more supportive of rate cuts</w:t>
      </w:r>
      <w:r w:rsidR="00745E19">
        <w:t>.</w:t>
      </w:r>
      <w:r w:rsidR="00A1333D">
        <w:t xml:space="preserve"> </w:t>
      </w:r>
      <w:r w:rsidR="00D23949">
        <w:t xml:space="preserve">In the event, the recent data appears to have split </w:t>
      </w:r>
      <w:r w:rsidR="00D924AB">
        <w:t>those voting to keep rates on hold</w:t>
      </w:r>
      <w:r w:rsidR="00D23949">
        <w:t xml:space="preserve"> into two distinct camps.</w:t>
      </w:r>
    </w:p>
    <w:p w14:paraId="7D0CC39B" w14:textId="671B4C4E" w:rsidR="00BF131C" w:rsidRDefault="00D23949" w:rsidP="00FE5F6D">
      <w:r>
        <w:t xml:space="preserve">For the more hawkish members, </w:t>
      </w:r>
      <w:r w:rsidR="00BF131C">
        <w:t xml:space="preserve">the data </w:t>
      </w:r>
      <w:r w:rsidR="00A1333D">
        <w:t xml:space="preserve">served to </w:t>
      </w:r>
      <w:r>
        <w:t xml:space="preserve">reinforce their concerns about inflation persistence. But </w:t>
      </w:r>
      <w:r w:rsidR="00A1333D">
        <w:t xml:space="preserve">others found it relatively </w:t>
      </w:r>
      <w:r w:rsidR="00BF131C">
        <w:t xml:space="preserve">straightforward </w:t>
      </w:r>
      <w:r w:rsidR="00A1333D">
        <w:t xml:space="preserve">to explain away stronger-than-expected data for inflation, pay, and </w:t>
      </w:r>
      <w:r w:rsidR="00416CE1">
        <w:t>activity</w:t>
      </w:r>
      <w:r w:rsidR="00A1333D">
        <w:t xml:space="preserve">. </w:t>
      </w:r>
    </w:p>
    <w:p w14:paraId="0887C096" w14:textId="47149E61" w:rsidR="00FE5F6D" w:rsidRDefault="00A1333D" w:rsidP="00FE5F6D">
      <w:r>
        <w:t>In the process, this group gave the impression that they</w:t>
      </w:r>
      <w:r w:rsidR="005F60FC">
        <w:t>'</w:t>
      </w:r>
      <w:r>
        <w:t>ve moved away from their long-running focus on backward-looking measures of inflation persistence, such as services inflation and private sector regular pay growth. Instead, this group appears to have adopted a more forward-looking approach, citing the risk that now inflation was back in line with the target, inflationary dynamics could "adjust as rapidly on the downside as they had done on the upside."</w:t>
      </w:r>
    </w:p>
    <w:p w14:paraId="5CCECE31" w14:textId="265FBA83" w:rsidR="00FE5F6D" w:rsidRDefault="00777C59" w:rsidP="00FE5F6D">
      <w:r>
        <w:t xml:space="preserve">As </w:t>
      </w:r>
      <w:r w:rsidR="00BF131C">
        <w:t>usual</w:t>
      </w:r>
      <w:r>
        <w:t xml:space="preserve">, the BoE </w:t>
      </w:r>
      <w:r w:rsidR="00BF131C">
        <w:t xml:space="preserve">did not </w:t>
      </w:r>
      <w:r>
        <w:t xml:space="preserve">identify how many members were in each camp, but the choice of language offers some clues. When there's a </w:t>
      </w:r>
      <w:r w:rsidR="00654D5E">
        <w:t>major</w:t>
      </w:r>
      <w:r>
        <w:t xml:space="preserve"> imbalance, the minutes would typically use "most" to identify the larger group. So the use </w:t>
      </w:r>
      <w:r w:rsidR="00AD6100">
        <w:t xml:space="preserve">of </w:t>
      </w:r>
      <w:r>
        <w:t>"some" suggests a</w:t>
      </w:r>
      <w:r w:rsidR="00BF131C">
        <w:t>n</w:t>
      </w:r>
      <w:r>
        <w:t xml:space="preserve"> even balance. We'</w:t>
      </w:r>
      <w:r w:rsidR="001C4188">
        <w:t xml:space="preserve">d guess three members (Bailey, Breedon, and Broadbent) </w:t>
      </w:r>
      <w:r w:rsidR="00BF131C">
        <w:t xml:space="preserve">are </w:t>
      </w:r>
      <w:r w:rsidR="001C4188">
        <w:t>in the dovish camp, with Pill, Greene, Haskel, and Mann the hawks.</w:t>
      </w:r>
    </w:p>
    <w:p w14:paraId="2F92EC1D" w14:textId="67884E33" w:rsidR="00FE5F6D" w:rsidRDefault="00BF131C" w:rsidP="00FE5F6D">
      <w:r>
        <w:t>We see</w:t>
      </w:r>
      <w:r w:rsidR="001C4188">
        <w:t xml:space="preserve"> two clear indications that the doves are actively considering switching camps at the next meeting. First, the June decision was reported to be "finely balanced" for some. </w:t>
      </w:r>
      <w:r>
        <w:t>S</w:t>
      </w:r>
      <w:r w:rsidR="001C4188">
        <w:t xml:space="preserve">econd, </w:t>
      </w:r>
      <w:r>
        <w:t xml:space="preserve">a </w:t>
      </w:r>
      <w:r w:rsidR="001C4188">
        <w:t>link</w:t>
      </w:r>
      <w:r>
        <w:t xml:space="preserve"> is</w:t>
      </w:r>
      <w:r w:rsidR="001C4188">
        <w:t xml:space="preserve"> </w:t>
      </w:r>
      <w:r w:rsidR="007C06D4">
        <w:t xml:space="preserve">made in </w:t>
      </w:r>
      <w:r w:rsidR="001C4188">
        <w:t>the minutes between the August forecast round and whether Bank Rate should be maintained at its current level.</w:t>
      </w:r>
    </w:p>
    <w:p w14:paraId="3BF40555" w14:textId="414EC801" w:rsidR="009D6EDF" w:rsidRDefault="0000388A" w:rsidP="00FE5F6D">
      <w:r>
        <w:t xml:space="preserve">These were exactly the type of clues that </w:t>
      </w:r>
      <w:hyperlink r:id="rId11" w:history="1">
        <w:r w:rsidRPr="0000388A">
          <w:rPr>
            <w:rStyle w:val="Hyperlink"/>
          </w:rPr>
          <w:t>we had been looking for</w:t>
        </w:r>
      </w:hyperlink>
      <w:r>
        <w:t xml:space="preserve"> to fi</w:t>
      </w:r>
      <w:r w:rsidR="004F4944">
        <w:t xml:space="preserve">rm up our BoE call. So we </w:t>
      </w:r>
      <w:r w:rsidR="00BF131C">
        <w:t xml:space="preserve">are </w:t>
      </w:r>
      <w:r w:rsidR="004F4944">
        <w:t>stick</w:t>
      </w:r>
      <w:r w:rsidR="00BF131C">
        <w:t>ing</w:t>
      </w:r>
      <w:r w:rsidR="004F4944">
        <w:t xml:space="preserve"> with our forecast that rates will be cut by 25bps in August and November, </w:t>
      </w:r>
      <w:r w:rsidR="00BF131C">
        <w:t xml:space="preserve">lowering </w:t>
      </w:r>
      <w:r w:rsidR="004F4944">
        <w:t xml:space="preserve">Bank Rate </w:t>
      </w:r>
      <w:r w:rsidR="00BF131C">
        <w:t xml:space="preserve">to </w:t>
      </w:r>
      <w:r w:rsidR="004F4944">
        <w:t xml:space="preserve">4.75% </w:t>
      </w:r>
      <w:r w:rsidR="00BF131C">
        <w:t xml:space="preserve">by </w:t>
      </w:r>
      <w:r w:rsidR="004F4944">
        <w:t>the end of the year.</w:t>
      </w:r>
    </w:p>
    <w:p w14:paraId="699E316A" w14:textId="12F9DB95" w:rsidR="009E2FCA" w:rsidRDefault="00BF131C" w:rsidP="00FE5F6D">
      <w:r>
        <w:t xml:space="preserve">Still, considering </w:t>
      </w:r>
      <w:r w:rsidR="004F4944">
        <w:t xml:space="preserve">the majority for an August cut would probably be 5-4, it's far from a done deal. </w:t>
      </w:r>
      <w:r>
        <w:t>What's more,</w:t>
      </w:r>
      <w:r w:rsidR="004F4944">
        <w:t xml:space="preserve"> one of this month's likely doves</w:t>
      </w:r>
      <w:r>
        <w:t>,</w:t>
      </w:r>
      <w:r w:rsidR="004F4944">
        <w:t xml:space="preserve"> Ben Broadbent</w:t>
      </w:r>
      <w:r>
        <w:t>,</w:t>
      </w:r>
      <w:r w:rsidR="004F4944">
        <w:t xml:space="preserve"> will be replaced by Clare Lombardelli for the next meeting. But we think there's a good chance that Lombardelli </w:t>
      </w:r>
      <w:r>
        <w:t>will</w:t>
      </w:r>
      <w:r w:rsidR="004F4944">
        <w:t xml:space="preserve"> follow the other internal</w:t>
      </w:r>
      <w:r w:rsidR="009E2FCA">
        <w:t xml:space="preserve"> members</w:t>
      </w:r>
      <w:r w:rsidR="004F4944">
        <w:t xml:space="preserve"> in voting for a cut, particularly </w:t>
      </w:r>
      <w:r>
        <w:t>as</w:t>
      </w:r>
      <w:r w:rsidR="004F4944">
        <w:t xml:space="preserve"> her new role </w:t>
      </w:r>
      <w:r>
        <w:t>gives her</w:t>
      </w:r>
      <w:r w:rsidR="004F4944">
        <w:t xml:space="preserve"> ultimate responsibility for the inflation forecast.</w:t>
      </w:r>
    </w:p>
    <w:p w14:paraId="4E5A6CA9" w14:textId="4C7B9126" w:rsidR="00FE5F6D" w:rsidRDefault="00BF131C" w:rsidP="00FE5F6D">
      <w:r>
        <w:t>T</w:t>
      </w:r>
      <w:r w:rsidR="009E2FCA">
        <w:t xml:space="preserve">he </w:t>
      </w:r>
      <w:r>
        <w:t>election</w:t>
      </w:r>
      <w:r w:rsidR="009E2FCA">
        <w:t xml:space="preserve"> </w:t>
      </w:r>
      <w:r>
        <w:t xml:space="preserve">at the start of July </w:t>
      </w:r>
      <w:r w:rsidR="009E2FCA">
        <w:t xml:space="preserve">could also </w:t>
      </w:r>
      <w:r>
        <w:t xml:space="preserve">bear on </w:t>
      </w:r>
      <w:r w:rsidR="009E2FCA">
        <w:t xml:space="preserve">the MPC's thinking. Though </w:t>
      </w:r>
      <w:r>
        <w:t xml:space="preserve">both </w:t>
      </w:r>
      <w:r w:rsidR="009E2FCA">
        <w:t xml:space="preserve">the Labour and Conservative manifestos </w:t>
      </w:r>
      <w:hyperlink r:id="rId12" w:history="1">
        <w:r w:rsidR="009E2FCA" w:rsidRPr="009E2FCA">
          <w:rPr>
            <w:rStyle w:val="Hyperlink"/>
          </w:rPr>
          <w:t>imply very little change</w:t>
        </w:r>
      </w:hyperlink>
      <w:r w:rsidR="009E2FCA">
        <w:t xml:space="preserve"> to the outlooks for growth, inflation, or asset prices, we think it</w:t>
      </w:r>
      <w:r>
        <w:t>'</w:t>
      </w:r>
      <w:r w:rsidR="009E2FCA">
        <w:t>s unlikely that either party would stick closely to its manifesto plans</w:t>
      </w:r>
      <w:r w:rsidR="008865FD">
        <w:t xml:space="preserve"> if it wins</w:t>
      </w:r>
      <w:r w:rsidR="009E2FCA">
        <w:t>. A more expansionary fiscal approach would likely reinforce the MPC's determination to move slowly in cutting interest rates. But equally, if the new government chooses to front-load fiscal consolidation, we could see the MPC offset the impact with faster rate cuts in late-2024 and 2025.</w:t>
      </w:r>
    </w:p>
    <w:p w14:paraId="6B45B01B" w14:textId="72963B4F" w:rsidR="00FE5F6D" w:rsidRDefault="00FE5F6D" w:rsidP="00FE5F6D">
      <w:pPr>
        <w:pStyle w:val="ExhibitSource"/>
        <w:jc w:val="center"/>
        <w:sectPr w:rsidR="00FE5F6D" w:rsidSect="00FE5F6D">
          <w:headerReference w:type="even" r:id="rId13"/>
          <w:headerReference w:type="default" r:id="rId14"/>
          <w:footerReference w:type="default" r:id="rId15"/>
          <w:headerReference w:type="first" r:id="rId16"/>
          <w:footerReference w:type="first" r:id="rId17"/>
          <w:pgSz w:w="11906" w:h="16838"/>
          <w:pgMar w:top="2665" w:right="1276" w:bottom="838" w:left="1134" w:header="708" w:footer="300" w:gutter="0"/>
          <w:cols w:space="708"/>
          <w:titlePg/>
          <w:docGrid w:linePitch="360"/>
        </w:sectPr>
      </w:pPr>
    </w:p>
    <w:p w14:paraId="329EE4E0" w14:textId="77777777" w:rsidR="002C2162" w:rsidRPr="00806469" w:rsidRDefault="002C2162" w:rsidP="002503CC">
      <w:pPr>
        <w:pStyle w:val="Heading2"/>
      </w:pPr>
      <w:r w:rsidRPr="00806469">
        <w:lastRenderedPageBreak/>
        <w:t>Key passages from the MPC minutes</w:t>
      </w:r>
    </w:p>
    <w:p w14:paraId="14BF3879" w14:textId="569E6262" w:rsidR="002C2162" w:rsidRPr="004C387E" w:rsidRDefault="002C2162" w:rsidP="002C2162">
      <w:pPr>
        <w:rPr>
          <w:i/>
        </w:rPr>
      </w:pPr>
      <w:r w:rsidRPr="004C387E">
        <w:rPr>
          <w:i/>
        </w:rPr>
        <w:t>“</w:t>
      </w:r>
      <w:r w:rsidR="004C387E" w:rsidRPr="004C387E">
        <w:rPr>
          <w:i/>
        </w:rPr>
        <w:t>Seven members judged that maintaining Bank Rate at 5.25% was warranted at this meeting.</w:t>
      </w:r>
      <w:r w:rsidRPr="004C387E">
        <w:rPr>
          <w:i/>
        </w:rPr>
        <w:t>"</w:t>
      </w:r>
    </w:p>
    <w:p w14:paraId="1A6B693E" w14:textId="48B397A4" w:rsidR="004C387E" w:rsidRPr="004C387E" w:rsidRDefault="004C387E" w:rsidP="002C2162">
      <w:pPr>
        <w:rPr>
          <w:i/>
        </w:rPr>
      </w:pPr>
      <w:r w:rsidRPr="004C387E">
        <w:rPr>
          <w:i/>
        </w:rPr>
        <w:t>"For some members within this group, the return of headline inflation to 2%, while welcome, was not necessarily indicative of the required sustained return to target. Continued high levels of, and upside news to, services inflation supported the view that second-round effects would maintain persistent upward pressure on underlying inflation. Wage growth had continued to exceed model-based estimates. Indicators of domestic demand were stronger than had been expected, and the risks to the outlook for activity were skewed to the upside. For these members, more evidence of diminishing inflation persistence was needed before reducing the degree of monetary policy restrictiveness."</w:t>
      </w:r>
    </w:p>
    <w:p w14:paraId="06E63E4C" w14:textId="6BE47DF6" w:rsidR="002C2162" w:rsidRDefault="002C2162" w:rsidP="002C2162">
      <w:r w:rsidRPr="002C2162">
        <w:rPr>
          <w:b/>
          <w:color w:val="003469"/>
        </w:rPr>
        <w:t>Our interpretation:</w:t>
      </w:r>
      <w:r w:rsidRPr="00806469">
        <w:t xml:space="preserve"> </w:t>
      </w:r>
      <w:r w:rsidR="004C387E">
        <w:t>It's been a while since there has been such a wide spread of views among the majority group that separate paragraphs have been needed</w:t>
      </w:r>
      <w:r>
        <w:t>.</w:t>
      </w:r>
      <w:r w:rsidR="004C387E">
        <w:t xml:space="preserve"> The use of "some" suggests a fairly even split</w:t>
      </w:r>
      <w:r w:rsidR="008865FD">
        <w:t xml:space="preserve"> of members</w:t>
      </w:r>
      <w:r w:rsidR="004C387E">
        <w:t>, most likely</w:t>
      </w:r>
      <w:r w:rsidR="008865FD">
        <w:t xml:space="preserve"> into one</w:t>
      </w:r>
      <w:r w:rsidR="004C387E">
        <w:t xml:space="preserve"> group </w:t>
      </w:r>
      <w:r w:rsidR="008865FD">
        <w:t xml:space="preserve">of four </w:t>
      </w:r>
      <w:r w:rsidR="004C387E">
        <w:t xml:space="preserve">and </w:t>
      </w:r>
      <w:r w:rsidR="008865FD">
        <w:t xml:space="preserve">one of </w:t>
      </w:r>
      <w:r w:rsidR="004C387E">
        <w:t xml:space="preserve">three. The paragraph </w:t>
      </w:r>
      <w:r w:rsidR="008865FD">
        <w:t xml:space="preserve">on </w:t>
      </w:r>
      <w:r w:rsidR="004C387E">
        <w:t xml:space="preserve">the </w:t>
      </w:r>
      <w:r w:rsidR="008865FD">
        <w:t xml:space="preserve">views of the </w:t>
      </w:r>
      <w:r w:rsidR="004C387E">
        <w:t xml:space="preserve">more hawkish members suggests recent data has </w:t>
      </w:r>
      <w:r w:rsidR="008865FD">
        <w:t>reinforced</w:t>
      </w:r>
      <w:r w:rsidR="004C387E">
        <w:t xml:space="preserve"> their concerns about inflation persistence.</w:t>
      </w:r>
    </w:p>
    <w:p w14:paraId="41F55CD4" w14:textId="5790AFAA" w:rsidR="004C387E" w:rsidRPr="004C387E" w:rsidRDefault="004C387E" w:rsidP="002C2162">
      <w:pPr>
        <w:rPr>
          <w:i/>
        </w:rPr>
      </w:pPr>
      <w:r w:rsidRPr="004C387E">
        <w:rPr>
          <w:i/>
        </w:rPr>
        <w:t>"For other members within this group, the upside news in services price inflation relative to the May Report did not alter significantly the disinflationary trajectory that the economy was on. This view was supported by evidence that the recent strength in services inflation included regulated and indexed components of the basket, and volatile components. The impact of the increase in the NLW this April on aggregate pay growth was unlikely to be as large in future. Such factors would not push up medium-term inflation. For these members, the policy decision at this meeting was finely balanced."</w:t>
      </w:r>
    </w:p>
    <w:p w14:paraId="2BB19AE9" w14:textId="43C35E80" w:rsidR="004C387E" w:rsidRPr="00806469" w:rsidRDefault="004C387E" w:rsidP="002C2162">
      <w:r w:rsidRPr="004C387E">
        <w:rPr>
          <w:b/>
          <w:color w:val="003469"/>
        </w:rPr>
        <w:t>Our interpretation:</w:t>
      </w:r>
      <w:r w:rsidRPr="00806469">
        <w:t xml:space="preserve"> </w:t>
      </w:r>
      <w:r>
        <w:t>The last line is key. This is a clear signal these members are preparing to vote for a cut</w:t>
      </w:r>
      <w:r w:rsidR="008865FD">
        <w:t>,</w:t>
      </w:r>
      <w:r>
        <w:t xml:space="preserve"> </w:t>
      </w:r>
      <w:r w:rsidR="008865FD">
        <w:t>a</w:t>
      </w:r>
      <w:r>
        <w:t>nd recent data has</w:t>
      </w:r>
      <w:r w:rsidR="00CC1851">
        <w:t>n't</w:t>
      </w:r>
      <w:r>
        <w:t xml:space="preserve"> changed their minds about the inflation outlook. Based on past comments, we expect this group to be made up of internal members.</w:t>
      </w:r>
    </w:p>
    <w:p w14:paraId="49F08FE6" w14:textId="3282CD6A" w:rsidR="002C2162" w:rsidRPr="004C387E" w:rsidRDefault="002C2162" w:rsidP="002C2162">
      <w:pPr>
        <w:rPr>
          <w:i/>
        </w:rPr>
      </w:pPr>
      <w:r w:rsidRPr="004C387E">
        <w:rPr>
          <w:i/>
        </w:rPr>
        <w:t>"</w:t>
      </w:r>
      <w:r w:rsidR="004C387E" w:rsidRPr="004C387E">
        <w:rPr>
          <w:i/>
        </w:rPr>
        <w:t>Two members preferred a 0.25 percentage point reduction in Bank Rate at this meeting. For these members, Bank Rate needed to become less restrictive now to enable a smooth and gradual transition in the policy stance, and to account for lags in transmission. CPI inflation had been on a firm downward trajectory for some time and had returned to the 2% target in May. It was forecast to stay close to 2% in the short term, consistent with the further easing in the labour market, forward-looking indicators of inflation and pass-through, and continued falls in inflation expectations. Given the subdued outlook for demand, the risks to inflation remaining sustainably at the target in the medium term were to the downside</w:t>
      </w:r>
      <w:r w:rsidRPr="004C387E">
        <w:rPr>
          <w:i/>
        </w:rPr>
        <w:t>."</w:t>
      </w:r>
    </w:p>
    <w:p w14:paraId="2CCD3D6D" w14:textId="0FB91F39" w:rsidR="002C2162" w:rsidRPr="00806469" w:rsidRDefault="002C2162" w:rsidP="002C2162">
      <w:r w:rsidRPr="002C2162">
        <w:rPr>
          <w:b/>
          <w:color w:val="003469"/>
        </w:rPr>
        <w:t>Our interpretation:</w:t>
      </w:r>
      <w:r w:rsidRPr="00806469">
        <w:t xml:space="preserve"> </w:t>
      </w:r>
      <w:r w:rsidR="004C387E">
        <w:t>The paragraph summarising Ramsden and Dhingra's views was very similar to last month</w:t>
      </w:r>
      <w:r>
        <w:t>.</w:t>
      </w:r>
    </w:p>
    <w:p w14:paraId="58BA5464" w14:textId="0692B914" w:rsidR="002C2162" w:rsidRPr="004C387E" w:rsidRDefault="002C2162" w:rsidP="002C2162">
      <w:pPr>
        <w:rPr>
          <w:i/>
        </w:rPr>
      </w:pPr>
      <w:r w:rsidRPr="004C387E">
        <w:rPr>
          <w:i/>
        </w:rPr>
        <w:t>"</w:t>
      </w:r>
      <w:r w:rsidR="004C387E" w:rsidRPr="004C387E">
        <w:rPr>
          <w:i/>
        </w:rPr>
        <w:t>The MPC remained prepared to adjust monetary policy as warranted by economic data to return inflation to the 2% target sustainably. It would therefore continue to monitor closely indications of persistent inflationary pressures and resilience in the economy as a whole, including a range of measures of the underlying tightness of labour market conditions, wage growth and services price inflation. As part of the August forecast round, members of the Committee would consider all of the information available and how this affected the assessment that the risks from inflation persistence were receding. On that basis, the Committee would keep under review for how long Bank Rate should be maintained at its current level</w:t>
      </w:r>
      <w:r w:rsidRPr="004C387E">
        <w:rPr>
          <w:i/>
        </w:rPr>
        <w:t>."</w:t>
      </w:r>
    </w:p>
    <w:p w14:paraId="7F445957" w14:textId="74BBBA03" w:rsidR="002C2162" w:rsidRDefault="002C2162" w:rsidP="002C2162">
      <w:r w:rsidRPr="002C2162">
        <w:rPr>
          <w:b/>
          <w:color w:val="003469"/>
        </w:rPr>
        <w:t>Our interpretation:</w:t>
      </w:r>
      <w:r>
        <w:t xml:space="preserve"> </w:t>
      </w:r>
      <w:r w:rsidR="004F0B90">
        <w:t>As</w:t>
      </w:r>
      <w:r w:rsidR="004C387E">
        <w:t xml:space="preserve"> with the </w:t>
      </w:r>
      <w:r w:rsidR="004F0B90">
        <w:t xml:space="preserve">comment about June's decision being finely balanced, </w:t>
      </w:r>
      <w:r w:rsidR="008865FD">
        <w:t>comments on</w:t>
      </w:r>
      <w:r w:rsidR="004F0B90">
        <w:t xml:space="preserve"> the importance of the August forecast round hints at committee members preparing to switch camps</w:t>
      </w:r>
      <w:r>
        <w:t>.</w:t>
      </w:r>
    </w:p>
    <w:p w14:paraId="3B078F4C" w14:textId="05AD5491" w:rsidR="00FE5F6D" w:rsidRDefault="00FE5F6D" w:rsidP="00FE5F6D"/>
    <w:sectPr w:rsidR="00FE5F6D" w:rsidSect="000824E3">
      <w:pgSz w:w="11906" w:h="16838"/>
      <w:pgMar w:top="1417" w:right="1276" w:bottom="838" w:left="1134" w:header="198" w:footer="44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CB1DDE" w14:textId="77777777" w:rsidR="00FE5F6D" w:rsidRDefault="00FE5F6D" w:rsidP="00FE5F6D">
      <w:pPr>
        <w:spacing w:before="0" w:after="0"/>
      </w:pPr>
      <w:r>
        <w:separator/>
      </w:r>
    </w:p>
  </w:endnote>
  <w:endnote w:type="continuationSeparator" w:id="0">
    <w:p w14:paraId="3D55EC28" w14:textId="77777777" w:rsidR="00FE5F6D" w:rsidRDefault="00FE5F6D" w:rsidP="00FE5F6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E17E46" w14:textId="1CA9411E" w:rsidR="00FE5F6D" w:rsidRPr="00FE5F6D" w:rsidRDefault="00FE5F6D" w:rsidP="00FE5F6D">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t>Andrew Goodwin - agoodwin@oxfordeconomics.com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6559B" w14:textId="4C4E42CD" w:rsidR="00FE5F6D" w:rsidRDefault="00FE5F6D" w:rsidP="00FE5F6D">
    <w:pPr>
      <w:pStyle w:val="Author"/>
    </w:pPr>
    <w:r>
      <w:t>Andrew Goodwin</w:t>
    </w:r>
    <w:r w:rsidR="002503CC">
      <w:t xml:space="preserve"> - </w:t>
    </w:r>
    <w:r>
      <w:t>Chief UK Economist</w:t>
    </w:r>
    <w:r w:rsidR="002503CC">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27DFA" w14:textId="77777777" w:rsidR="00FE5F6D" w:rsidRDefault="00FE5F6D" w:rsidP="00FE5F6D">
      <w:pPr>
        <w:spacing w:before="0" w:after="0"/>
      </w:pPr>
      <w:r>
        <w:separator/>
      </w:r>
    </w:p>
  </w:footnote>
  <w:footnote w:type="continuationSeparator" w:id="0">
    <w:p w14:paraId="3EFD7D3A" w14:textId="77777777" w:rsidR="00FE5F6D" w:rsidRDefault="00FE5F6D" w:rsidP="00FE5F6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973FE" w14:textId="77777777" w:rsidR="00FE5F6D" w:rsidRDefault="00FE5F6D">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3C8BD7" w14:textId="65B0875F" w:rsidR="00FE5F6D" w:rsidRDefault="00FE5F6D" w:rsidP="00FE5F6D">
    <w:pPr>
      <w:pStyle w:val="Headline"/>
      <w:spacing w:before="120"/>
      <w:ind w:right="-1000"/>
    </w:pPr>
    <w:r w:rsidRPr="00FE5F6D">
      <w:rPr>
        <w:noProof/>
      </w:rPr>
      <w:drawing>
        <wp:anchor distT="0" distB="0" distL="114300" distR="114300" simplePos="0" relativeHeight="251658239" behindDoc="1" locked="1" layoutInCell="1" allowOverlap="1" wp14:anchorId="07C3E185" wp14:editId="5A44575F">
          <wp:simplePos x="0" y="0"/>
          <wp:positionH relativeFrom="page">
            <wp:posOffset>0</wp:posOffset>
          </wp:positionH>
          <wp:positionV relativeFrom="page">
            <wp:posOffset>0</wp:posOffset>
          </wp:positionV>
          <wp:extent cx="7553325" cy="10658475"/>
          <wp:effectExtent l="0" t="0" r="9525" b="9525"/>
          <wp:wrapNone/>
          <wp:docPr id="23" name="Picture 23"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r w:rsidR="000951F3" w:rsidRPr="000951F3">
      <w:t>MPC prepares the ground for an August rate cut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DBC81" w14:textId="2DEA1147" w:rsidR="00FE5F6D" w:rsidRDefault="00FE5F6D" w:rsidP="00FE5F6D">
    <w:r w:rsidRPr="00FE5F6D">
      <w:rPr>
        <w:noProof/>
      </w:rPr>
      <w:drawing>
        <wp:anchor distT="0" distB="0" distL="114300" distR="114300" simplePos="0" relativeHeight="251659264" behindDoc="1" locked="1" layoutInCell="1" allowOverlap="1" wp14:anchorId="07A5AA1C" wp14:editId="22F29EA2">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232986668"/>
      <w:lock w:val="sdtLocked"/>
      <w:placeholder>
        <w:docPart w:val="DefaultPlaceholder_-1854013437"/>
      </w:placeholder>
      <w:date w:fullDate="2024-06-20T00:00:00Z">
        <w:dateFormat w:val="d MMMM yyyy"/>
        <w:lid w:val="en-GB"/>
        <w:storeMappedDataAs w:val="dateTime"/>
        <w:calendar w:val="gregorian"/>
      </w:date>
    </w:sdtPr>
    <w:sdtEndPr/>
    <w:sdtContent>
      <w:p w14:paraId="0063BD5E" w14:textId="3849E172" w:rsidR="00FE5F6D" w:rsidRDefault="00FE5F6D" w:rsidP="00FE5F6D">
        <w:pPr>
          <w:pStyle w:val="PublishDate"/>
          <w:framePr w:w="2835" w:h="340" w:hRule="exact" w:hSpace="180" w:wrap="around" w:vAnchor="page" w:hAnchor="page" w:x="7801" w:y="601" w:anchorLock="1"/>
        </w:pPr>
        <w:r>
          <w:t>20 June 2024</w:t>
        </w:r>
      </w:p>
    </w:sdtContent>
  </w:sdt>
  <w:p w14:paraId="7E8FB952" w14:textId="4130DD6D" w:rsidR="00FE5F6D" w:rsidRDefault="00FE5F6D" w:rsidP="00FE5F6D">
    <w:pPr>
      <w:pStyle w:val="ProductDescription"/>
      <w:framePr w:w="11339" w:h="1474" w:hRule="exact" w:hSpace="180" w:wrap="around" w:vAnchor="page" w:hAnchor="page" w:x="401" w:y="1141" w:anchorLock="1"/>
      <w:spacing w:after="200"/>
    </w:pPr>
    <w:r>
      <w:t>Research Briefing | UK</w:t>
    </w:r>
  </w:p>
  <w:p w14:paraId="61E47D6A" w14:textId="112D8023" w:rsidR="00FE5F6D" w:rsidRDefault="000951F3" w:rsidP="00FE5F6D">
    <w:pPr>
      <w:pStyle w:val="Headline"/>
      <w:framePr w:w="11339" w:h="1474" w:hRule="exact" w:hSpace="180" w:wrap="around" w:vAnchor="page" w:hAnchor="page" w:x="401" w:y="1141" w:anchorLock="1"/>
      <w:spacing w:line="200" w:lineRule="auto"/>
    </w:pPr>
    <w:r>
      <w:t>MPC prepares the ground for an August rate cut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99632967">
    <w:abstractNumId w:val="34"/>
  </w:num>
  <w:num w:numId="2" w16cid:durableId="1581480170">
    <w:abstractNumId w:val="24"/>
  </w:num>
  <w:num w:numId="3" w16cid:durableId="1831287993">
    <w:abstractNumId w:val="26"/>
  </w:num>
  <w:num w:numId="4" w16cid:durableId="1078409202">
    <w:abstractNumId w:val="19"/>
  </w:num>
  <w:num w:numId="5" w16cid:durableId="1869829829">
    <w:abstractNumId w:val="21"/>
  </w:num>
  <w:num w:numId="6" w16cid:durableId="2145076719">
    <w:abstractNumId w:val="28"/>
  </w:num>
  <w:num w:numId="7" w16cid:durableId="381712388">
    <w:abstractNumId w:val="42"/>
  </w:num>
  <w:num w:numId="8" w16cid:durableId="1917594448">
    <w:abstractNumId w:val="15"/>
  </w:num>
  <w:num w:numId="9" w16cid:durableId="1477840358">
    <w:abstractNumId w:val="43"/>
  </w:num>
  <w:num w:numId="10" w16cid:durableId="1672754494">
    <w:abstractNumId w:val="12"/>
  </w:num>
  <w:num w:numId="11" w16cid:durableId="1333802721">
    <w:abstractNumId w:val="29"/>
  </w:num>
  <w:num w:numId="12" w16cid:durableId="57364854">
    <w:abstractNumId w:val="39"/>
  </w:num>
  <w:num w:numId="13" w16cid:durableId="1453596459">
    <w:abstractNumId w:val="17"/>
  </w:num>
  <w:num w:numId="14" w16cid:durableId="1839268621">
    <w:abstractNumId w:val="46"/>
  </w:num>
  <w:num w:numId="15" w16cid:durableId="1171724022">
    <w:abstractNumId w:val="35"/>
  </w:num>
  <w:num w:numId="16" w16cid:durableId="17388397">
    <w:abstractNumId w:val="32"/>
  </w:num>
  <w:num w:numId="17" w16cid:durableId="1128938560">
    <w:abstractNumId w:val="18"/>
  </w:num>
  <w:num w:numId="18" w16cid:durableId="714235526">
    <w:abstractNumId w:val="16"/>
  </w:num>
  <w:num w:numId="19" w16cid:durableId="62224230">
    <w:abstractNumId w:val="47"/>
  </w:num>
  <w:num w:numId="20" w16cid:durableId="1459181894">
    <w:abstractNumId w:val="48"/>
  </w:num>
  <w:num w:numId="21" w16cid:durableId="673269022">
    <w:abstractNumId w:val="9"/>
  </w:num>
  <w:num w:numId="22" w16cid:durableId="1190995165">
    <w:abstractNumId w:val="7"/>
  </w:num>
  <w:num w:numId="23" w16cid:durableId="1489437290">
    <w:abstractNumId w:val="6"/>
  </w:num>
  <w:num w:numId="24" w16cid:durableId="1408073444">
    <w:abstractNumId w:val="5"/>
  </w:num>
  <w:num w:numId="25" w16cid:durableId="1169057616">
    <w:abstractNumId w:val="4"/>
  </w:num>
  <w:num w:numId="26" w16cid:durableId="862061554">
    <w:abstractNumId w:val="8"/>
  </w:num>
  <w:num w:numId="27" w16cid:durableId="57553048">
    <w:abstractNumId w:val="3"/>
  </w:num>
  <w:num w:numId="28" w16cid:durableId="1937398214">
    <w:abstractNumId w:val="2"/>
  </w:num>
  <w:num w:numId="29" w16cid:durableId="1382555572">
    <w:abstractNumId w:val="1"/>
  </w:num>
  <w:num w:numId="30" w16cid:durableId="2053380392">
    <w:abstractNumId w:val="0"/>
  </w:num>
  <w:num w:numId="31" w16cid:durableId="1414233740">
    <w:abstractNumId w:val="40"/>
  </w:num>
  <w:num w:numId="32" w16cid:durableId="561259442">
    <w:abstractNumId w:val="45"/>
  </w:num>
  <w:num w:numId="33" w16cid:durableId="687100141">
    <w:abstractNumId w:val="20"/>
  </w:num>
  <w:num w:numId="34" w16cid:durableId="1746758054">
    <w:abstractNumId w:val="23"/>
  </w:num>
  <w:num w:numId="35" w16cid:durableId="1492483831">
    <w:abstractNumId w:val="14"/>
  </w:num>
  <w:num w:numId="36" w16cid:durableId="466971069">
    <w:abstractNumId w:val="31"/>
  </w:num>
  <w:num w:numId="37" w16cid:durableId="875509379">
    <w:abstractNumId w:val="13"/>
  </w:num>
  <w:num w:numId="38" w16cid:durableId="1962759860">
    <w:abstractNumId w:val="30"/>
  </w:num>
  <w:num w:numId="39" w16cid:durableId="259798221">
    <w:abstractNumId w:val="27"/>
  </w:num>
  <w:num w:numId="40" w16cid:durableId="1695692614">
    <w:abstractNumId w:val="38"/>
  </w:num>
  <w:num w:numId="41" w16cid:durableId="1103653306">
    <w:abstractNumId w:val="22"/>
  </w:num>
  <w:num w:numId="42" w16cid:durableId="1704868863">
    <w:abstractNumId w:val="33"/>
  </w:num>
  <w:num w:numId="43" w16cid:durableId="1895240262">
    <w:abstractNumId w:val="36"/>
  </w:num>
  <w:num w:numId="44" w16cid:durableId="900333846">
    <w:abstractNumId w:val="11"/>
  </w:num>
  <w:num w:numId="45" w16cid:durableId="2074311132">
    <w:abstractNumId w:val="11"/>
    <w:lvlOverride w:ilvl="0">
      <w:startOverride w:val="1"/>
    </w:lvlOverride>
  </w:num>
  <w:num w:numId="46" w16cid:durableId="403721082">
    <w:abstractNumId w:val="44"/>
  </w:num>
  <w:num w:numId="47" w16cid:durableId="1062220406">
    <w:abstractNumId w:val="41"/>
  </w:num>
  <w:num w:numId="48" w16cid:durableId="665015835">
    <w:abstractNumId w:val="37"/>
  </w:num>
  <w:num w:numId="49" w16cid:durableId="22438444">
    <w:abstractNumId w:val="25"/>
  </w:num>
  <w:num w:numId="50" w16cid:durableId="603709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F6D"/>
    <w:rsid w:val="0000388A"/>
    <w:rsid w:val="00003BA7"/>
    <w:rsid w:val="00022761"/>
    <w:rsid w:val="000951F3"/>
    <w:rsid w:val="000C0ADF"/>
    <w:rsid w:val="000D3E43"/>
    <w:rsid w:val="000E2BD3"/>
    <w:rsid w:val="000F3F52"/>
    <w:rsid w:val="001018E9"/>
    <w:rsid w:val="00120D7A"/>
    <w:rsid w:val="00124E58"/>
    <w:rsid w:val="00160F71"/>
    <w:rsid w:val="0016316B"/>
    <w:rsid w:val="0017078A"/>
    <w:rsid w:val="00192CDF"/>
    <w:rsid w:val="001A5775"/>
    <w:rsid w:val="001A6993"/>
    <w:rsid w:val="001B2B67"/>
    <w:rsid w:val="001B2C32"/>
    <w:rsid w:val="001C4188"/>
    <w:rsid w:val="001D7057"/>
    <w:rsid w:val="001E0785"/>
    <w:rsid w:val="001E0C4A"/>
    <w:rsid w:val="001E56EF"/>
    <w:rsid w:val="001E65DF"/>
    <w:rsid w:val="001F3317"/>
    <w:rsid w:val="00213A5C"/>
    <w:rsid w:val="0024757F"/>
    <w:rsid w:val="002503CC"/>
    <w:rsid w:val="002615F6"/>
    <w:rsid w:val="00262D94"/>
    <w:rsid w:val="00263E48"/>
    <w:rsid w:val="00272444"/>
    <w:rsid w:val="002745D6"/>
    <w:rsid w:val="00282A8A"/>
    <w:rsid w:val="00286754"/>
    <w:rsid w:val="0029566B"/>
    <w:rsid w:val="002C2162"/>
    <w:rsid w:val="002D0DC9"/>
    <w:rsid w:val="003017D9"/>
    <w:rsid w:val="0031169C"/>
    <w:rsid w:val="00316CBE"/>
    <w:rsid w:val="00370974"/>
    <w:rsid w:val="00374E02"/>
    <w:rsid w:val="003B0CAB"/>
    <w:rsid w:val="003B715A"/>
    <w:rsid w:val="003D53A6"/>
    <w:rsid w:val="003F0F4E"/>
    <w:rsid w:val="0040359C"/>
    <w:rsid w:val="00405D65"/>
    <w:rsid w:val="00416CE1"/>
    <w:rsid w:val="004258C9"/>
    <w:rsid w:val="004458BB"/>
    <w:rsid w:val="004602D9"/>
    <w:rsid w:val="0046292D"/>
    <w:rsid w:val="004677EA"/>
    <w:rsid w:val="004827E3"/>
    <w:rsid w:val="00484331"/>
    <w:rsid w:val="00495DE7"/>
    <w:rsid w:val="004A2A92"/>
    <w:rsid w:val="004B4F66"/>
    <w:rsid w:val="004C387E"/>
    <w:rsid w:val="004C7923"/>
    <w:rsid w:val="004D473F"/>
    <w:rsid w:val="004D5B83"/>
    <w:rsid w:val="004D650E"/>
    <w:rsid w:val="004F0B90"/>
    <w:rsid w:val="004F4944"/>
    <w:rsid w:val="005176F2"/>
    <w:rsid w:val="00527CC9"/>
    <w:rsid w:val="005414BA"/>
    <w:rsid w:val="0054280C"/>
    <w:rsid w:val="005473C6"/>
    <w:rsid w:val="00563FEB"/>
    <w:rsid w:val="00576CB8"/>
    <w:rsid w:val="0058153A"/>
    <w:rsid w:val="00592138"/>
    <w:rsid w:val="005F0616"/>
    <w:rsid w:val="005F60FC"/>
    <w:rsid w:val="006125A3"/>
    <w:rsid w:val="006166EE"/>
    <w:rsid w:val="00654D5E"/>
    <w:rsid w:val="00671564"/>
    <w:rsid w:val="006739BF"/>
    <w:rsid w:val="0067595A"/>
    <w:rsid w:val="006A1630"/>
    <w:rsid w:val="006A676D"/>
    <w:rsid w:val="006F60F1"/>
    <w:rsid w:val="00745E19"/>
    <w:rsid w:val="007723AE"/>
    <w:rsid w:val="00777C59"/>
    <w:rsid w:val="007A0F18"/>
    <w:rsid w:val="007B57CD"/>
    <w:rsid w:val="007C06D4"/>
    <w:rsid w:val="00847933"/>
    <w:rsid w:val="00855D68"/>
    <w:rsid w:val="0086090E"/>
    <w:rsid w:val="00874B7C"/>
    <w:rsid w:val="0088455B"/>
    <w:rsid w:val="008865FD"/>
    <w:rsid w:val="0089043E"/>
    <w:rsid w:val="008E11F0"/>
    <w:rsid w:val="008E721D"/>
    <w:rsid w:val="008F1A70"/>
    <w:rsid w:val="00920D15"/>
    <w:rsid w:val="00933B30"/>
    <w:rsid w:val="009634AC"/>
    <w:rsid w:val="00963AA5"/>
    <w:rsid w:val="00995E6B"/>
    <w:rsid w:val="009C7C16"/>
    <w:rsid w:val="009D6EDF"/>
    <w:rsid w:val="009E07F1"/>
    <w:rsid w:val="009E2FCA"/>
    <w:rsid w:val="009E5F70"/>
    <w:rsid w:val="009F37D1"/>
    <w:rsid w:val="009F3F01"/>
    <w:rsid w:val="00A02424"/>
    <w:rsid w:val="00A1333D"/>
    <w:rsid w:val="00A25234"/>
    <w:rsid w:val="00A332D4"/>
    <w:rsid w:val="00A50835"/>
    <w:rsid w:val="00A52669"/>
    <w:rsid w:val="00A63323"/>
    <w:rsid w:val="00A66B32"/>
    <w:rsid w:val="00A77085"/>
    <w:rsid w:val="00A9430E"/>
    <w:rsid w:val="00AB24B7"/>
    <w:rsid w:val="00AB6B99"/>
    <w:rsid w:val="00AD07ED"/>
    <w:rsid w:val="00AD6100"/>
    <w:rsid w:val="00AE76E6"/>
    <w:rsid w:val="00B03F75"/>
    <w:rsid w:val="00B04E07"/>
    <w:rsid w:val="00B16B5A"/>
    <w:rsid w:val="00B7343B"/>
    <w:rsid w:val="00B846EA"/>
    <w:rsid w:val="00B910EA"/>
    <w:rsid w:val="00BB6195"/>
    <w:rsid w:val="00BE1485"/>
    <w:rsid w:val="00BF131C"/>
    <w:rsid w:val="00BF6A2A"/>
    <w:rsid w:val="00C17065"/>
    <w:rsid w:val="00C65A69"/>
    <w:rsid w:val="00C72052"/>
    <w:rsid w:val="00C75153"/>
    <w:rsid w:val="00C76458"/>
    <w:rsid w:val="00C84AD7"/>
    <w:rsid w:val="00C90D41"/>
    <w:rsid w:val="00C93538"/>
    <w:rsid w:val="00C9768F"/>
    <w:rsid w:val="00CA4BF3"/>
    <w:rsid w:val="00CB23EC"/>
    <w:rsid w:val="00CB7716"/>
    <w:rsid w:val="00CC1851"/>
    <w:rsid w:val="00CC3321"/>
    <w:rsid w:val="00D23949"/>
    <w:rsid w:val="00D379EC"/>
    <w:rsid w:val="00D44219"/>
    <w:rsid w:val="00D645EE"/>
    <w:rsid w:val="00D924AB"/>
    <w:rsid w:val="00DB0BE6"/>
    <w:rsid w:val="00DC3B6C"/>
    <w:rsid w:val="00DE568D"/>
    <w:rsid w:val="00DF73F9"/>
    <w:rsid w:val="00DF7BAE"/>
    <w:rsid w:val="00E01332"/>
    <w:rsid w:val="00E10235"/>
    <w:rsid w:val="00E213A8"/>
    <w:rsid w:val="00E23560"/>
    <w:rsid w:val="00E63E3C"/>
    <w:rsid w:val="00EA0803"/>
    <w:rsid w:val="00EA17CF"/>
    <w:rsid w:val="00EA2025"/>
    <w:rsid w:val="00ED615F"/>
    <w:rsid w:val="00ED6FF0"/>
    <w:rsid w:val="00EF4537"/>
    <w:rsid w:val="00F2643F"/>
    <w:rsid w:val="00F52C66"/>
    <w:rsid w:val="00F72F2A"/>
    <w:rsid w:val="00F746A8"/>
    <w:rsid w:val="00FC1EA7"/>
    <w:rsid w:val="00FE0EF6"/>
    <w:rsid w:val="00FE5C10"/>
    <w:rsid w:val="00FE5F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14:docId w14:val="1C9B429B"/>
  <w15:chartTrackingRefBased/>
  <w15:docId w15:val="{1B2FF344-41E1-4ACB-BE76-B891AFD7C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F6D"/>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FE5F6D"/>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FE5F6D"/>
    <w:pPr>
      <w:outlineLvl w:val="1"/>
    </w:pPr>
    <w:rPr>
      <w:sz w:val="28"/>
    </w:rPr>
  </w:style>
  <w:style w:type="paragraph" w:styleId="Heading3">
    <w:name w:val="heading 3"/>
    <w:basedOn w:val="Normal"/>
    <w:next w:val="Normal"/>
    <w:link w:val="Heading3Char"/>
    <w:uiPriority w:val="9"/>
    <w:unhideWhenUsed/>
    <w:qFormat/>
    <w:rsid w:val="00FE5F6D"/>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FE5F6D"/>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FE5F6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FE5F6D"/>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FE5F6D"/>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FE5F6D"/>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FE5F6D"/>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FE5F6D"/>
    <w:pPr>
      <w:tabs>
        <w:tab w:val="center" w:pos="4320"/>
        <w:tab w:val="right" w:pos="8640"/>
      </w:tabs>
    </w:pPr>
  </w:style>
  <w:style w:type="character" w:customStyle="1" w:styleId="HeaderChar">
    <w:name w:val="Header Char"/>
    <w:basedOn w:val="DefaultParagraphFont"/>
    <w:link w:val="Header"/>
    <w:uiPriority w:val="99"/>
    <w:rsid w:val="00FE5F6D"/>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FE5F6D"/>
    <w:pPr>
      <w:tabs>
        <w:tab w:val="center" w:pos="4320"/>
        <w:tab w:val="right" w:pos="8640"/>
      </w:tabs>
    </w:pPr>
  </w:style>
  <w:style w:type="character" w:customStyle="1" w:styleId="FooterChar">
    <w:name w:val="Footer Char"/>
    <w:basedOn w:val="DefaultParagraphFont"/>
    <w:link w:val="Footer"/>
    <w:uiPriority w:val="99"/>
    <w:rsid w:val="00FE5F6D"/>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FE5F6D"/>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FE5F6D"/>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FE5F6D"/>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FE5F6D"/>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FE5F6D"/>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FE5F6D"/>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FE5F6D"/>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FE5F6D"/>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FE5F6D"/>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FE5F6D"/>
    <w:rPr>
      <w:noProof w:val="0"/>
    </w:rPr>
  </w:style>
  <w:style w:type="character" w:styleId="Hyperlink">
    <w:name w:val="Hyperlink"/>
    <w:basedOn w:val="DefaultParagraphFont"/>
    <w:uiPriority w:val="99"/>
    <w:unhideWhenUsed/>
    <w:rsid w:val="00FE5F6D"/>
    <w:rPr>
      <w:noProof w:val="0"/>
      <w:color w:val="0563C1" w:themeColor="hyperlink"/>
      <w:u w:val="single"/>
    </w:rPr>
  </w:style>
  <w:style w:type="paragraph" w:styleId="ListParagraph">
    <w:name w:val="List Paragraph"/>
    <w:next w:val="Normal"/>
    <w:link w:val="ListParagraphChar"/>
    <w:uiPriority w:val="34"/>
    <w:locked/>
    <w:rsid w:val="00FE5F6D"/>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FE5F6D"/>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FE5F6D"/>
    <w:pPr>
      <w:spacing w:after="120"/>
    </w:pPr>
    <w:rPr>
      <w:b/>
      <w:bCs/>
      <w:color w:val="FFFFFF"/>
      <w:sz w:val="32"/>
      <w:szCs w:val="32"/>
    </w:rPr>
  </w:style>
  <w:style w:type="paragraph" w:customStyle="1" w:styleId="Headline">
    <w:name w:val="Headline"/>
    <w:basedOn w:val="Normal"/>
    <w:next w:val="Normal"/>
    <w:link w:val="HeadlineChar"/>
    <w:qFormat/>
    <w:rsid w:val="00FE5F6D"/>
    <w:rPr>
      <w:rFonts w:ascii="Segoe UI Semilight" w:hAnsi="Segoe UI Semilight" w:cs="Segoe UI Semilight"/>
      <w:b/>
      <w:bCs/>
      <w:color w:val="FFFFFF"/>
      <w:sz w:val="40"/>
      <w:szCs w:val="40"/>
    </w:rPr>
  </w:style>
  <w:style w:type="paragraph" w:customStyle="1" w:styleId="ExhibitTitle">
    <w:name w:val="Exhibit Title"/>
    <w:basedOn w:val="Normal"/>
    <w:qFormat/>
    <w:rsid w:val="00FE5F6D"/>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FE5F6D"/>
    <w:pPr>
      <w:shd w:val="clear" w:color="auto" w:fill="D6E2FA"/>
      <w:spacing w:after="0"/>
    </w:pPr>
    <w:rPr>
      <w:color w:val="595959" w:themeColor="text1" w:themeTint="A6"/>
      <w:sz w:val="18"/>
    </w:rPr>
  </w:style>
  <w:style w:type="paragraph" w:customStyle="1" w:styleId="ExhibitSource">
    <w:name w:val="Exhibit Source"/>
    <w:next w:val="Normal"/>
    <w:qFormat/>
    <w:rsid w:val="00FE5F6D"/>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FE5F6D"/>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FE5F6D"/>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FE5F6D"/>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FE5F6D"/>
    <w:pPr>
      <w:ind w:left="862" w:right="862"/>
      <w:jc w:val="center"/>
    </w:pPr>
    <w:rPr>
      <w:i/>
      <w:iCs/>
      <w:color w:val="404040" w:themeColor="text1" w:themeTint="BF"/>
    </w:rPr>
  </w:style>
  <w:style w:type="character" w:customStyle="1" w:styleId="QuoteChar">
    <w:name w:val="Quote Char"/>
    <w:basedOn w:val="DefaultParagraphFont"/>
    <w:link w:val="Quote"/>
    <w:uiPriority w:val="29"/>
    <w:rsid w:val="00FE5F6D"/>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FE5F6D"/>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FE5F6D"/>
    <w:rPr>
      <w:rFonts w:ascii="Segoe UI" w:hAnsi="Segoe UI" w:cs="Segoe UI"/>
      <w:noProof w:val="0"/>
      <w:color w:val="000000" w:themeColor="text1"/>
    </w:rPr>
  </w:style>
  <w:style w:type="paragraph" w:customStyle="1" w:styleId="Summary">
    <w:name w:val="Summary"/>
    <w:basedOn w:val="Normal"/>
    <w:link w:val="SummaryChar"/>
    <w:qFormat/>
    <w:rsid w:val="00FE5F6D"/>
    <w:pPr>
      <w:numPr>
        <w:numId w:val="34"/>
      </w:numPr>
      <w:ind w:left="1797" w:hanging="357"/>
    </w:pPr>
    <w:rPr>
      <w:kern w:val="2"/>
      <w:sz w:val="22"/>
      <w14:ligatures w14:val="standardContextual"/>
    </w:rPr>
  </w:style>
  <w:style w:type="paragraph" w:customStyle="1" w:styleId="TableData">
    <w:name w:val="Table Data"/>
    <w:link w:val="TableDataChar"/>
    <w:qFormat/>
    <w:rsid w:val="00FE5F6D"/>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FE5F6D"/>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FE5F6D"/>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FE5F6D"/>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FE5F6D"/>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FE5F6D"/>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FE5F6D"/>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FE5F6D"/>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FE5F6D"/>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FE5F6D"/>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FE5F6D"/>
    <w:rPr>
      <w:color w:val="003469"/>
    </w:rPr>
  </w:style>
  <w:style w:type="character" w:customStyle="1" w:styleId="RepeatingFooterChar">
    <w:name w:val="Repeating Footer Char"/>
    <w:basedOn w:val="FooterChar"/>
    <w:link w:val="RepeatingFooter"/>
    <w:rsid w:val="00FE5F6D"/>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FE5F6D"/>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FE5F6D"/>
    <w:rPr>
      <w:b/>
      <w:bCs/>
      <w:noProof w:val="0"/>
    </w:rPr>
  </w:style>
  <w:style w:type="character" w:customStyle="1" w:styleId="Italics">
    <w:name w:val="Italics"/>
    <w:uiPriority w:val="1"/>
    <w:qFormat/>
    <w:rsid w:val="00FE5F6D"/>
    <w:rPr>
      <w:i/>
      <w:iCs/>
      <w:noProof w:val="0"/>
    </w:rPr>
  </w:style>
  <w:style w:type="table" w:customStyle="1" w:styleId="TableGridHeader">
    <w:name w:val="Table Grid Header"/>
    <w:basedOn w:val="TableNormal"/>
    <w:uiPriority w:val="99"/>
    <w:rsid w:val="00FE5F6D"/>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my.oxfordeconomics.com/reportaction/befC0f253c374319825E95/Toc"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oxfordeconomics.com/reportaction/1C5839FA40954B02870BBA/Toc"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hyperlink" Target="https://my.oxfordeconomics.com/reportaction/1C5839FA40954B02870BBA/Toc"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4FD405D5-47BD-4D8C-96AE-EDC6406A4C77}"/>
      </w:docPartPr>
      <w:docPartBody>
        <w:p w:rsidR="00887413" w:rsidRDefault="00887413">
          <w:r w:rsidRPr="00D15866">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413"/>
    <w:rsid w:val="0088741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7" ma:contentTypeDescription="Create a new document." ma:contentTypeScope="" ma:versionID="23030a2609a0bfe461689b6bacd9a9f4">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83983b71c34b7d262d94b4ad995a0d1c"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c33f61-c765-4e3b-9958-53c32fd1fd0b" xsi:nil="true"/>
  </documentManagement>
</p:properties>
</file>

<file path=customXml/itemProps1.xml><?xml version="1.0" encoding="utf-8"?>
<ds:datastoreItem xmlns:ds="http://schemas.openxmlformats.org/officeDocument/2006/customXml" ds:itemID="{3E6C96F8-9276-49B4-9178-F23EB30E9D23}">
  <ds:schemaRefs>
    <ds:schemaRef ds:uri="http://schemas.microsoft.com/sharepoint/v3/contenttype/forms"/>
  </ds:schemaRefs>
</ds:datastoreItem>
</file>

<file path=customXml/itemProps2.xml><?xml version="1.0" encoding="utf-8"?>
<ds:datastoreItem xmlns:ds="http://schemas.openxmlformats.org/officeDocument/2006/customXml" ds:itemID="{58817EF1-A9B5-46BD-A4AF-15AACD4233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74794D0-8888-4FA8-BEF7-E20D996AA134}">
  <ds:schemaRefs>
    <ds:schemaRef ds:uri="http://schemas.microsoft.com/office/2006/metadata/properties"/>
    <ds:schemaRef ds:uri="6ec33f61-c765-4e3b-9958-53c32fd1fd0b"/>
    <ds:schemaRef ds:uri="6c77b332-7df6-4eff-997f-266963d55fc4"/>
    <ds:schemaRef ds:uri="http://purl.org/dc/dcmitype/"/>
    <ds:schemaRef ds:uri="http://schemas.microsoft.com/office/infopath/2007/PartnerControls"/>
    <ds:schemaRef ds:uri="http://schemas.microsoft.com/office/2006/documentManagement/types"/>
    <ds:schemaRef ds:uri="http://schemas.openxmlformats.org/package/2006/metadata/core-properties"/>
    <ds:schemaRef ds:uri="http://www.w3.org/XML/1998/namespace"/>
    <ds:schemaRef ds:uri="http://purl.org/dc/term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1274</Words>
  <Characters>6493</Characters>
  <Application>Microsoft Office Word</Application>
  <DocSecurity>0</DocSecurity>
  <Lines>83</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9</cp:revision>
  <dcterms:created xsi:type="dcterms:W3CDTF">2024-06-20T13:52:00Z</dcterms:created>
  <dcterms:modified xsi:type="dcterms:W3CDTF">2024-06-20T14:03:00Z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v0.8.0.7</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2024-06-20T13:56:09.000Z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v0.8.0.7</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ATEGORIES">
    <vt:lpwstr>AnalysisbyRegion-Europe-UnitedKingdom,Macro-ResearchBriefings-UnitedKingdom</vt:lpwstr>
  </property>
  <property fmtid="{D5CDD505-2E9C-101B-9397-08002B2CF9AE}" pid="15" name="OEP_TAGS">
    <vt:lpwstr>Key Themes:interest rates,monetary policy</vt:lpwstr>
  </property>
  <property fmtid="{D5CDD505-2E9C-101B-9397-08002B2CF9AE}" pid="16" name="ContentTypeId">
    <vt:lpwstr>0x01010009401BB7205AF745BAD4FA98BDE0B98F</vt:lpwstr>
  </property>
  <property fmtid="{D5CDD505-2E9C-101B-9397-08002B2CF9AE}" pid="17" name="OEP_PRODUCT_CODE">
    <vt:lpwstr>90e4F762337B4155964Fea</vt:lpwstr>
  </property>
  <property fmtid="{D5CDD505-2E9C-101B-9397-08002B2CF9AE}" pid="18" name="OEP_PUBLISH_DATE">
    <vt:lpwstr/>
  </property>
</Properties>
</file>