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2987D" w14:textId="268E43FC" w:rsidR="00343DA1" w:rsidRDefault="005266C5" w:rsidP="00343DA1">
      <w:pPr>
        <w:pStyle w:val="Bullet"/>
      </w:pPr>
      <w:r w:rsidRPr="005266C5">
        <w:t xml:space="preserve">We expect the Monetary Policy Committee will keep Bank Rate </w:t>
      </w:r>
      <w:r w:rsidR="00DA3C25">
        <w:t>at 5%</w:t>
      </w:r>
      <w:r w:rsidRPr="005266C5">
        <w:t xml:space="preserve"> at its next meeting on </w:t>
      </w:r>
      <w:r>
        <w:t>September</w:t>
      </w:r>
      <w:r w:rsidRPr="005266C5">
        <w:t xml:space="preserve"> 1</w:t>
      </w:r>
      <w:r>
        <w:t>9</w:t>
      </w:r>
      <w:r w:rsidR="00343DA1">
        <w:t xml:space="preserve">. </w:t>
      </w:r>
      <w:r>
        <w:t xml:space="preserve">The clear message from </w:t>
      </w:r>
      <w:r w:rsidR="00A3523E">
        <w:t xml:space="preserve">the </w:t>
      </w:r>
      <w:r>
        <w:t>August meeting was that back-to-back cuts were unlikely. None of the data published since then warrant</w:t>
      </w:r>
      <w:r w:rsidR="007C3FF1">
        <w:t>s</w:t>
      </w:r>
      <w:r>
        <w:t xml:space="preserve"> a change of approach.</w:t>
      </w:r>
    </w:p>
    <w:p w14:paraId="7240EAB3" w14:textId="6BD1CBDF" w:rsidR="00343DA1" w:rsidRDefault="005266C5" w:rsidP="00343DA1">
      <w:pPr>
        <w:pStyle w:val="Bullet"/>
      </w:pPr>
      <w:r>
        <w:t>The MPC will also set the pace of quantitative tightening over the next 12 months</w:t>
      </w:r>
      <w:r w:rsidR="00343DA1">
        <w:t xml:space="preserve">. </w:t>
      </w:r>
      <w:r w:rsidR="00B9441B">
        <w:t>We expect</w:t>
      </w:r>
      <w:r>
        <w:t xml:space="preserve"> </w:t>
      </w:r>
      <w:r w:rsidR="00E80D93">
        <w:t xml:space="preserve">the MPC will reduce the stock of gilts </w:t>
      </w:r>
      <w:r w:rsidR="00B9441B">
        <w:t xml:space="preserve">held in the Asset Purchase Facility </w:t>
      </w:r>
      <w:r w:rsidR="00E80D93">
        <w:t>by £100bn, the same pace as the past year</w:t>
      </w:r>
      <w:r>
        <w:t>. But the high level of redemptions</w:t>
      </w:r>
      <w:r w:rsidR="00E80D93">
        <w:t xml:space="preserve"> due this year </w:t>
      </w:r>
      <w:r>
        <w:t>means that the MPC might opt to increase the pace of QT by £1</w:t>
      </w:r>
      <w:r w:rsidR="00230FFB">
        <w:t>5</w:t>
      </w:r>
      <w:r>
        <w:t>bn-£</w:t>
      </w:r>
      <w:r w:rsidR="00230FFB">
        <w:t>20b</w:t>
      </w:r>
      <w:r>
        <w:t xml:space="preserve">n </w:t>
      </w:r>
      <w:r w:rsidR="002F786B">
        <w:t>so the year-to-year profile for gilt sales is more stable</w:t>
      </w:r>
      <w:r>
        <w:t>.</w:t>
      </w:r>
    </w:p>
    <w:p w14:paraId="5A8B216B" w14:textId="17519398" w:rsidR="00343DA1" w:rsidRDefault="009D2DEA" w:rsidP="00343DA1">
      <w:r>
        <w:t xml:space="preserve">At the </w:t>
      </w:r>
      <w:hyperlink r:id="rId10" w:history="1">
        <w:r w:rsidR="007122D5" w:rsidRPr="007122D5">
          <w:rPr>
            <w:rStyle w:val="Hyperlink"/>
          </w:rPr>
          <w:t>August meeting</w:t>
        </w:r>
      </w:hyperlink>
      <w:r w:rsidR="007122D5">
        <w:t xml:space="preserve"> of the Bank of England's Monetary Policy Committee</w:t>
      </w:r>
      <w:r>
        <w:t>,</w:t>
      </w:r>
      <w:r w:rsidR="007122D5">
        <w:t xml:space="preserve"> the split between the </w:t>
      </w:r>
      <w:r>
        <w:t xml:space="preserve">doves and the hawks </w:t>
      </w:r>
      <w:r w:rsidR="007122D5">
        <w:t>widen</w:t>
      </w:r>
      <w:r>
        <w:t>ed</w:t>
      </w:r>
      <w:r w:rsidR="00343DA1">
        <w:t>.</w:t>
      </w:r>
      <w:r w:rsidR="007122D5">
        <w:t xml:space="preserve"> Five members voted to cut Bank Rate by 25bps, arguing that inflation is likely to undershoot the 2% target in two years' time, so policy </w:t>
      </w:r>
      <w:r w:rsidR="00A62566">
        <w:t>sh</w:t>
      </w:r>
      <w:r w:rsidR="007122D5">
        <w:t xml:space="preserve">ould be loosened. But the </w:t>
      </w:r>
      <w:r>
        <w:t xml:space="preserve">other </w:t>
      </w:r>
      <w:r w:rsidR="007122D5">
        <w:t>four members argued that upside surprises for services inflation and GDP growth suggested that underlying inflation pressures remained strong, and it was too soon to cut rates.</w:t>
      </w:r>
    </w:p>
    <w:p w14:paraId="0D942E33" w14:textId="5867621C" w:rsidR="00283700" w:rsidRDefault="009D2DEA" w:rsidP="00343DA1">
      <w:r>
        <w:t xml:space="preserve">In the August policy statement, the MPC </w:t>
      </w:r>
      <w:r w:rsidR="00283700">
        <w:t>also tweak</w:t>
      </w:r>
      <w:r>
        <w:t>ed</w:t>
      </w:r>
      <w:r w:rsidR="00283700">
        <w:t xml:space="preserve"> its language around future </w:t>
      </w:r>
      <w:r>
        <w:t>decisions</w:t>
      </w:r>
      <w:r w:rsidR="00283700">
        <w:t xml:space="preserve">. In the minutes of previous meetings, </w:t>
      </w:r>
      <w:r>
        <w:t xml:space="preserve">the committee </w:t>
      </w:r>
      <w:r w:rsidR="00283700">
        <w:t xml:space="preserve">had made specific reference to monitoring the tightness of labour market conditions, wage growth, and services inflation. </w:t>
      </w:r>
      <w:r>
        <w:t xml:space="preserve">The </w:t>
      </w:r>
      <w:r w:rsidR="00283700">
        <w:t>August minutes didn</w:t>
      </w:r>
      <w:r>
        <w:t>'</w:t>
      </w:r>
      <w:r w:rsidR="00283700">
        <w:t>t refer to these indicators, instead emphasising the MPC will make a broader judgement on the strength of inflation persistence.</w:t>
      </w:r>
      <w:r w:rsidR="00F237E9">
        <w:t xml:space="preserve"> This continue</w:t>
      </w:r>
      <w:r w:rsidR="00966D42">
        <w:t>d</w:t>
      </w:r>
      <w:r w:rsidR="00F237E9">
        <w:t xml:space="preserve"> the move away from data-dependence and offers both doves and hawks more flexibility.</w:t>
      </w:r>
    </w:p>
    <w:p w14:paraId="57807C6D" w14:textId="1BBC3927" w:rsidR="00343DA1" w:rsidRDefault="007122D5" w:rsidP="00343DA1">
      <w:r>
        <w:t xml:space="preserve">The September decision hinges on </w:t>
      </w:r>
      <w:r w:rsidR="007C5834">
        <w:t xml:space="preserve">whether the dovish group feels the situation is sufficiently urgent to warrant cutting again. We think this is unlikely. In Governor Andrew Bailey's opening remarks </w:t>
      </w:r>
      <w:r w:rsidR="009D2DEA">
        <w:t xml:space="preserve">at the </w:t>
      </w:r>
      <w:r w:rsidR="007C5834">
        <w:t>August press conference, he said</w:t>
      </w:r>
      <w:r w:rsidR="009D2DEA">
        <w:t>:</w:t>
      </w:r>
      <w:r w:rsidR="007C5834">
        <w:t xml:space="preserve"> "w</w:t>
      </w:r>
      <w:r w:rsidR="007C5834" w:rsidRPr="007C5834">
        <w:t>e need to put the period of high inflation firmly behind us and we need to be careful not to cut rates too much or too quickly</w:t>
      </w:r>
      <w:r w:rsidR="007C5834">
        <w:t xml:space="preserve">". In a similar vein, the minutes suggested that for some of those </w:t>
      </w:r>
      <w:r w:rsidR="00DD2D96">
        <w:t xml:space="preserve">who </w:t>
      </w:r>
      <w:r w:rsidR="007C5834">
        <w:t>vot</w:t>
      </w:r>
      <w:r w:rsidR="00DD2D96">
        <w:t>ed</w:t>
      </w:r>
      <w:r w:rsidR="007C5834">
        <w:t xml:space="preserve"> to cut, the decision was finely balanced. </w:t>
      </w:r>
      <w:r w:rsidR="006C0407">
        <w:t xml:space="preserve">We </w:t>
      </w:r>
      <w:r w:rsidR="009D2DEA">
        <w:t xml:space="preserve">think </w:t>
      </w:r>
      <w:r w:rsidR="006C0407">
        <w:t>th</w:t>
      </w:r>
      <w:r w:rsidR="00A62566">
        <w:t>is</w:t>
      </w:r>
      <w:r w:rsidR="006C0407">
        <w:t xml:space="preserve"> messaging </w:t>
      </w:r>
      <w:r w:rsidR="009D2DEA">
        <w:t>is</w:t>
      </w:r>
      <w:r w:rsidR="006C0407">
        <w:t xml:space="preserve"> consistent with a gradual rate cutting cycle, with a clear warning that a second successive cut in September was </w:t>
      </w:r>
      <w:r w:rsidR="00420212">
        <w:t>unlikely if</w:t>
      </w:r>
      <w:r w:rsidR="002811B6">
        <w:t xml:space="preserve"> </w:t>
      </w:r>
      <w:r w:rsidR="00A62566">
        <w:t xml:space="preserve">data published in </w:t>
      </w:r>
      <w:r w:rsidR="002811B6">
        <w:t xml:space="preserve">the intervening period </w:t>
      </w:r>
      <w:r w:rsidR="0035249A">
        <w:t>was</w:t>
      </w:r>
      <w:r w:rsidR="002811B6">
        <w:t xml:space="preserve"> broadly in line with the BoE's baseline forecast.</w:t>
      </w:r>
    </w:p>
    <w:p w14:paraId="61453D3D" w14:textId="060FC93C" w:rsidR="00343DA1" w:rsidRDefault="00343DA1" w:rsidP="004B04B0">
      <w:pPr>
        <w:pStyle w:val="ExhibitTitle"/>
        <w:jc w:val="center"/>
      </w:pPr>
      <w:bookmarkStart w:id="0" w:name="_Ref176782625"/>
      <w:r>
        <w:t xml:space="preserve">Chart </w:t>
      </w:r>
      <w:r>
        <w:fldChar w:fldCharType="begin"/>
      </w:r>
      <w:r w:rsidR="00AF55E1">
        <w:instrText>SEQ CHART</w:instrText>
      </w:r>
      <w:r>
        <w:fldChar w:fldCharType="separate"/>
      </w:r>
      <w:r w:rsidR="008461BE">
        <w:t>1</w:t>
      </w:r>
      <w:r>
        <w:fldChar w:fldCharType="end"/>
      </w:r>
      <w:bookmarkEnd w:id="0"/>
      <w:r>
        <w:t xml:space="preserve">: </w:t>
      </w:r>
      <w:r w:rsidR="00D66132">
        <w:t>Underlying inflationary pressures continue to gradually fade</w:t>
      </w:r>
    </w:p>
    <w:p w14:paraId="100E1E17" w14:textId="422D94BC" w:rsidR="004B04B0" w:rsidRDefault="004B04B0" w:rsidP="004B04B0">
      <w:pPr>
        <w:spacing w:after="0"/>
        <w:jc w:val="center"/>
      </w:pPr>
      <w:r>
        <w:rPr>
          <w:noProof/>
        </w:rPr>
        <w:drawing>
          <wp:inline distT="0" distB="0" distL="0" distR="0" wp14:anchorId="69AFD6DF" wp14:editId="0A9BB36A">
            <wp:extent cx="4006800" cy="3139200"/>
            <wp:effectExtent l="0" t="0" r="0" b="4445"/>
            <wp:docPr id="181604555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4555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 b="1886"/>
                    <a:stretch>
                      <a:fillRect/>
                    </a:stretch>
                  </pic:blipFill>
                  <pic:spPr>
                    <a:xfrm>
                      <a:off x="0" y="0"/>
                      <a:ext cx="4006800" cy="31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7E37" w14:textId="681D2F2B" w:rsidR="00343DA1" w:rsidRDefault="004B04B0" w:rsidP="004B04B0">
      <w:pPr>
        <w:pStyle w:val="ExhibitSource"/>
        <w:jc w:val="center"/>
      </w:pPr>
      <w:r>
        <w:t>Source: Haver Analytics</w:t>
      </w:r>
    </w:p>
    <w:p w14:paraId="7DCB9634" w14:textId="48D7C8A0" w:rsidR="00343DA1" w:rsidRDefault="00343DA1" w:rsidP="00343DA1">
      <w:pPr>
        <w:pStyle w:val="ExhibitSource"/>
        <w:jc w:val="center"/>
        <w:sectPr w:rsidR="00343DA1" w:rsidSect="00343DA1">
          <w:headerReference w:type="even" r:id="rId13"/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2665" w:right="1276" w:bottom="838" w:left="1134" w:header="708" w:footer="300" w:gutter="0"/>
          <w:cols w:space="708"/>
          <w:titlePg/>
          <w:docGrid w:linePitch="360"/>
        </w:sectPr>
      </w:pPr>
    </w:p>
    <w:p w14:paraId="1F8F7BA7" w14:textId="4C32CF45" w:rsidR="00283700" w:rsidRDefault="0009736B" w:rsidP="00283700">
      <w:hyperlink r:id="rId18" w:history="1">
        <w:r w:rsidR="00283700" w:rsidRPr="002A5DBE">
          <w:rPr>
            <w:rStyle w:val="Hyperlink"/>
          </w:rPr>
          <w:t>Services inflation</w:t>
        </w:r>
      </w:hyperlink>
      <w:r w:rsidR="00283700">
        <w:t xml:space="preserve"> came in 0.4ppts below the BoE staff forecast in July. But that series has been very noisy lately, particularly due to volatility in the hotels category, and that undershoot followed a succession of overshoots. </w:t>
      </w:r>
      <w:r w:rsidR="00595C46">
        <w:t>If we also factor</w:t>
      </w:r>
      <w:r w:rsidR="003D1E0A">
        <w:t xml:space="preserve"> in the move away from data dependence in favour of a more forward-looking a</w:t>
      </w:r>
      <w:r w:rsidR="00283700">
        <w:t>pproach</w:t>
      </w:r>
      <w:r w:rsidR="003D1E0A">
        <w:t xml:space="preserve">, </w:t>
      </w:r>
      <w:r w:rsidR="00283700">
        <w:t xml:space="preserve">we doubt July's inflation data would have had much impact on the MPC's thinking. </w:t>
      </w:r>
      <w:r w:rsidR="00D06A10">
        <w:t xml:space="preserve">The </w:t>
      </w:r>
      <w:r w:rsidR="00283700">
        <w:t>August data will be published on September 18, the morning the MPC meets to vote.</w:t>
      </w:r>
    </w:p>
    <w:p w14:paraId="00FE5602" w14:textId="04AFC44E" w:rsidR="00343DA1" w:rsidRDefault="00011A57" w:rsidP="00A23145">
      <w:r>
        <w:t xml:space="preserve">Other data have </w:t>
      </w:r>
      <w:r w:rsidR="00DD2D96">
        <w:t xml:space="preserve">continued to </w:t>
      </w:r>
      <w:r>
        <w:t>t</w:t>
      </w:r>
      <w:r w:rsidR="00DD2D96">
        <w:t>ell</w:t>
      </w:r>
      <w:r>
        <w:t xml:space="preserve"> a similar story to </w:t>
      </w:r>
      <w:r w:rsidR="00DD2D96">
        <w:t xml:space="preserve">previous </w:t>
      </w:r>
      <w:r>
        <w:t xml:space="preserve">months. </w:t>
      </w:r>
      <w:hyperlink r:id="rId19" w:history="1">
        <w:r w:rsidRPr="003C0B17">
          <w:rPr>
            <w:rStyle w:val="Hyperlink"/>
          </w:rPr>
          <w:t>Private sector regular pay growth</w:t>
        </w:r>
      </w:hyperlink>
      <w:r>
        <w:t xml:space="preserve"> slowed to </w:t>
      </w:r>
      <w:r w:rsidR="004A04F6">
        <w:t>4.9</w:t>
      </w:r>
      <w:r>
        <w:t>% in the three months to July. This was the w</w:t>
      </w:r>
      <w:r w:rsidR="00962943">
        <w:t>eak</w:t>
      </w:r>
      <w:r>
        <w:t xml:space="preserve">est growth </w:t>
      </w:r>
      <w:r w:rsidR="004A04F6">
        <w:t>for more than two years</w:t>
      </w:r>
      <w:r>
        <w:t xml:space="preserve">, though the recent slowdown has been exaggerated by base effects and July's outturn </w:t>
      </w:r>
      <w:r w:rsidR="00D978A1">
        <w:t>wa</w:t>
      </w:r>
      <w:r>
        <w:t xml:space="preserve">s still well above the </w:t>
      </w:r>
      <w:r w:rsidR="004A04F6">
        <w:t xml:space="preserve">3%-3.5% </w:t>
      </w:r>
      <w:r>
        <w:t>pace that the MPC would consider consistent with achieving the inflation target on a sustained basis in the medium-term. It was a similar story from the BoE's Decision Maker Panel for August, with</w:t>
      </w:r>
      <w:r w:rsidR="00DF3B48">
        <w:t xml:space="preserve"> responses on past and future </w:t>
      </w:r>
      <w:r>
        <w:t>pay growth and selling prices continuing to fall</w:t>
      </w:r>
      <w:r w:rsidR="00D142E8">
        <w:t xml:space="preserve"> on a three-months-on-three-months a year ago basis</w:t>
      </w:r>
      <w:r>
        <w:t>, but relatively slowly</w:t>
      </w:r>
      <w:r w:rsidR="00A23145">
        <w:t xml:space="preserve"> (</w:t>
      </w:r>
      <w:r w:rsidR="00AF55E1" w:rsidRPr="0026724A">
        <w:rPr>
          <w:b/>
          <w:color w:val="003469"/>
        </w:rPr>
        <w:fldChar w:fldCharType="begin"/>
      </w:r>
      <w:r w:rsidR="0026724A" w:rsidRPr="0026724A">
        <w:rPr>
          <w:b/>
          <w:color w:val="003469"/>
        </w:rPr>
        <w:instrText xml:space="preserve">REF _Ref176782625 \h \* Charformat </w:instrText>
      </w:r>
      <w:r w:rsidR="0026724A" w:rsidRPr="0026724A">
        <w:rPr>
          <w:b/>
          <w:color w:val="003469"/>
        </w:rPr>
      </w:r>
      <w:r w:rsidR="00AF55E1" w:rsidRPr="0026724A">
        <w:rPr>
          <w:b/>
          <w:color w:val="003469"/>
        </w:rPr>
        <w:fldChar w:fldCharType="separate"/>
      </w:r>
      <w:r w:rsidR="0026724A" w:rsidRPr="0026724A">
        <w:rPr>
          <w:b/>
          <w:color w:val="003469"/>
        </w:rPr>
        <w:t>Chart 1</w:t>
      </w:r>
      <w:r w:rsidR="00AF55E1" w:rsidRPr="0026724A">
        <w:rPr>
          <w:b/>
          <w:color w:val="003469"/>
        </w:rPr>
        <w:fldChar w:fldCharType="end"/>
      </w:r>
      <w:r w:rsidR="00A23145">
        <w:t>)</w:t>
      </w:r>
      <w:r>
        <w:t>.</w:t>
      </w:r>
    </w:p>
    <w:p w14:paraId="3083E37E" w14:textId="1396DDE1" w:rsidR="00A23145" w:rsidRDefault="00E25E13" w:rsidP="00343DA1">
      <w:r>
        <w:t xml:space="preserve">We think there's a good chance that those who have been voting for rate cuts for several months – in particular arch-dove Swati Dhingra – </w:t>
      </w:r>
      <w:r w:rsidR="00D06A10">
        <w:t xml:space="preserve">will </w:t>
      </w:r>
      <w:r>
        <w:t>vote for another cut. But the remaining members are likely to be content to sit back and reassess the situation in November, a meeting</w:t>
      </w:r>
      <w:r w:rsidR="00D978A1">
        <w:t xml:space="preserve"> at which </w:t>
      </w:r>
      <w:r>
        <w:t xml:space="preserve">the MPC </w:t>
      </w:r>
      <w:r w:rsidR="00D978A1">
        <w:t>will</w:t>
      </w:r>
      <w:r>
        <w:t xml:space="preserve"> update its forecasts to incorporate the impact of the Budget. We </w:t>
      </w:r>
      <w:r w:rsidR="00D06A10">
        <w:t xml:space="preserve">think </w:t>
      </w:r>
      <w:r>
        <w:t xml:space="preserve">that fiscal event </w:t>
      </w:r>
      <w:r w:rsidR="00D06A10">
        <w:t>will be</w:t>
      </w:r>
      <w:r>
        <w:t xml:space="preserve"> </w:t>
      </w:r>
      <w:hyperlink r:id="rId20" w:history="1">
        <w:r w:rsidRPr="00E25E13">
          <w:rPr>
            <w:rStyle w:val="Hyperlink"/>
          </w:rPr>
          <w:t>the factor most likely to push the MPC off the gradual loosening path</w:t>
        </w:r>
      </w:hyperlink>
      <w:r>
        <w:t xml:space="preserve"> that it advocated in August.</w:t>
      </w:r>
    </w:p>
    <w:p w14:paraId="0B4477DA" w14:textId="7FF6979E" w:rsidR="00063A7F" w:rsidRDefault="00D06A10" w:rsidP="00343DA1">
      <w:r>
        <w:t xml:space="preserve">The </w:t>
      </w:r>
      <w:r w:rsidR="00E25E13">
        <w:t xml:space="preserve">September meeting will </w:t>
      </w:r>
      <w:r>
        <w:t>be</w:t>
      </w:r>
      <w:r w:rsidR="00E25E13">
        <w:t xml:space="preserve"> new member </w:t>
      </w:r>
      <w:r w:rsidR="007C3DC6" w:rsidRPr="007C3DC6">
        <w:t>Professor Alan Taylor</w:t>
      </w:r>
      <w:r>
        <w:t>'s</w:t>
      </w:r>
      <w:r w:rsidR="007C3DC6">
        <w:t xml:space="preserve"> </w:t>
      </w:r>
      <w:r>
        <w:t xml:space="preserve">first </w:t>
      </w:r>
      <w:r w:rsidR="00E25E13">
        <w:t xml:space="preserve">vote. </w:t>
      </w:r>
      <w:r w:rsidR="007C3DC6">
        <w:t xml:space="preserve">Professor Taylor has </w:t>
      </w:r>
      <w:hyperlink r:id="rId21" w:history="1">
        <w:r w:rsidR="007C3DC6" w:rsidRPr="007C3DC6">
          <w:rPr>
            <w:rStyle w:val="Hyperlink"/>
          </w:rPr>
          <w:t>replaced</w:t>
        </w:r>
      </w:hyperlink>
      <w:r w:rsidR="007C3DC6">
        <w:t xml:space="preserve"> Jonathan Haskel, </w:t>
      </w:r>
      <w:r w:rsidR="00850DCB">
        <w:t xml:space="preserve">who was </w:t>
      </w:r>
      <w:r w:rsidR="00B92BF4">
        <w:t>one</w:t>
      </w:r>
      <w:r w:rsidR="00850DCB">
        <w:t xml:space="preserve"> of the more hawkish members of the committee. </w:t>
      </w:r>
      <w:r w:rsidR="00850DCB" w:rsidRPr="00850DCB">
        <w:t>As is typically the case with new appointees, particularly those from academia, there's scant evidence of Taylor's recent views on monetary policy in the public domain</w:t>
      </w:r>
      <w:r w:rsidR="00850DCB">
        <w:t xml:space="preserve">. </w:t>
      </w:r>
      <w:r w:rsidR="0057274F">
        <w:t xml:space="preserve">But new members typically vote with the majority while they find their feet. On balance, we expect the MPC to vote 8-1 to hold Bank Rate at 5%, with </w:t>
      </w:r>
      <w:r w:rsidR="0057274F" w:rsidRPr="0057274F">
        <w:t>Dhingra</w:t>
      </w:r>
      <w:r w:rsidR="0057274F">
        <w:t xml:space="preserve"> voting for a 25bps cut.</w:t>
      </w:r>
    </w:p>
    <w:p w14:paraId="1BF91EEB" w14:textId="32238D53" w:rsidR="0057274F" w:rsidRDefault="00CD7C8B" w:rsidP="00BA5BA8">
      <w:pPr>
        <w:pStyle w:val="Heading3"/>
      </w:pPr>
      <w:r>
        <w:t xml:space="preserve">The vote on the pace of QT </w:t>
      </w:r>
      <w:r w:rsidR="00351164">
        <w:t xml:space="preserve">could be </w:t>
      </w:r>
      <w:r>
        <w:t>the mo</w:t>
      </w:r>
      <w:r w:rsidR="002577EC">
        <w:t>re</w:t>
      </w:r>
      <w:r>
        <w:t xml:space="preserve"> important</w:t>
      </w:r>
      <w:r w:rsidR="005107CC">
        <w:t xml:space="preserve"> one</w:t>
      </w:r>
    </w:p>
    <w:p w14:paraId="1830F261" w14:textId="18AE3792" w:rsidR="0057274F" w:rsidRDefault="00D06A10" w:rsidP="00343DA1">
      <w:r>
        <w:t>T</w:t>
      </w:r>
      <w:r w:rsidR="00F56E9B">
        <w:t xml:space="preserve">he </w:t>
      </w:r>
      <w:r w:rsidR="007F2107">
        <w:t xml:space="preserve">MPC </w:t>
      </w:r>
      <w:r>
        <w:t xml:space="preserve">will also </w:t>
      </w:r>
      <w:r w:rsidR="007F2107">
        <w:t>vote on the pace of quantitative tightening</w:t>
      </w:r>
      <w:r>
        <w:t xml:space="preserve"> at the September meeting</w:t>
      </w:r>
      <w:r w:rsidR="007F2107">
        <w:t xml:space="preserve">. The BoE began to run down the stock of gilts held in its Asset Purchase Facility in late-2022, via a combination of redemptions and gilt sales. In 2022-2023, it reduced the stock of gilts held by £80bn, </w:t>
      </w:r>
      <w:r w:rsidR="00F52E63">
        <w:t xml:space="preserve">while also selling its entire </w:t>
      </w:r>
      <w:r w:rsidR="007F2107">
        <w:t xml:space="preserve">£20bn holding of corporate bonds. From October 2023 to September 2024, it </w:t>
      </w:r>
      <w:r w:rsidR="00221BFB">
        <w:t>will</w:t>
      </w:r>
      <w:r w:rsidR="007F2107">
        <w:t xml:space="preserve"> reduce its gilt holdings by £100bn, with a 50/50 split between redemptions and sales (</w:t>
      </w:r>
      <w:r w:rsidR="00AF55E1" w:rsidRPr="0026724A">
        <w:rPr>
          <w:b/>
          <w:color w:val="003469"/>
        </w:rPr>
        <w:fldChar w:fldCharType="begin"/>
      </w:r>
      <w:r w:rsidR="0026724A" w:rsidRPr="0026724A">
        <w:rPr>
          <w:b/>
          <w:color w:val="003469"/>
        </w:rPr>
        <w:instrText xml:space="preserve">REF _Ref176782626 \h \* Charformat </w:instrText>
      </w:r>
      <w:r w:rsidR="0026724A" w:rsidRPr="0026724A">
        <w:rPr>
          <w:b/>
          <w:color w:val="003469"/>
        </w:rPr>
      </w:r>
      <w:r w:rsidR="00AF55E1" w:rsidRPr="0026724A">
        <w:rPr>
          <w:b/>
          <w:color w:val="003469"/>
        </w:rPr>
        <w:fldChar w:fldCharType="separate"/>
      </w:r>
      <w:r w:rsidR="0026724A" w:rsidRPr="0026724A">
        <w:rPr>
          <w:b/>
          <w:color w:val="003469"/>
        </w:rPr>
        <w:t>Chart 2</w:t>
      </w:r>
      <w:r w:rsidR="00AF55E1" w:rsidRPr="0026724A">
        <w:rPr>
          <w:b/>
          <w:color w:val="003469"/>
        </w:rPr>
        <w:fldChar w:fldCharType="end"/>
      </w:r>
      <w:r w:rsidR="007F2107">
        <w:t>).</w:t>
      </w:r>
    </w:p>
    <w:p w14:paraId="2B0FAD5C" w14:textId="412E2263" w:rsidR="00343DA1" w:rsidRDefault="00343DA1" w:rsidP="00BA5BA8">
      <w:pPr>
        <w:pStyle w:val="ExhibitTitle"/>
      </w:pPr>
      <w:bookmarkStart w:id="1" w:name="_Ref176782626"/>
      <w:r>
        <w:t xml:space="preserve">Chart </w:t>
      </w:r>
      <w:r>
        <w:fldChar w:fldCharType="begin"/>
      </w:r>
      <w:r w:rsidR="008461BE">
        <w:instrText>SEQ CHART</w:instrText>
      </w:r>
      <w:r>
        <w:fldChar w:fldCharType="separate"/>
      </w:r>
      <w:r w:rsidR="008461BE">
        <w:t>2</w:t>
      </w:r>
      <w:r>
        <w:fldChar w:fldCharType="end"/>
      </w:r>
      <w:bookmarkEnd w:id="1"/>
      <w:r>
        <w:t xml:space="preserve">: </w:t>
      </w:r>
      <w:r w:rsidR="00F07516">
        <w:t>Higher redemptions means much lower gilt sales, if the MPC maintains the current pace of QT</w:t>
      </w:r>
    </w:p>
    <w:p w14:paraId="798DCA17" w14:textId="35A861D5" w:rsidR="008461BE" w:rsidRDefault="008461BE" w:rsidP="00BA5BA8">
      <w:pPr>
        <w:spacing w:after="0"/>
      </w:pPr>
      <w:r>
        <w:rPr>
          <w:noProof/>
        </w:rPr>
        <w:drawing>
          <wp:inline distT="0" distB="0" distL="0" distR="0" wp14:anchorId="17BDF841" wp14:editId="0918EA34">
            <wp:extent cx="3250933" cy="2548068"/>
            <wp:effectExtent l="0" t="0" r="6985" b="5080"/>
            <wp:docPr id="1146686234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86234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rcRect b="1886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B8A0" w14:textId="7BAEA100" w:rsidR="00343DA1" w:rsidRDefault="008461BE" w:rsidP="00BA5BA8">
      <w:pPr>
        <w:pStyle w:val="ExhibitSource"/>
      </w:pPr>
      <w:r>
        <w:t>Sources: Oxford Economics calculations using data from Haver Analytics &amp; Bank of England</w:t>
      </w:r>
    </w:p>
    <w:p w14:paraId="369F83ED" w14:textId="7F20ED8D" w:rsidR="00343DA1" w:rsidRDefault="00D06A10" w:rsidP="00343DA1">
      <w:r>
        <w:t xml:space="preserve">The </w:t>
      </w:r>
      <w:hyperlink r:id="rId24" w:history="1">
        <w:r w:rsidR="00E804D4" w:rsidRPr="00C34930">
          <w:rPr>
            <w:rStyle w:val="Hyperlink"/>
          </w:rPr>
          <w:t>August Monetary Policy Report</w:t>
        </w:r>
      </w:hyperlink>
      <w:r w:rsidR="00E804D4">
        <w:t xml:space="preserve"> contained a box </w:t>
      </w:r>
      <w:r w:rsidR="00376116" w:rsidRPr="00376116">
        <w:t xml:space="preserve">that concluded the impact of QT on gilt yields and the real economy had been small. The MPC also made clear it sees no conflict between cutting </w:t>
      </w:r>
      <w:r w:rsidR="00192B96">
        <w:t xml:space="preserve">Bank Rate </w:t>
      </w:r>
      <w:r w:rsidR="00376116" w:rsidRPr="00376116">
        <w:t>and continuing with QT.</w:t>
      </w:r>
      <w:r w:rsidR="008E57AA">
        <w:t xml:space="preserve"> So QT will continue – the only question is around the pace.</w:t>
      </w:r>
    </w:p>
    <w:p w14:paraId="7D6D1EE2" w14:textId="56A7DDFA" w:rsidR="00230FFB" w:rsidRDefault="00325212" w:rsidP="00343DA1">
      <w:r>
        <w:lastRenderedPageBreak/>
        <w:t xml:space="preserve">Last month's </w:t>
      </w:r>
      <w:hyperlink r:id="rId25" w:history="1">
        <w:r w:rsidRPr="00325212">
          <w:rPr>
            <w:rStyle w:val="Hyperlink"/>
          </w:rPr>
          <w:t>BoE Market Participants Survey</w:t>
        </w:r>
      </w:hyperlink>
      <w:r>
        <w:t xml:space="preserve"> (M</w:t>
      </w:r>
      <w:r w:rsidR="008461BE">
        <w:t>a</w:t>
      </w:r>
      <w:r>
        <w:t xml:space="preserve">PS) reported a firm consensus </w:t>
      </w:r>
      <w:r w:rsidR="000C0118">
        <w:t xml:space="preserve">among market participants </w:t>
      </w:r>
      <w:r>
        <w:t>that the MPC would again vote to reduce the stock of gilts held in the APF by £100bn over</w:t>
      </w:r>
      <w:r w:rsidR="00DD2D96">
        <w:t xml:space="preserve"> the</w:t>
      </w:r>
      <w:r>
        <w:t xml:space="preserve"> year from October. </w:t>
      </w:r>
      <w:r w:rsidR="00FD45D5">
        <w:t>Our baseline forecast also assumes</w:t>
      </w:r>
      <w:r>
        <w:t xml:space="preserve"> another £100bn cut, reducing the stock of gilts held in the APF in September 2025 to £558bn.</w:t>
      </w:r>
    </w:p>
    <w:p w14:paraId="56BD31E3" w14:textId="7BCEA73C" w:rsidR="00230FFB" w:rsidRDefault="00325212" w:rsidP="00230FFB">
      <w:r>
        <w:t xml:space="preserve">However, £87bn of redemptions </w:t>
      </w:r>
      <w:r w:rsidR="00351164">
        <w:t xml:space="preserve">are due </w:t>
      </w:r>
      <w:r>
        <w:t xml:space="preserve">over the next year, so this would reduce the value of gilt sales to </w:t>
      </w:r>
      <w:r w:rsidR="00540055">
        <w:t xml:space="preserve">just </w:t>
      </w:r>
      <w:r>
        <w:t xml:space="preserve">£13bn, from £50bn last year. </w:t>
      </w:r>
      <w:r w:rsidR="00230FFB">
        <w:t>The M</w:t>
      </w:r>
      <w:r w:rsidR="008461BE">
        <w:t>a</w:t>
      </w:r>
      <w:r w:rsidR="00230FFB">
        <w:t xml:space="preserve">PS suggests that market participants expect the pace of QT will fall from 2025-2026. But given that the value of redemptions will drop sharply, this implies that the level of gilt sales will then increase again, to £26bn in 2025-2026. The MPC might decide that this year's fall in gilt sales is too </w:t>
      </w:r>
      <w:r w:rsidR="00351164">
        <w:t>steep</w:t>
      </w:r>
      <w:r w:rsidR="00230FFB">
        <w:t>, and that it's undesirable to have the level of gilt sales fluctuat</w:t>
      </w:r>
      <w:r w:rsidR="00F606B6">
        <w:t>e</w:t>
      </w:r>
      <w:r w:rsidR="00230FFB">
        <w:t xml:space="preserve"> so much from one year to another. So the risks to our forecast are skewed towards the pace of QT being increased</w:t>
      </w:r>
      <w:r w:rsidR="004B4E79">
        <w:t xml:space="preserve"> from October</w:t>
      </w:r>
      <w:r w:rsidR="00230FFB">
        <w:t xml:space="preserve">, with </w:t>
      </w:r>
      <w:r w:rsidR="0071386B">
        <w:t>a total fall in gilt holdings of</w:t>
      </w:r>
      <w:r w:rsidR="00230FFB">
        <w:t xml:space="preserve"> £1</w:t>
      </w:r>
      <w:r w:rsidR="0071386B">
        <w:t>1</w:t>
      </w:r>
      <w:r w:rsidR="00230FFB">
        <w:t>5bn-£</w:t>
      </w:r>
      <w:r w:rsidR="0071386B">
        <w:t>1</w:t>
      </w:r>
      <w:r w:rsidR="00230FFB">
        <w:t>20bn being a plausible alternative scenario</w:t>
      </w:r>
      <w:r w:rsidR="00650BBE">
        <w:t>.</w:t>
      </w:r>
    </w:p>
    <w:p w14:paraId="14B548ED" w14:textId="1A44D363" w:rsidR="009A7B69" w:rsidRDefault="007C26BD" w:rsidP="00230FFB">
      <w:r>
        <w:t xml:space="preserve">The consensus view that the pace of QT will slow from 2025 </w:t>
      </w:r>
      <w:r w:rsidR="00CB76FB">
        <w:t>partly</w:t>
      </w:r>
      <w:r>
        <w:t xml:space="preserve"> reflect</w:t>
      </w:r>
      <w:r w:rsidR="00CB76FB">
        <w:t>s</w:t>
      </w:r>
      <w:r>
        <w:t xml:space="preserve"> the idea that, </w:t>
      </w:r>
      <w:r w:rsidRPr="007C26BD">
        <w:t>unless offset by other BoE facilities, the current pace of APF rundown may soon leave banks with inadequate reserves at the BoE</w:t>
      </w:r>
      <w:r w:rsidR="00351164">
        <w:t>.</w:t>
      </w:r>
      <w:r w:rsidRPr="007C26BD">
        <w:t xml:space="preserve"> </w:t>
      </w:r>
      <w:r w:rsidR="00351164">
        <w:t>This could</w:t>
      </w:r>
      <w:r w:rsidRPr="007C26BD">
        <w:t xml:space="preserve"> add upward pressure and volatility to short-term interest rates</w:t>
      </w:r>
      <w:r>
        <w:t xml:space="preserve">. But </w:t>
      </w:r>
      <w:hyperlink r:id="rId26" w:history="1">
        <w:r>
          <w:rPr>
            <w:rStyle w:val="Hyperlink"/>
          </w:rPr>
          <w:t>we think this concern is misplaced</w:t>
        </w:r>
      </w:hyperlink>
      <w:r w:rsidR="00230FFB">
        <w:t xml:space="preserve"> </w:t>
      </w:r>
      <w:r>
        <w:t xml:space="preserve">because the </w:t>
      </w:r>
      <w:r w:rsidR="00230FFB">
        <w:t xml:space="preserve">BoE </w:t>
      </w:r>
      <w:r>
        <w:t>can</w:t>
      </w:r>
      <w:r w:rsidR="00230FFB">
        <w:t xml:space="preserve"> use a major expansion of short-term repos as the counterpart to a persistently high level of bank reserves.</w:t>
      </w:r>
    </w:p>
    <w:p w14:paraId="2241A821" w14:textId="147559B8" w:rsidR="00230FFB" w:rsidRDefault="009A7B69" w:rsidP="00230FFB">
      <w:r>
        <w:t>If we are right, and the BoE plans to continue the APF run down at its current pace until all the gilts have been sold, this meeting represents a good opportunity to outline their medium-term plans to markets</w:t>
      </w:r>
      <w:r w:rsidR="00230FFB">
        <w:t>.</w:t>
      </w:r>
    </w:p>
    <w:p w14:paraId="356C848A" w14:textId="2DEA6B0F" w:rsidR="00CF2B77" w:rsidRDefault="003F2FA3" w:rsidP="00343DA1">
      <w:r>
        <w:t xml:space="preserve">Should the MPC change the pace of QT or provide guidance on likely future </w:t>
      </w:r>
      <w:r w:rsidR="00C244CE">
        <w:t>changes</w:t>
      </w:r>
      <w:r>
        <w:t xml:space="preserve">, it could have implications for fiscal policy. </w:t>
      </w:r>
      <w:r w:rsidR="00227E67">
        <w:t xml:space="preserve">The debt rule </w:t>
      </w:r>
      <w:r w:rsidR="005B5859">
        <w:t xml:space="preserve">inherited from the previous government </w:t>
      </w:r>
      <w:r w:rsidR="00227E67">
        <w:t xml:space="preserve">includes the impact of </w:t>
      </w:r>
      <w:r w:rsidR="00227E67" w:rsidRPr="00227E67">
        <w:t>the cost of the Treasury indemnifying the BoE for losses when it sells gilts held in the APF</w:t>
      </w:r>
      <w:r w:rsidR="00227E67">
        <w:t xml:space="preserve">. We've </w:t>
      </w:r>
      <w:hyperlink r:id="rId27" w:history="1">
        <w:r w:rsidR="00227E67" w:rsidRPr="005B5859">
          <w:rPr>
            <w:rStyle w:val="Hyperlink"/>
          </w:rPr>
          <w:t>consistently argued</w:t>
        </w:r>
      </w:hyperlink>
      <w:r w:rsidR="00227E67">
        <w:t xml:space="preserve"> that this is problematic, </w:t>
      </w:r>
      <w:r w:rsidR="00227E67" w:rsidRPr="00227E67">
        <w:t>leav</w:t>
      </w:r>
      <w:r w:rsidR="00227E67">
        <w:t>ing</w:t>
      </w:r>
      <w:r w:rsidR="00227E67" w:rsidRPr="00227E67">
        <w:t xml:space="preserve"> fiscal policy open to the heavy influence of one-off effects</w:t>
      </w:r>
      <w:r w:rsidR="00227E67">
        <w:t xml:space="preserve"> that are outside of the government's direct control</w:t>
      </w:r>
      <w:r w:rsidR="00227E67" w:rsidRPr="00227E67">
        <w:t>, with a very uneven profile from year-to-year</w:t>
      </w:r>
      <w:r w:rsidR="00227E67">
        <w:t xml:space="preserve">. </w:t>
      </w:r>
    </w:p>
    <w:p w14:paraId="38A938CA" w14:textId="6853DF21" w:rsidR="0021727D" w:rsidRDefault="00227E67" w:rsidP="00343DA1">
      <w:r>
        <w:t>We think the Chancellor will address this anomaly in the Budget</w:t>
      </w:r>
      <w:r w:rsidR="00F17C10">
        <w:t xml:space="preserve"> and exclude the impact of APF losses from the fiscal rules. This </w:t>
      </w:r>
      <w:r>
        <w:t xml:space="preserve">change would also increase her fiscal headroom considerably. But if Rachel Reeves does not make this </w:t>
      </w:r>
      <w:r w:rsidR="00F17C10">
        <w:t>tweak</w:t>
      </w:r>
      <w:r>
        <w:t xml:space="preserve">, the OBR's assumption for the pace of QT will </w:t>
      </w:r>
      <w:r w:rsidR="00CF2B77">
        <w:t xml:space="preserve">remain central to its assessment of the government's chances of complying with its fiscal rules. Currently, the OBR assumes that </w:t>
      </w:r>
      <w:r w:rsidR="00F17C10">
        <w:t>QT will continue at its current pace and end in 2032-2033. But if the MPC announces any changes to QT that would warrant the OBR revisiting this assumption, it could materially affect the Chancellor's fiscal headroom.</w:t>
      </w:r>
    </w:p>
    <w:sectPr w:rsidR="0021727D" w:rsidSect="00343DA1">
      <w:pgSz w:w="11906" w:h="16838"/>
      <w:pgMar w:top="1417" w:right="1276" w:bottom="992" w:left="1134" w:header="198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6FD2B" w14:textId="77777777" w:rsidR="00343DA1" w:rsidRDefault="00343DA1" w:rsidP="00343DA1">
      <w:pPr>
        <w:spacing w:before="0" w:after="0"/>
      </w:pPr>
      <w:r>
        <w:separator/>
      </w:r>
    </w:p>
  </w:endnote>
  <w:endnote w:type="continuationSeparator" w:id="0">
    <w:p w14:paraId="1AE7C96E" w14:textId="77777777" w:rsidR="00343DA1" w:rsidRDefault="00343DA1" w:rsidP="00343DA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15F39" w14:textId="04D95B7D" w:rsidR="00343DA1" w:rsidRPr="00343DA1" w:rsidRDefault="00343DA1" w:rsidP="00343DA1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  <w:t>Andrew Goodwin - agoodwin@oxfordeconomics.com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85715" w14:textId="38D8E5A4" w:rsidR="00343DA1" w:rsidRDefault="00343DA1" w:rsidP="00343DA1">
    <w:pPr>
      <w:pStyle w:val="Author"/>
    </w:pPr>
    <w:r>
      <w:t>Andrew Goodwin</w:t>
    </w:r>
    <w:r w:rsidR="00BA5BA8">
      <w:t xml:space="preserve"> - </w:t>
    </w:r>
    <w:r>
      <w:t>Chief UK Economist</w:t>
    </w:r>
    <w:r w:rsidR="00BA5BA8">
      <w:t xml:space="preserve"> - </w:t>
    </w:r>
    <w:r>
      <w:t>agoodwin@oxfordeconomics.com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914AFC" w14:textId="77777777" w:rsidR="00343DA1" w:rsidRDefault="00343DA1" w:rsidP="00343DA1">
      <w:pPr>
        <w:spacing w:before="0" w:after="0"/>
      </w:pPr>
      <w:r>
        <w:separator/>
      </w:r>
    </w:p>
  </w:footnote>
  <w:footnote w:type="continuationSeparator" w:id="0">
    <w:p w14:paraId="49F6CCE2" w14:textId="77777777" w:rsidR="00343DA1" w:rsidRDefault="00343DA1" w:rsidP="00343DA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BC1B0" w14:textId="77777777" w:rsidR="00343DA1" w:rsidRDefault="00343DA1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BEFF" w14:textId="356779B3" w:rsidR="00343DA1" w:rsidRDefault="00343DA1" w:rsidP="00343DA1">
    <w:pPr>
      <w:pStyle w:val="Headline"/>
      <w:spacing w:before="120"/>
      <w:ind w:right="-1000"/>
    </w:pPr>
    <w:r w:rsidRPr="00343DA1">
      <w:rPr>
        <w:noProof/>
      </w:rPr>
      <w:drawing>
        <wp:anchor distT="0" distB="0" distL="114300" distR="114300" simplePos="0" relativeHeight="251658239" behindDoc="1" locked="1" layoutInCell="1" allowOverlap="1" wp14:anchorId="38BDA7EA" wp14:editId="76CB29E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23" name="Picture 5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F6C5A" w:rsidRPr="008F6C5A">
      <w:t>MPC preview – Pace of gilts sell-off is the key decision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D8F5F" w14:textId="09BB3A83" w:rsidR="00343DA1" w:rsidRDefault="00343DA1" w:rsidP="00343DA1">
    <w:r w:rsidRPr="00343DA1">
      <w:rPr>
        <w:noProof/>
      </w:rPr>
      <w:drawing>
        <wp:anchor distT="0" distB="0" distL="114300" distR="114300" simplePos="0" relativeHeight="251659264" behindDoc="1" locked="1" layoutInCell="1" allowOverlap="1" wp14:anchorId="6EC05C20" wp14:editId="0F632292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69200" cy="1503667"/>
          <wp:effectExtent l="0" t="0" r="0" b="1905"/>
          <wp:wrapNone/>
          <wp:docPr id="15" name="Picture 6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5036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1996018254"/>
      <w:lock w:val="sdtLocked"/>
      <w:placeholder>
        <w:docPart w:val="DefaultPlaceholder_-1854013437"/>
      </w:placeholder>
      <w:date w:fullDate="2024-09-12T00:00:00Z">
        <w:dateFormat w:val="d MMMM yyyy"/>
        <w:lid w:val="en-GB"/>
        <w:storeMappedDataAs w:val="dateTime"/>
        <w:calendar w:val="gregorian"/>
      </w:date>
    </w:sdtPr>
    <w:sdtEndPr/>
    <w:sdtContent>
      <w:p w14:paraId="0F109F92" w14:textId="561D260C" w:rsidR="00343DA1" w:rsidRDefault="00343DA1" w:rsidP="00343DA1">
        <w:pPr>
          <w:pStyle w:val="PublishDate"/>
          <w:framePr w:w="2835" w:h="340" w:hRule="exact" w:hSpace="180" w:wrap="around" w:vAnchor="page" w:hAnchor="page" w:x="7801" w:y="601" w:anchorLock="1"/>
        </w:pPr>
        <w:r>
          <w:t>12 September 2024</w:t>
        </w:r>
      </w:p>
    </w:sdtContent>
  </w:sdt>
  <w:p w14:paraId="11002ACC" w14:textId="7771FD2D" w:rsidR="00343DA1" w:rsidRDefault="00343DA1" w:rsidP="00343DA1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Research Briefing | UK</w:t>
    </w:r>
  </w:p>
  <w:p w14:paraId="563A308B" w14:textId="53357D9B" w:rsidR="00343DA1" w:rsidRDefault="008F6C5A" w:rsidP="00343DA1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 w:rsidRPr="008F6C5A">
      <w:t>MPC preview – Pace of gilts sell-off is the key decision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2"/>
  </w:num>
  <w:num w:numId="2" w16cid:durableId="2074311132">
    <w:abstractNumId w:val="1"/>
    <w:lvlOverride w:ilvl="0">
      <w:startOverride w:val="1"/>
    </w:lvlOverride>
  </w:num>
  <w:num w:numId="3" w16cid:durableId="1590693657">
    <w:abstractNumId w:val="3"/>
  </w:num>
  <w:num w:numId="4" w16cid:durableId="159003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DA1"/>
    <w:rsid w:val="00003BA7"/>
    <w:rsid w:val="00011A57"/>
    <w:rsid w:val="00022761"/>
    <w:rsid w:val="00063A7F"/>
    <w:rsid w:val="0009736B"/>
    <w:rsid w:val="000C0118"/>
    <w:rsid w:val="000C0ADF"/>
    <w:rsid w:val="000C3ABB"/>
    <w:rsid w:val="000D3E43"/>
    <w:rsid w:val="000E2BD3"/>
    <w:rsid w:val="000F3F52"/>
    <w:rsid w:val="001018E9"/>
    <w:rsid w:val="00120D7A"/>
    <w:rsid w:val="00124E58"/>
    <w:rsid w:val="00160F71"/>
    <w:rsid w:val="0016316B"/>
    <w:rsid w:val="0017078A"/>
    <w:rsid w:val="00192B96"/>
    <w:rsid w:val="00192CDF"/>
    <w:rsid w:val="001A5775"/>
    <w:rsid w:val="001A6993"/>
    <w:rsid w:val="001A749F"/>
    <w:rsid w:val="001B2B67"/>
    <w:rsid w:val="001B2C32"/>
    <w:rsid w:val="001D1930"/>
    <w:rsid w:val="001D7057"/>
    <w:rsid w:val="001E0785"/>
    <w:rsid w:val="001E0C4A"/>
    <w:rsid w:val="001F3317"/>
    <w:rsid w:val="0021727D"/>
    <w:rsid w:val="00221BFB"/>
    <w:rsid w:val="00227E67"/>
    <w:rsid w:val="00230FFB"/>
    <w:rsid w:val="00242E5E"/>
    <w:rsid w:val="002577EC"/>
    <w:rsid w:val="002615F6"/>
    <w:rsid w:val="00262D94"/>
    <w:rsid w:val="00263E48"/>
    <w:rsid w:val="0026724A"/>
    <w:rsid w:val="002745D6"/>
    <w:rsid w:val="002811B6"/>
    <w:rsid w:val="00282A8A"/>
    <w:rsid w:val="00283700"/>
    <w:rsid w:val="00286754"/>
    <w:rsid w:val="00294D06"/>
    <w:rsid w:val="0029566B"/>
    <w:rsid w:val="002A5DBE"/>
    <w:rsid w:val="002D0DC9"/>
    <w:rsid w:val="002F786B"/>
    <w:rsid w:val="003017D9"/>
    <w:rsid w:val="0031169C"/>
    <w:rsid w:val="00316CBE"/>
    <w:rsid w:val="00325212"/>
    <w:rsid w:val="00343DA1"/>
    <w:rsid w:val="00351164"/>
    <w:rsid w:val="0035249A"/>
    <w:rsid w:val="00353C9D"/>
    <w:rsid w:val="00370974"/>
    <w:rsid w:val="00374E02"/>
    <w:rsid w:val="00376116"/>
    <w:rsid w:val="003B0CAB"/>
    <w:rsid w:val="003B715A"/>
    <w:rsid w:val="003C0B17"/>
    <w:rsid w:val="003D1E0A"/>
    <w:rsid w:val="003E7F3C"/>
    <w:rsid w:val="003F0F4E"/>
    <w:rsid w:val="003F2FA3"/>
    <w:rsid w:val="0040359C"/>
    <w:rsid w:val="00405A12"/>
    <w:rsid w:val="00405D65"/>
    <w:rsid w:val="00420212"/>
    <w:rsid w:val="004258C9"/>
    <w:rsid w:val="004458BB"/>
    <w:rsid w:val="004602D9"/>
    <w:rsid w:val="0046292D"/>
    <w:rsid w:val="004677EA"/>
    <w:rsid w:val="004827E3"/>
    <w:rsid w:val="00495DE7"/>
    <w:rsid w:val="004A04F6"/>
    <w:rsid w:val="004A2A92"/>
    <w:rsid w:val="004B04B0"/>
    <w:rsid w:val="004B4E79"/>
    <w:rsid w:val="004B4F66"/>
    <w:rsid w:val="004C7923"/>
    <w:rsid w:val="004D473F"/>
    <w:rsid w:val="004D5B83"/>
    <w:rsid w:val="004D650E"/>
    <w:rsid w:val="005107CC"/>
    <w:rsid w:val="005176F2"/>
    <w:rsid w:val="0052069F"/>
    <w:rsid w:val="005266C5"/>
    <w:rsid w:val="00535C71"/>
    <w:rsid w:val="00540055"/>
    <w:rsid w:val="005414BA"/>
    <w:rsid w:val="0054280C"/>
    <w:rsid w:val="005473C6"/>
    <w:rsid w:val="00563FEB"/>
    <w:rsid w:val="0057274F"/>
    <w:rsid w:val="00576CB8"/>
    <w:rsid w:val="00592138"/>
    <w:rsid w:val="00595C46"/>
    <w:rsid w:val="005B4A1F"/>
    <w:rsid w:val="005B5859"/>
    <w:rsid w:val="005F0616"/>
    <w:rsid w:val="006125A3"/>
    <w:rsid w:val="006166EE"/>
    <w:rsid w:val="00632CCC"/>
    <w:rsid w:val="00650BBE"/>
    <w:rsid w:val="00671564"/>
    <w:rsid w:val="006739BF"/>
    <w:rsid w:val="0067595A"/>
    <w:rsid w:val="006A1630"/>
    <w:rsid w:val="006A676D"/>
    <w:rsid w:val="006C0407"/>
    <w:rsid w:val="006E756E"/>
    <w:rsid w:val="006F60F1"/>
    <w:rsid w:val="007122D5"/>
    <w:rsid w:val="0071386B"/>
    <w:rsid w:val="00762DE9"/>
    <w:rsid w:val="007723AE"/>
    <w:rsid w:val="00793AEF"/>
    <w:rsid w:val="007A0F18"/>
    <w:rsid w:val="007B57CD"/>
    <w:rsid w:val="007C26BD"/>
    <w:rsid w:val="007C3DC6"/>
    <w:rsid w:val="007C3FF1"/>
    <w:rsid w:val="007C5834"/>
    <w:rsid w:val="007F2107"/>
    <w:rsid w:val="007F5D5D"/>
    <w:rsid w:val="008461BE"/>
    <w:rsid w:val="00847933"/>
    <w:rsid w:val="00850DCB"/>
    <w:rsid w:val="00855D68"/>
    <w:rsid w:val="0086090E"/>
    <w:rsid w:val="00870DDD"/>
    <w:rsid w:val="00874B7C"/>
    <w:rsid w:val="00874D3D"/>
    <w:rsid w:val="0088455B"/>
    <w:rsid w:val="008E11F0"/>
    <w:rsid w:val="008E57AA"/>
    <w:rsid w:val="008E721D"/>
    <w:rsid w:val="008F1A70"/>
    <w:rsid w:val="008F6C5A"/>
    <w:rsid w:val="009048E4"/>
    <w:rsid w:val="00920D15"/>
    <w:rsid w:val="00924DFD"/>
    <w:rsid w:val="00933B30"/>
    <w:rsid w:val="00962943"/>
    <w:rsid w:val="009634AC"/>
    <w:rsid w:val="00963AA5"/>
    <w:rsid w:val="00966D42"/>
    <w:rsid w:val="00995E6B"/>
    <w:rsid w:val="009A648D"/>
    <w:rsid w:val="009A7B69"/>
    <w:rsid w:val="009C7C16"/>
    <w:rsid w:val="009D2DEA"/>
    <w:rsid w:val="009E07F1"/>
    <w:rsid w:val="009E5F70"/>
    <w:rsid w:val="009F37D1"/>
    <w:rsid w:val="009F3F01"/>
    <w:rsid w:val="00A118A9"/>
    <w:rsid w:val="00A23145"/>
    <w:rsid w:val="00A25234"/>
    <w:rsid w:val="00A332D4"/>
    <w:rsid w:val="00A3523E"/>
    <w:rsid w:val="00A50835"/>
    <w:rsid w:val="00A52669"/>
    <w:rsid w:val="00A576A0"/>
    <w:rsid w:val="00A62566"/>
    <w:rsid w:val="00A629C8"/>
    <w:rsid w:val="00A63323"/>
    <w:rsid w:val="00A66B32"/>
    <w:rsid w:val="00A77085"/>
    <w:rsid w:val="00A9430E"/>
    <w:rsid w:val="00AB24B7"/>
    <w:rsid w:val="00AB6B99"/>
    <w:rsid w:val="00AD07ED"/>
    <w:rsid w:val="00AE76E6"/>
    <w:rsid w:val="00AF55E1"/>
    <w:rsid w:val="00B04E07"/>
    <w:rsid w:val="00B16B5A"/>
    <w:rsid w:val="00B7343B"/>
    <w:rsid w:val="00B846EA"/>
    <w:rsid w:val="00B910EA"/>
    <w:rsid w:val="00B92BF4"/>
    <w:rsid w:val="00B9441B"/>
    <w:rsid w:val="00BA5BA8"/>
    <w:rsid w:val="00BA633E"/>
    <w:rsid w:val="00BB280D"/>
    <w:rsid w:val="00BB6195"/>
    <w:rsid w:val="00BE1485"/>
    <w:rsid w:val="00BF6A2A"/>
    <w:rsid w:val="00C0427D"/>
    <w:rsid w:val="00C17065"/>
    <w:rsid w:val="00C244CE"/>
    <w:rsid w:val="00C34930"/>
    <w:rsid w:val="00C65A69"/>
    <w:rsid w:val="00C72052"/>
    <w:rsid w:val="00C75153"/>
    <w:rsid w:val="00C76458"/>
    <w:rsid w:val="00C84AD7"/>
    <w:rsid w:val="00C90D41"/>
    <w:rsid w:val="00C93538"/>
    <w:rsid w:val="00C9768F"/>
    <w:rsid w:val="00CA4BF3"/>
    <w:rsid w:val="00CB23EC"/>
    <w:rsid w:val="00CB76FB"/>
    <w:rsid w:val="00CB7716"/>
    <w:rsid w:val="00CC3321"/>
    <w:rsid w:val="00CD7C8B"/>
    <w:rsid w:val="00CE3160"/>
    <w:rsid w:val="00CF2B77"/>
    <w:rsid w:val="00D01AEE"/>
    <w:rsid w:val="00D06A10"/>
    <w:rsid w:val="00D142E8"/>
    <w:rsid w:val="00D379EC"/>
    <w:rsid w:val="00D44219"/>
    <w:rsid w:val="00D539FB"/>
    <w:rsid w:val="00D645EE"/>
    <w:rsid w:val="00D66132"/>
    <w:rsid w:val="00D73CC8"/>
    <w:rsid w:val="00D82250"/>
    <w:rsid w:val="00D83B92"/>
    <w:rsid w:val="00D978A1"/>
    <w:rsid w:val="00DA3C25"/>
    <w:rsid w:val="00DB0BE6"/>
    <w:rsid w:val="00DB37C0"/>
    <w:rsid w:val="00DC3B6C"/>
    <w:rsid w:val="00DD2D96"/>
    <w:rsid w:val="00DE568D"/>
    <w:rsid w:val="00DF3B48"/>
    <w:rsid w:val="00DF73F9"/>
    <w:rsid w:val="00E10235"/>
    <w:rsid w:val="00E1280F"/>
    <w:rsid w:val="00E213A8"/>
    <w:rsid w:val="00E23560"/>
    <w:rsid w:val="00E25E13"/>
    <w:rsid w:val="00E43421"/>
    <w:rsid w:val="00E804D4"/>
    <w:rsid w:val="00E80D93"/>
    <w:rsid w:val="00EA0803"/>
    <w:rsid w:val="00EA2025"/>
    <w:rsid w:val="00ED615F"/>
    <w:rsid w:val="00ED6FF0"/>
    <w:rsid w:val="00F058BF"/>
    <w:rsid w:val="00F07516"/>
    <w:rsid w:val="00F17C10"/>
    <w:rsid w:val="00F237E9"/>
    <w:rsid w:val="00F2643F"/>
    <w:rsid w:val="00F52C66"/>
    <w:rsid w:val="00F52E63"/>
    <w:rsid w:val="00F56E9B"/>
    <w:rsid w:val="00F606B6"/>
    <w:rsid w:val="00F66CB7"/>
    <w:rsid w:val="00F72F2A"/>
    <w:rsid w:val="00FC1EA7"/>
    <w:rsid w:val="00FD45D5"/>
    <w:rsid w:val="00FE0EF6"/>
    <w:rsid w:val="00FE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2095B93B"/>
  <w15:chartTrackingRefBased/>
  <w15:docId w15:val="{D75D2765-7526-4691-B289-8D7E12566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DA1"/>
    <w:pPr>
      <w:spacing w:before="100" w:after="10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3DA1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343DA1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3DA1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3DA1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343DA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343DA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343DA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343DA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343DA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locked/>
    <w:rsid w:val="00343DA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3DA1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43DA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3DA1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43DA1"/>
    <w:rPr>
      <w:rFonts w:ascii="Segoe UI" w:eastAsiaTheme="majorEastAsia" w:hAnsi="Segoe UI" w:cstheme="majorBidi"/>
      <w:b/>
      <w:noProof w:val="0"/>
      <w:color w:val="003469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43DA1"/>
    <w:rPr>
      <w:rFonts w:ascii="Segoe UI" w:eastAsiaTheme="majorEastAsia" w:hAnsi="Segoe UI" w:cstheme="majorBidi"/>
      <w:b/>
      <w:noProof w:val="0"/>
      <w:color w:val="003469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43DA1"/>
    <w:rPr>
      <w:rFonts w:ascii="Segoe UI" w:eastAsiaTheme="majorEastAsia" w:hAnsi="Segoe UI" w:cstheme="majorBidi"/>
      <w:noProof w:val="0"/>
      <w:color w:val="003469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43DA1"/>
    <w:rPr>
      <w:rFonts w:ascii="Segoe UI" w:eastAsiaTheme="majorEastAsia" w:hAnsi="Segoe UI" w:cstheme="majorBidi"/>
      <w:iCs/>
      <w:noProof w:val="0"/>
      <w:color w:val="000000" w:themeColor="text1"/>
      <w:kern w:val="0"/>
      <w:sz w:val="20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343DA1"/>
    <w:rPr>
      <w:rFonts w:asciiTheme="majorHAnsi" w:eastAsiaTheme="majorEastAsia" w:hAnsiTheme="majorHAnsi" w:cstheme="majorBidi"/>
      <w:noProof w:val="0"/>
      <w:color w:val="2F5496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DA1"/>
    <w:rPr>
      <w:rFonts w:asciiTheme="majorHAnsi" w:eastAsiaTheme="majorEastAsia" w:hAnsiTheme="majorHAnsi" w:cstheme="majorBidi"/>
      <w:noProof w:val="0"/>
      <w:color w:val="1F3763" w:themeColor="accent1" w:themeShade="7F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DA1"/>
    <w:rPr>
      <w:rFonts w:asciiTheme="majorHAnsi" w:eastAsiaTheme="majorEastAsia" w:hAnsiTheme="majorHAnsi" w:cstheme="majorBidi"/>
      <w:i/>
      <w:iCs/>
      <w:noProof w:val="0"/>
      <w:color w:val="1F3763" w:themeColor="accent1" w:themeShade="7F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DA1"/>
    <w:rPr>
      <w:rFonts w:asciiTheme="majorHAnsi" w:eastAsiaTheme="majorEastAsia" w:hAnsiTheme="majorHAnsi" w:cstheme="majorBidi"/>
      <w:noProof w:val="0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DA1"/>
    <w:rPr>
      <w:rFonts w:asciiTheme="majorHAnsi" w:eastAsiaTheme="majorEastAsia" w:hAnsiTheme="majorHAnsi" w:cstheme="majorBidi"/>
      <w:i/>
      <w:iCs/>
      <w:noProof w:val="0"/>
      <w:color w:val="272727" w:themeColor="text1" w:themeTint="D8"/>
      <w:kern w:val="0"/>
      <w:sz w:val="21"/>
      <w:szCs w:val="21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343DA1"/>
    <w:rPr>
      <w:noProof w:val="0"/>
    </w:rPr>
  </w:style>
  <w:style w:type="character" w:styleId="Hyperlink">
    <w:name w:val="Hyperlink"/>
    <w:basedOn w:val="DefaultParagraphFont"/>
    <w:uiPriority w:val="99"/>
    <w:unhideWhenUsed/>
    <w:rsid w:val="00343DA1"/>
    <w:rPr>
      <w:noProof w:val="0"/>
      <w:color w:val="0563C1" w:themeColor="hyperlink"/>
      <w:u w:val="single"/>
    </w:rPr>
  </w:style>
  <w:style w:type="paragraph" w:styleId="ListParagraph">
    <w:name w:val="List Paragraph"/>
    <w:next w:val="Normal"/>
    <w:link w:val="ListParagraphChar"/>
    <w:uiPriority w:val="34"/>
    <w:locked/>
    <w:rsid w:val="00343DA1"/>
    <w:pPr>
      <w:numPr>
        <w:numId w:val="3"/>
      </w:numPr>
      <w:spacing w:after="0" w:line="240" w:lineRule="auto"/>
      <w:ind w:left="284" w:hanging="284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Revision">
    <w:name w:val="Revision"/>
    <w:hidden/>
    <w:uiPriority w:val="99"/>
    <w:semiHidden/>
    <w:rsid w:val="00343DA1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343DA1"/>
    <w:pPr>
      <w:spacing w:after="120"/>
    </w:pPr>
    <w:rPr>
      <w:b/>
      <w:bCs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343DA1"/>
    <w:rPr>
      <w:rFonts w:ascii="Segoe UI Semilight" w:hAnsi="Segoe UI Semilight" w:cs="Segoe UI Semilight"/>
      <w:b/>
      <w:bCs/>
      <w:color w:val="FFFFFF"/>
      <w:sz w:val="40"/>
      <w:szCs w:val="40"/>
    </w:rPr>
  </w:style>
  <w:style w:type="paragraph" w:customStyle="1" w:styleId="ExhibitTitle">
    <w:name w:val="Exhibit Title"/>
    <w:basedOn w:val="Normal"/>
    <w:qFormat/>
    <w:rsid w:val="00343DA1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343DA1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343DA1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kern w:val="0"/>
      <w:sz w:val="18"/>
      <w14:ligatures w14:val="none"/>
    </w:rPr>
  </w:style>
  <w:style w:type="paragraph" w:customStyle="1" w:styleId="Glossary">
    <w:name w:val="Glossary"/>
    <w:basedOn w:val="Normal"/>
    <w:qFormat/>
    <w:rsid w:val="00343DA1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link w:val="BulletChar"/>
    <w:qFormat/>
    <w:rsid w:val="00343DA1"/>
    <w:pPr>
      <w:numPr>
        <w:numId w:val="2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</w:pPr>
    <w:rPr>
      <w:rFonts w:ascii="Segoe UI" w:hAnsi="Segoe UI" w:cs="Segoe UI"/>
      <w:b/>
      <w:bCs/>
      <w:color w:val="003469"/>
      <w:kern w:val="0"/>
      <w:sz w:val="20"/>
      <w:szCs w:val="20"/>
      <w14:ligatures w14:val="none"/>
    </w:rPr>
  </w:style>
  <w:style w:type="character" w:customStyle="1" w:styleId="BulletChar">
    <w:name w:val="Bullet Char"/>
    <w:basedOn w:val="DefaultParagraphFont"/>
    <w:link w:val="Bullet"/>
    <w:rsid w:val="00343DA1"/>
    <w:rPr>
      <w:rFonts w:ascii="Segoe UI" w:hAnsi="Segoe UI" w:cs="Segoe UI"/>
      <w:b/>
      <w:bCs/>
      <w:noProof w:val="0"/>
      <w:color w:val="003469"/>
      <w:kern w:val="0"/>
      <w:sz w:val="20"/>
      <w:szCs w:val="20"/>
      <w:shd w:val="clear" w:color="auto" w:fill="F2F2F2" w:themeFill="background1" w:themeFillShade="F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43DA1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DA1"/>
    <w:rPr>
      <w:rFonts w:ascii="Segoe UI" w:hAnsi="Segoe UI" w:cs="Segoe UI"/>
      <w:i/>
      <w:iCs/>
      <w:noProof w:val="0"/>
      <w:color w:val="404040" w:themeColor="text1" w:themeTint="BF"/>
      <w:kern w:val="0"/>
      <w:sz w:val="20"/>
      <w14:ligatures w14:val="none"/>
    </w:rPr>
  </w:style>
  <w:style w:type="paragraph" w:customStyle="1" w:styleId="TableHeader">
    <w:name w:val="Table Header"/>
    <w:basedOn w:val="TableData"/>
    <w:qFormat/>
    <w:rsid w:val="00343DA1"/>
    <w:rPr>
      <w:rFonts w:ascii="Segoe UI Semibold" w:hAnsi="Segoe UI Semibold" w:cs="Segoe UI Semibold"/>
      <w:color w:val="F2F2F2" w:themeColor="background1" w:themeShade="F2"/>
    </w:rPr>
  </w:style>
  <w:style w:type="character" w:customStyle="1" w:styleId="SummaryChar">
    <w:name w:val="Summary Char"/>
    <w:basedOn w:val="DefaultParagraphFont"/>
    <w:link w:val="Summary"/>
    <w:locked/>
    <w:rsid w:val="00343DA1"/>
    <w:rPr>
      <w:rFonts w:ascii="Segoe UI" w:hAnsi="Segoe UI" w:cs="Segoe UI"/>
      <w:noProof w:val="0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343DA1"/>
    <w:pPr>
      <w:numPr>
        <w:numId w:val="1"/>
      </w:numPr>
      <w:ind w:left="1797" w:hanging="357"/>
    </w:pPr>
    <w:rPr>
      <w:kern w:val="2"/>
      <w:sz w:val="22"/>
      <w14:ligatures w14:val="standardContextual"/>
    </w:rPr>
  </w:style>
  <w:style w:type="paragraph" w:customStyle="1" w:styleId="TableData">
    <w:name w:val="Table Data"/>
    <w:link w:val="TableDataChar"/>
    <w:qFormat/>
    <w:rsid w:val="00343DA1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18"/>
      <w14:ligatures w14:val="none"/>
    </w:rPr>
  </w:style>
  <w:style w:type="character" w:customStyle="1" w:styleId="TableDataChar">
    <w:name w:val="Table Data Char"/>
    <w:basedOn w:val="DefaultParagraphFont"/>
    <w:link w:val="TableData"/>
    <w:rsid w:val="00343DA1"/>
    <w:rPr>
      <w:rFonts w:ascii="Segoe UI" w:hAnsi="Segoe UI" w:cs="Segoe UI"/>
      <w:noProof w:val="0"/>
      <w:color w:val="000000" w:themeColor="text1"/>
      <w:kern w:val="0"/>
      <w:sz w:val="20"/>
      <w:szCs w:val="18"/>
      <w14:ligatures w14:val="none"/>
    </w:rPr>
  </w:style>
  <w:style w:type="character" w:customStyle="1" w:styleId="HeadlineChar">
    <w:name w:val="Headline Char"/>
    <w:basedOn w:val="DefaultParagraphFont"/>
    <w:link w:val="Headline"/>
    <w:rsid w:val="00343DA1"/>
    <w:rPr>
      <w:rFonts w:ascii="Segoe UI Semilight" w:hAnsi="Segoe UI Semilight" w:cs="Segoe UI Semilight"/>
      <w:b/>
      <w:bCs/>
      <w:noProof w:val="0"/>
      <w:color w:val="FFFFFF"/>
      <w:kern w:val="0"/>
      <w:sz w:val="40"/>
      <w:szCs w:val="40"/>
      <w14:ligatures w14:val="none"/>
    </w:rPr>
  </w:style>
  <w:style w:type="paragraph" w:customStyle="1" w:styleId="PublishDate">
    <w:name w:val="Publish Date"/>
    <w:next w:val="Normal"/>
    <w:link w:val="PublishDateChar"/>
    <w:qFormat/>
    <w:rsid w:val="00343DA1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kern w:val="0"/>
      <w:sz w:val="24"/>
      <w:szCs w:val="28"/>
      <w14:ligatures w14:val="none"/>
    </w:rPr>
  </w:style>
  <w:style w:type="paragraph" w:customStyle="1" w:styleId="Author">
    <w:name w:val="Author"/>
    <w:basedOn w:val="Bullet"/>
    <w:link w:val="AuthorChar"/>
    <w:qFormat/>
    <w:rsid w:val="00343DA1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PublishDateChar">
    <w:name w:val="Publish Date Char"/>
    <w:basedOn w:val="Heading1Char"/>
    <w:link w:val="PublishDate"/>
    <w:rsid w:val="00343DA1"/>
    <w:rPr>
      <w:rFonts w:ascii="Segoe UI" w:eastAsiaTheme="majorEastAsia" w:hAnsi="Segoe UI" w:cstheme="majorBidi"/>
      <w:b w:val="0"/>
      <w:noProof w:val="0"/>
      <w:color w:val="003469"/>
      <w:kern w:val="0"/>
      <w:sz w:val="24"/>
      <w:szCs w:val="28"/>
      <w14:ligatures w14:val="none"/>
    </w:rPr>
  </w:style>
  <w:style w:type="character" w:customStyle="1" w:styleId="AuthorChar">
    <w:name w:val="Author Char"/>
    <w:basedOn w:val="FooterChar"/>
    <w:link w:val="Author"/>
    <w:rsid w:val="00343DA1"/>
    <w:rPr>
      <w:rFonts w:ascii="Segoe UI" w:hAnsi="Segoe UI" w:cs="Segoe UI"/>
      <w:b/>
      <w:bCs/>
      <w:noProof w:val="0"/>
      <w:color w:val="7F7F7F" w:themeColor="text1" w:themeTint="80"/>
      <w:kern w:val="0"/>
      <w:sz w:val="20"/>
      <w:shd w:val="clear" w:color="auto" w:fill="F2F2F2" w:themeFill="background1" w:themeFillShade="F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43DA1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343DA1"/>
    <w:pPr>
      <w:numPr>
        <w:numId w:val="4"/>
      </w:numPr>
      <w:spacing w:after="200" w:line="240" w:lineRule="auto"/>
      <w:contextualSpacing/>
    </w:pPr>
    <w:rPr>
      <w:rFonts w:ascii="Segoe UI" w:hAnsi="Segoe UI" w:cs="Segoe UI"/>
      <w:bCs/>
      <w:kern w:val="0"/>
      <w:sz w:val="20"/>
      <w:szCs w:val="20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343DA1"/>
    <w:rPr>
      <w:rFonts w:ascii="Segoe UI" w:hAnsi="Segoe UI" w:cs="Segoe UI"/>
      <w:bCs/>
      <w:noProof w:val="0"/>
      <w:kern w:val="0"/>
      <w:sz w:val="20"/>
      <w:szCs w:val="20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343DA1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343DA1"/>
    <w:rPr>
      <w:rFonts w:ascii="Segoe UI" w:hAnsi="Segoe UI" w:cs="Segoe UI"/>
      <w:noProof w:val="0"/>
      <w:color w:val="003469"/>
      <w:kern w:val="0"/>
      <w:sz w:val="20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343DA1"/>
    <w:rPr>
      <w:rFonts w:ascii="Segoe UI" w:hAnsi="Segoe UI" w:cs="Segoe UI"/>
      <w:b/>
      <w:bCs/>
      <w:noProof w:val="0"/>
      <w:color w:val="FFFFFF"/>
      <w:kern w:val="0"/>
      <w:sz w:val="32"/>
      <w:szCs w:val="32"/>
      <w14:ligatures w14:val="none"/>
    </w:rPr>
  </w:style>
  <w:style w:type="character" w:customStyle="1" w:styleId="Bold">
    <w:name w:val="Bold"/>
    <w:basedOn w:val="DefaultParagraphFont"/>
    <w:uiPriority w:val="1"/>
    <w:qFormat/>
    <w:rsid w:val="00343DA1"/>
    <w:rPr>
      <w:b/>
      <w:bCs/>
      <w:noProof w:val="0"/>
    </w:rPr>
  </w:style>
  <w:style w:type="character" w:customStyle="1" w:styleId="Italics">
    <w:name w:val="Italics"/>
    <w:uiPriority w:val="1"/>
    <w:qFormat/>
    <w:rsid w:val="00343DA1"/>
    <w:rPr>
      <w:i/>
      <w:iCs/>
      <w:noProof w:val="0"/>
    </w:rPr>
  </w:style>
  <w:style w:type="table" w:customStyle="1" w:styleId="TableGridHeader">
    <w:name w:val="Table Grid Header"/>
    <w:basedOn w:val="TableNormal"/>
    <w:uiPriority w:val="99"/>
    <w:rsid w:val="00343DA1"/>
    <w:pPr>
      <w:spacing w:after="200" w:line="240" w:lineRule="auto"/>
    </w:pPr>
    <w:rPr>
      <w:rFonts w:ascii="Segoe UI" w:eastAsiaTheme="minorEastAsia" w:hAnsi="Segoe UI"/>
      <w:color w:val="F2F2F2" w:themeColor="background1" w:themeShade="F2"/>
      <w:kern w:val="0"/>
      <w:szCs w:val="20"/>
      <w:lang w:eastAsia="en-GB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hyperlink" Target="https://my.oxfordeconomics.com/reports/649FF06a09D94f1b91dBab" TargetMode="External"/><Relationship Id="rId26" Type="http://schemas.openxmlformats.org/officeDocument/2006/relationships/hyperlink" Target="https://my.oxfordeconomics.com/reportaction/47c7CcF7d62F4306838B38/Toc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bankofengland.co.uk/news/2024/august/chancellor-appoints-professor-alan-taylor-as-member-of-the-mpc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2.svg"/><Relationship Id="rId17" Type="http://schemas.openxmlformats.org/officeDocument/2006/relationships/footer" Target="footer2.xml"/><Relationship Id="rId25" Type="http://schemas.openxmlformats.org/officeDocument/2006/relationships/hyperlink" Target="https://www.bankofengland.co.uk/markets/market-intelligence/survey-results/2024/market-participants-survey-results-august-2024" TargetMode="Externa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yperlink" Target="https://my.oxfordeconomics.com/reportaction/96f4FeA72eE6401493015c/Toc" TargetMode="External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hyperlink" Target="https://www.bankofengland.co.uk/monetary-policy-report/2024/august-2024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23" Type="http://schemas.openxmlformats.org/officeDocument/2006/relationships/image" Target="media/image6.svg"/><Relationship Id="rId28" Type="http://schemas.openxmlformats.org/officeDocument/2006/relationships/fontTable" Target="fontTable.xml"/><Relationship Id="rId10" Type="http://schemas.openxmlformats.org/officeDocument/2006/relationships/hyperlink" Target="https://my.oxfordeconomics.com/reports/d319F281b3554bF9a02E01" TargetMode="External"/><Relationship Id="rId19" Type="http://schemas.openxmlformats.org/officeDocument/2006/relationships/hyperlink" Target="https://my.oxfordeconomics.com/reports/27d94937bc7540C6bEbE5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Relationship Id="rId22" Type="http://schemas.openxmlformats.org/officeDocument/2006/relationships/image" Target="media/image5.png"/><Relationship Id="rId27" Type="http://schemas.openxmlformats.org/officeDocument/2006/relationships/hyperlink" Target="https://my.oxfordeconomics.com/reports/93633b6d67E24d1cb194ae" TargetMode="Externa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BD3E5A-43E0-4CFB-8EAC-9C44D2B44DEA}"/>
      </w:docPartPr>
      <w:docPartBody>
        <w:p w:rsidR="00B91A4C" w:rsidRDefault="00B91A4C">
          <w:r w:rsidRPr="00D35B4F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A4C"/>
    <w:rsid w:val="00B9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7" ma:contentTypeDescription="Create a new document." ma:contentTypeScope="" ma:versionID="23030a2609a0bfe461689b6bacd9a9f4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83983b71c34b7d262d94b4ad995a0d1c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c33f61-c765-4e3b-9958-53c32fd1fd0b" xsi:nil="true"/>
  </documentManagement>
</p:properties>
</file>

<file path=customXml/itemProps1.xml><?xml version="1.0" encoding="utf-8"?>
<ds:datastoreItem xmlns:ds="http://schemas.openxmlformats.org/officeDocument/2006/customXml" ds:itemID="{064FDBE0-D3E0-4318-B118-990AF18E65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C06610-0DC2-4390-AFCE-F2CB14F380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3E3C8-C4C6-4A8A-9F4D-CBAB364723C6}">
  <ds:schemaRefs>
    <ds:schemaRef ds:uri="http://purl.org/dc/terms/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dcmitype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6c77b332-7df6-4eff-997f-266963d55fc4"/>
    <ds:schemaRef ds:uri="6ec33f61-c765-4e3b-9958-53c32fd1fd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1628</Words>
  <Characters>7917</Characters>
  <Application>Microsoft Office Word</Application>
  <DocSecurity>0</DocSecurity>
  <Lines>102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Andrew Goodwin</cp:lastModifiedBy>
  <cp:revision>11</cp:revision>
  <dcterms:created xsi:type="dcterms:W3CDTF">2024-09-12T08:55:00Z</dcterms:created>
  <dcterms:modified xsi:type="dcterms:W3CDTF">2024-09-12T09:09:00Z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v0.8.0.8</vt:lpwstr>
  </property>
  <property fmtid="{D5CDD505-2E9C-101B-9397-08002B2CF9AE}" pid="3" name="OEP_GROUP_BRAND">
    <vt:lpwstr>OE</vt:lpwstr>
  </property>
  <property fmtid="{D5CDD505-2E9C-101B-9397-08002B2CF9AE}" pid="4" name="MSIP_Label_231f5784-19ed-4d1e-9a93-4ea41014d730_Enabled">
    <vt:lpwstr>true</vt:lpwstr>
  </property>
  <property fmtid="{D5CDD505-2E9C-101B-9397-08002B2CF9AE}" pid="5" name="MSIP_Label_231f5784-19ed-4d1e-9a93-4ea41014d730_SetDate">
    <vt:lpwstr>2024-09-12T08:58:48.000Z</vt:lpwstr>
  </property>
  <property fmtid="{D5CDD505-2E9C-101B-9397-08002B2CF9AE}" pid="6" name="MSIP_Label_231f5784-19ed-4d1e-9a93-4ea41014d730_Method">
    <vt:lpwstr>Privileged</vt:lpwstr>
  </property>
  <property fmtid="{D5CDD505-2E9C-101B-9397-08002B2CF9AE}" pid="7" name="MSIP_Label_231f5784-19ed-4d1e-9a93-4ea41014d730_Name">
    <vt:lpwstr>External</vt:lpwstr>
  </property>
  <property fmtid="{D5CDD505-2E9C-101B-9397-08002B2CF9AE}" pid="8" name="MSIP_Label_231f5784-19ed-4d1e-9a93-4ea41014d730_SiteId">
    <vt:lpwstr>2c277f63-6743-4f98-ac15-4851e55c0cc7</vt:lpwstr>
  </property>
  <property fmtid="{D5CDD505-2E9C-101B-9397-08002B2CF9AE}" pid="9" name="OEP_TEMPLATE_STYLES">
    <vt:lpwstr>v0.8.0.8</vt:lpwstr>
  </property>
  <property fmtid="{D5CDD505-2E9C-101B-9397-08002B2CF9AE}" pid="10" name="OEP_ANALYST_FULLNAME">
    <vt:lpwstr>Andrew Goodwin</vt:lpwstr>
  </property>
  <property fmtid="{D5CDD505-2E9C-101B-9397-08002B2CF9AE}" pid="11" name="OEP_ANALYST_JOBTITLE">
    <vt:lpwstr>Chief UK Economist</vt:lpwstr>
  </property>
  <property fmtid="{D5CDD505-2E9C-101B-9397-08002B2CF9AE}" pid="12" name="OEP_ANALYST_EMAIL">
    <vt:lpwstr>agoodwin@oxfordeconomics.com</vt:lpwstr>
  </property>
  <property fmtid="{D5CDD505-2E9C-101B-9397-08002B2CF9AE}" pid="13" name="OEP_AUTHORS">
    <vt:lpwstr>Andrew Goodwin|Chief UK Economist|agoodwin@oxfordeconomics.com_x000d_</vt:lpwstr>
  </property>
  <property fmtid="{D5CDD505-2E9C-101B-9397-08002B2CF9AE}" pid="14" name="OEP_EXHIBIT_FILEPATHS">
    <vt:lpwstr>Z:\UK Team\UK Research Briefing\20240912 RB UK MPC preview - Charts.xlsx</vt:lpwstr>
  </property>
  <property fmtid="{D5CDD505-2E9C-101B-9397-08002B2CF9AE}" pid="15" name="OEP_CATEGORIES">
    <vt:lpwstr>AnalysisbyRegion-Europe-UnitedKingdom,Macro-ResearchBriefings-UnitedKingdom</vt:lpwstr>
  </property>
  <property fmtid="{D5CDD505-2E9C-101B-9397-08002B2CF9AE}" pid="16" name="OEP_TAGS">
    <vt:lpwstr>Key Themes:interest rates,monetary policy,fiscal policy</vt:lpwstr>
  </property>
  <property fmtid="{D5CDD505-2E9C-101B-9397-08002B2CF9AE}" pid="17" name="ContentTypeId">
    <vt:lpwstr>0x01010009401BB7205AF745BAD4FA98BDE0B98F</vt:lpwstr>
  </property>
  <property fmtid="{D5CDD505-2E9C-101B-9397-08002B2CF9AE}" pid="18" name="OEP_PRODUCT_CODE">
    <vt:lpwstr>b9b632020c304459aB9277</vt:lpwstr>
  </property>
  <property fmtid="{D5CDD505-2E9C-101B-9397-08002B2CF9AE}" pid="19" name="OEP_PUBLISH_DATE">
    <vt:lpwstr/>
  </property>
</Properties>
</file>