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278DC" w14:textId="5AE82092" w:rsidR="00B00FCB" w:rsidRDefault="002E1048" w:rsidP="00B00FCB">
      <w:pPr>
        <w:pStyle w:val="Bullet"/>
      </w:pPr>
      <w:r>
        <w:t xml:space="preserve">Our sentiment data, developed with </w:t>
      </w:r>
      <w:hyperlink r:id="rId11" w:history="1">
        <w:r w:rsidRPr="00B16E0E">
          <w:rPr>
            <w:rStyle w:val="Hyperlink"/>
          </w:rPr>
          <w:t>Penta</w:t>
        </w:r>
      </w:hyperlink>
      <w:r>
        <w:t>, suggests that labour market conditions have loosened and pay growth has slowed abruptly through the summer</w:t>
      </w:r>
      <w:r w:rsidR="00B00FCB">
        <w:t>.</w:t>
      </w:r>
      <w:r>
        <w:t xml:space="preserve"> If </w:t>
      </w:r>
      <w:r w:rsidR="00E6145C">
        <w:t xml:space="preserve">this trend is </w:t>
      </w:r>
      <w:r>
        <w:t xml:space="preserve">reflected in official </w:t>
      </w:r>
      <w:r w:rsidR="003326A7">
        <w:t xml:space="preserve">data, </w:t>
      </w:r>
      <w:r w:rsidR="00E6145C">
        <w:t xml:space="preserve">it </w:t>
      </w:r>
      <w:r w:rsidR="003326A7">
        <w:t xml:space="preserve">could </w:t>
      </w:r>
      <w:r w:rsidR="00E6145C">
        <w:t xml:space="preserve">motivate </w:t>
      </w:r>
      <w:r w:rsidR="003326A7">
        <w:t xml:space="preserve">some Monetary Policy Committee members to </w:t>
      </w:r>
      <w:r w:rsidR="004A4A1E">
        <w:t xml:space="preserve">join Swati Dhingra in </w:t>
      </w:r>
      <w:r w:rsidR="00151BEC">
        <w:t>voting for</w:t>
      </w:r>
      <w:r w:rsidR="003326A7">
        <w:t xml:space="preserve"> </w:t>
      </w:r>
      <w:r w:rsidR="00151BEC">
        <w:t>rate cuts at successive meetings</w:t>
      </w:r>
      <w:r w:rsidR="003326A7">
        <w:t>.</w:t>
      </w:r>
    </w:p>
    <w:p w14:paraId="1BC6FA37" w14:textId="32DD04C5" w:rsidR="00B00FCB" w:rsidRDefault="003326A7" w:rsidP="00B00FCB">
      <w:pPr>
        <w:pStyle w:val="Bullet"/>
      </w:pPr>
      <w:r>
        <w:t>M</w:t>
      </w:r>
      <w:r w:rsidRPr="003326A7">
        <w:t xml:space="preserve">ost of the individual sentiment </w:t>
      </w:r>
      <w:r w:rsidR="00E6145C">
        <w:t>indicators</w:t>
      </w:r>
      <w:r w:rsidR="00E6145C" w:rsidRPr="003326A7">
        <w:t xml:space="preserve"> </w:t>
      </w:r>
      <w:r w:rsidRPr="003326A7">
        <w:t xml:space="preserve">for labour market-related topics used in our </w:t>
      </w:r>
      <w:r w:rsidR="00E6145C" w:rsidRPr="003326A7">
        <w:t>nowcast</w:t>
      </w:r>
      <w:r w:rsidR="00E6145C">
        <w:t>s</w:t>
      </w:r>
      <w:r w:rsidR="00E6145C" w:rsidRPr="003326A7">
        <w:t xml:space="preserve"> </w:t>
      </w:r>
      <w:r w:rsidRPr="003326A7">
        <w:t>have fallen sharply in recent months</w:t>
      </w:r>
      <w:r w:rsidR="00B00FCB">
        <w:t xml:space="preserve">. </w:t>
      </w:r>
      <w:r>
        <w:t xml:space="preserve">The one exception is </w:t>
      </w:r>
      <w:r w:rsidR="00E6145C">
        <w:t xml:space="preserve">talent </w:t>
      </w:r>
      <w:r>
        <w:t>and HR, suggesting firms continue to place a high value on retaining staff.</w:t>
      </w:r>
    </w:p>
    <w:p w14:paraId="46C999AC" w14:textId="4B27E776" w:rsidR="00765242" w:rsidRDefault="00586A4D" w:rsidP="00765242">
      <w:pPr>
        <w:pStyle w:val="Bullet"/>
      </w:pPr>
      <w:r>
        <w:t>Though o</w:t>
      </w:r>
      <w:r w:rsidR="00202BBF">
        <w:t>fficial data shows much lower unemployment and higher employment in recent months</w:t>
      </w:r>
      <w:r>
        <w:t>, w</w:t>
      </w:r>
      <w:r w:rsidR="00202BBF">
        <w:t>e think this is misleading</w:t>
      </w:r>
      <w:r w:rsidR="00E6145C">
        <w:t>,</w:t>
      </w:r>
      <w:r w:rsidR="00202BBF">
        <w:t xml:space="preserve"> and </w:t>
      </w:r>
      <w:r w:rsidR="000C4402">
        <w:t>is symptom</w:t>
      </w:r>
      <w:r w:rsidR="00806A9C">
        <w:t>atic</w:t>
      </w:r>
      <w:r w:rsidR="000C4402">
        <w:t xml:space="preserve"> of</w:t>
      </w:r>
      <w:r w:rsidR="00202BBF">
        <w:t xml:space="preserve"> the </w:t>
      </w:r>
      <w:r>
        <w:t xml:space="preserve">data volatility </w:t>
      </w:r>
      <w:r w:rsidR="00202BBF">
        <w:t xml:space="preserve">problems </w:t>
      </w:r>
      <w:r w:rsidR="000C4402">
        <w:t xml:space="preserve">that </w:t>
      </w:r>
      <w:r w:rsidR="00202BBF">
        <w:t xml:space="preserve">the Office for National Statistics </w:t>
      </w:r>
      <w:r>
        <w:t>continues to battle</w:t>
      </w:r>
      <w:r w:rsidR="00B00FCB">
        <w:t>.</w:t>
      </w:r>
      <w:r w:rsidR="00765242">
        <w:t xml:space="preserve"> In our view, the picture painted by our nowcasting model is a more </w:t>
      </w:r>
      <w:r w:rsidR="00E6145C">
        <w:t xml:space="preserve">accurate </w:t>
      </w:r>
      <w:r w:rsidR="004A4A1E">
        <w:t>depiction of current labour market conditions.</w:t>
      </w:r>
    </w:p>
    <w:p w14:paraId="12DD7D16" w14:textId="42346E47" w:rsidR="004263C1" w:rsidRDefault="00F74044" w:rsidP="00B00FCB">
      <w:r>
        <w:t xml:space="preserve">In its </w:t>
      </w:r>
      <w:hyperlink r:id="rId12" w:history="1">
        <w:r w:rsidRPr="00F74044">
          <w:rPr>
            <w:rStyle w:val="Hyperlink"/>
          </w:rPr>
          <w:t>latest update</w:t>
        </w:r>
      </w:hyperlink>
      <w:r>
        <w:t xml:space="preserve"> in July, the Office for National Statistics announced that methodological improvements to the Labour Force Survey will take at least six months longer </w:t>
      </w:r>
      <w:r w:rsidR="00E1763F">
        <w:t xml:space="preserve">to implement </w:t>
      </w:r>
      <w:r>
        <w:t xml:space="preserve">than </w:t>
      </w:r>
      <w:r w:rsidR="00E809F0">
        <w:t xml:space="preserve">it had originally </w:t>
      </w:r>
      <w:r>
        <w:t>hoped</w:t>
      </w:r>
      <w:r w:rsidR="00E1763F">
        <w:t xml:space="preserve">. </w:t>
      </w:r>
      <w:r w:rsidR="00E6145C">
        <w:t>Even i</w:t>
      </w:r>
      <w:r w:rsidR="00E1763F">
        <w:t xml:space="preserve">n a </w:t>
      </w:r>
      <w:r w:rsidR="00A319B5">
        <w:t>best-case</w:t>
      </w:r>
      <w:r w:rsidR="00E1763F">
        <w:t xml:space="preserve"> scenario, this means the UK will </w:t>
      </w:r>
      <w:r w:rsidR="00A319B5">
        <w:t xml:space="preserve">have </w:t>
      </w:r>
      <w:r w:rsidR="00E6145C">
        <w:t xml:space="preserve">been </w:t>
      </w:r>
      <w:r w:rsidR="00A319B5">
        <w:t xml:space="preserve">without reliable data </w:t>
      </w:r>
      <w:r w:rsidR="00E6145C">
        <w:t xml:space="preserve">for 18 months </w:t>
      </w:r>
      <w:r w:rsidR="00A319B5">
        <w:t>for its headline measures of employment</w:t>
      </w:r>
      <w:r w:rsidR="008B6907">
        <w:t xml:space="preserve"> and</w:t>
      </w:r>
      <w:r w:rsidR="00A319B5">
        <w:t xml:space="preserve"> unemployment, </w:t>
      </w:r>
      <w:r w:rsidR="008B6907">
        <w:t>as well as</w:t>
      </w:r>
      <w:r w:rsidR="00A319B5">
        <w:t xml:space="preserve"> a host of other labour market </w:t>
      </w:r>
      <w:r w:rsidR="00E6145C">
        <w:t>indicators</w:t>
      </w:r>
      <w:r w:rsidR="00A319B5">
        <w:t xml:space="preserve">. What's more, </w:t>
      </w:r>
      <w:r w:rsidR="00E6145C">
        <w:t xml:space="preserve">the data deficiency </w:t>
      </w:r>
      <w:r w:rsidR="00A319B5">
        <w:t xml:space="preserve">has coincided with </w:t>
      </w:r>
      <w:r w:rsidR="00E6145C">
        <w:t xml:space="preserve">a period when </w:t>
      </w:r>
      <w:r w:rsidR="00A319B5">
        <w:t xml:space="preserve">the tightness of the labour market </w:t>
      </w:r>
      <w:r w:rsidR="00E6145C">
        <w:t xml:space="preserve">is </w:t>
      </w:r>
      <w:r w:rsidR="00A319B5">
        <w:t xml:space="preserve">central </w:t>
      </w:r>
      <w:r w:rsidR="00BC4BBB">
        <w:t>to the decision-making of the Bank of England's Monetary Policy Committee.</w:t>
      </w:r>
    </w:p>
    <w:p w14:paraId="0475DE01" w14:textId="1BB43414" w:rsidR="004263C1" w:rsidRDefault="00BC4BBB" w:rsidP="004263C1">
      <w:r>
        <w:t>We have fill</w:t>
      </w:r>
      <w:r w:rsidR="00E6145C">
        <w:t>ed</w:t>
      </w:r>
      <w:r>
        <w:t xml:space="preserve"> the void with </w:t>
      </w:r>
      <w:hyperlink r:id="rId13" w:history="1">
        <w:r w:rsidRPr="00BC4BBB">
          <w:rPr>
            <w:rStyle w:val="Hyperlink"/>
          </w:rPr>
          <w:t>our proprietary high-frequency sentiment dataset</w:t>
        </w:r>
      </w:hyperlink>
      <w:r w:rsidRPr="00BC4BBB">
        <w:t xml:space="preserve">, developed in collaboration with </w:t>
      </w:r>
      <w:hyperlink r:id="rId14" w:history="1">
        <w:r w:rsidRPr="00B16E0E">
          <w:rPr>
            <w:rStyle w:val="Hyperlink"/>
          </w:rPr>
          <w:t>Penta</w:t>
        </w:r>
      </w:hyperlink>
      <w:r>
        <w:t xml:space="preserve">. Our latest update based on data for September </w:t>
      </w:r>
      <w:r w:rsidR="00E6145C">
        <w:t>shows</w:t>
      </w:r>
      <w:r>
        <w:t xml:space="preserve"> that most of the </w:t>
      </w:r>
      <w:r w:rsidRPr="00BC4BBB">
        <w:t>individual sentiment series for labour market-related topics used in our nowcasting indicators</w:t>
      </w:r>
      <w:r>
        <w:t xml:space="preserve"> have fallen sharply in recent months (</w:t>
      </w:r>
      <w:r w:rsidR="006F4964" w:rsidRPr="002C6B3C">
        <w:rPr>
          <w:b/>
          <w:color w:val="003469"/>
        </w:rPr>
        <w:fldChar w:fldCharType="begin"/>
      </w:r>
      <w:r w:rsidR="002C6B3C" w:rsidRPr="002C6B3C">
        <w:rPr>
          <w:b/>
          <w:color w:val="003469"/>
        </w:rPr>
        <w:instrText xml:space="preserve">REF _Ref179573771 \h \* Charformat </w:instrText>
      </w:r>
      <w:r w:rsidR="002C6B3C" w:rsidRPr="002C6B3C">
        <w:rPr>
          <w:b/>
          <w:color w:val="003469"/>
        </w:rPr>
      </w:r>
      <w:r w:rsidR="006F4964" w:rsidRPr="002C6B3C">
        <w:rPr>
          <w:b/>
          <w:color w:val="003469"/>
        </w:rPr>
        <w:fldChar w:fldCharType="separate"/>
      </w:r>
      <w:r w:rsidR="00A1373F" w:rsidRPr="00A1373F">
        <w:rPr>
          <w:b/>
          <w:color w:val="003469"/>
        </w:rPr>
        <w:t>Chart 1</w:t>
      </w:r>
      <w:r w:rsidR="006F4964" w:rsidRPr="002C6B3C">
        <w:rPr>
          <w:b/>
          <w:color w:val="003469"/>
        </w:rPr>
        <w:fldChar w:fldCharType="end"/>
      </w:r>
      <w:r>
        <w:t>).</w:t>
      </w:r>
    </w:p>
    <w:p w14:paraId="1279659A" w14:textId="6F86D25C" w:rsidR="00B00FCB" w:rsidRDefault="00B00FCB" w:rsidP="004263C1">
      <w:pPr>
        <w:pStyle w:val="ExhibitTitle"/>
        <w:jc w:val="center"/>
      </w:pPr>
      <w:bookmarkStart w:id="0" w:name="_Ref179573771"/>
      <w:r>
        <w:t xml:space="preserve">Chart </w:t>
      </w:r>
      <w:r>
        <w:fldChar w:fldCharType="begin"/>
      </w:r>
      <w:r w:rsidR="004263C1">
        <w:instrText>SEQ CHART</w:instrText>
      </w:r>
      <w:r>
        <w:fldChar w:fldCharType="separate"/>
      </w:r>
      <w:r w:rsidR="00A1373F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A604FB">
        <w:t>Labour market sentiment has deteriorated sharply in recent months</w:t>
      </w:r>
    </w:p>
    <w:p w14:paraId="111E4A36" w14:textId="0D498AF4" w:rsidR="004263C1" w:rsidRDefault="004263C1" w:rsidP="004263C1">
      <w:pPr>
        <w:spacing w:after="0"/>
        <w:jc w:val="center"/>
      </w:pPr>
      <w:r>
        <w:rPr>
          <w:noProof/>
        </w:rPr>
        <w:drawing>
          <wp:inline distT="0" distB="0" distL="0" distR="0" wp14:anchorId="59645A0D" wp14:editId="1997F1EE">
            <wp:extent cx="4006964" cy="3140642"/>
            <wp:effectExtent l="0" t="0" r="0" b="3175"/>
            <wp:docPr id="2132700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003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F230" w14:textId="3716C55C" w:rsidR="004263C1" w:rsidRDefault="004263C1" w:rsidP="004263C1">
      <w:pPr>
        <w:pStyle w:val="ExhibitSource"/>
        <w:jc w:val="center"/>
      </w:pPr>
      <w:r>
        <w:t>Source: Oxford Economics, Penta</w:t>
      </w:r>
    </w:p>
    <w:p w14:paraId="716774AE" w14:textId="588F3375" w:rsidR="000E54BA" w:rsidRPr="000E54BA" w:rsidRDefault="000E54BA" w:rsidP="000E54BA">
      <w:pPr>
        <w:sectPr w:rsidR="000E54BA" w:rsidRPr="000E54BA" w:rsidSect="004263C1">
          <w:headerReference w:type="even" r:id="rId17"/>
          <w:headerReference w:type="default" r:id="rId18"/>
          <w:footerReference w:type="default" r:id="rId19"/>
          <w:headerReference w:type="first" r:id="rId20"/>
          <w:footerReference w:type="first" r:id="rId21"/>
          <w:pgSz w:w="11906" w:h="16838"/>
          <w:pgMar w:top="2665" w:right="1276" w:bottom="1218" w:left="1134" w:header="708" w:footer="300" w:gutter="0"/>
          <w:cols w:space="708"/>
          <w:titlePg/>
          <w:docGrid w:linePitch="360"/>
        </w:sectPr>
      </w:pPr>
    </w:p>
    <w:p w14:paraId="383992BC" w14:textId="679926C3" w:rsidR="00B00FCB" w:rsidRDefault="00EB2646" w:rsidP="00B00FCB">
      <w:r>
        <w:lastRenderedPageBreak/>
        <w:t>Th</w:t>
      </w:r>
      <w:r w:rsidR="00537E69">
        <w:t xml:space="preserve">ere's been a notable divergence between the scores for </w:t>
      </w:r>
      <w:r w:rsidR="00E6145C">
        <w:t xml:space="preserve">talent </w:t>
      </w:r>
      <w:r>
        <w:t xml:space="preserve">and HR and </w:t>
      </w:r>
      <w:r w:rsidR="00537E69">
        <w:t xml:space="preserve">recruitment. That the </w:t>
      </w:r>
      <w:r w:rsidR="00E6145C">
        <w:t xml:space="preserve">talent </w:t>
      </w:r>
      <w:r w:rsidR="00537E69">
        <w:t>and HR score r</w:t>
      </w:r>
      <w:r>
        <w:t>emain</w:t>
      </w:r>
      <w:r w:rsidR="00537E69">
        <w:t>s</w:t>
      </w:r>
      <w:r>
        <w:t xml:space="preserve"> above </w:t>
      </w:r>
      <w:r w:rsidR="00537E69">
        <w:t>its</w:t>
      </w:r>
      <w:r>
        <w:t xml:space="preserve"> long-run average</w:t>
      </w:r>
      <w:r w:rsidR="00537E69">
        <w:t xml:space="preserve"> </w:t>
      </w:r>
      <w:r>
        <w:t>s</w:t>
      </w:r>
      <w:r w:rsidR="00537E69">
        <w:t xml:space="preserve">uggests that firms continue to place a high value on retaining staff. But with the recruitment score well below historical norms, many firms are not expanding headcount. This is consistent with </w:t>
      </w:r>
      <w:r w:rsidR="00BA443B">
        <w:t>ONS data</w:t>
      </w:r>
      <w:r w:rsidR="003066EE">
        <w:t>,</w:t>
      </w:r>
      <w:r w:rsidR="00BA443B">
        <w:t xml:space="preserve"> </w:t>
      </w:r>
      <w:r w:rsidR="003066EE">
        <w:t>which shows low r</w:t>
      </w:r>
      <w:r w:rsidR="008142D0">
        <w:t xml:space="preserve">edundancies and </w:t>
      </w:r>
      <w:r w:rsidR="003066EE">
        <w:t xml:space="preserve">falling </w:t>
      </w:r>
      <w:r w:rsidR="00BA443B">
        <w:t>vacancies.</w:t>
      </w:r>
    </w:p>
    <w:p w14:paraId="2FBEC2B7" w14:textId="5ECE0B23" w:rsidR="00FB6B9B" w:rsidRDefault="002D323F" w:rsidP="00624FD4">
      <w:pPr>
        <w:pStyle w:val="Heading3"/>
      </w:pPr>
      <w:r>
        <w:t>The labour market is probably looser than LFS data suggest</w:t>
      </w:r>
    </w:p>
    <w:p w14:paraId="32035422" w14:textId="4018C2D8" w:rsidR="00FB6B9B" w:rsidRDefault="002D323F" w:rsidP="00B00FCB">
      <w:r>
        <w:t>Our sentiment data-based employment nowcast</w:t>
      </w:r>
      <w:r w:rsidR="00FF15AC">
        <w:t xml:space="preserve"> had shown employment growth steadily cooling for much of the past two years</w:t>
      </w:r>
      <w:r w:rsidR="00A71DF0">
        <w:t>, but it</w:t>
      </w:r>
      <w:r w:rsidR="00FF15AC">
        <w:t xml:space="preserve"> has stabilised </w:t>
      </w:r>
      <w:r w:rsidR="00FD015F">
        <w:t>recently</w:t>
      </w:r>
      <w:r w:rsidR="00A71DF0">
        <w:t xml:space="preserve">. We </w:t>
      </w:r>
      <w:r w:rsidR="00FD015F">
        <w:t xml:space="preserve">think </w:t>
      </w:r>
      <w:r w:rsidR="00A71DF0">
        <w:t xml:space="preserve">this </w:t>
      </w:r>
      <w:r w:rsidR="00FD015F">
        <w:t>is</w:t>
      </w:r>
      <w:r w:rsidR="008D60D7">
        <w:t xml:space="preserve"> </w:t>
      </w:r>
      <w:r w:rsidR="00FF15AC">
        <w:t>consistent with firms seeking to retain staff</w:t>
      </w:r>
      <w:r w:rsidR="008035E0">
        <w:t xml:space="preserve"> (</w:t>
      </w:r>
      <w:r w:rsidR="006F4964" w:rsidRPr="002C6B3C">
        <w:rPr>
          <w:b/>
          <w:color w:val="003469"/>
        </w:rPr>
        <w:fldChar w:fldCharType="begin"/>
      </w:r>
      <w:r w:rsidR="002C6B3C" w:rsidRPr="002C6B3C">
        <w:rPr>
          <w:b/>
          <w:color w:val="003469"/>
        </w:rPr>
        <w:instrText xml:space="preserve">REF _Ref179573772 \h \* Charformat </w:instrText>
      </w:r>
      <w:r w:rsidR="002C6B3C" w:rsidRPr="002C6B3C">
        <w:rPr>
          <w:b/>
          <w:color w:val="003469"/>
        </w:rPr>
      </w:r>
      <w:r w:rsidR="006F4964" w:rsidRPr="002C6B3C">
        <w:rPr>
          <w:b/>
          <w:color w:val="003469"/>
        </w:rPr>
        <w:fldChar w:fldCharType="separate"/>
      </w:r>
      <w:r w:rsidR="00A1373F" w:rsidRPr="00A1373F">
        <w:rPr>
          <w:b/>
          <w:color w:val="003469"/>
        </w:rPr>
        <w:t>Chart 2</w:t>
      </w:r>
      <w:r w:rsidR="006F4964" w:rsidRPr="002C6B3C">
        <w:rPr>
          <w:b/>
          <w:color w:val="003469"/>
        </w:rPr>
        <w:fldChar w:fldCharType="end"/>
      </w:r>
      <w:r w:rsidR="008035E0">
        <w:t xml:space="preserve">). </w:t>
      </w:r>
      <w:r w:rsidR="00FD015F">
        <w:t>Still</w:t>
      </w:r>
      <w:r w:rsidR="00FF15AC">
        <w:t>, our indicator suggests labour demand is weaker than either of the ONS series or HMRC's measure of payrolled employees report.</w:t>
      </w:r>
    </w:p>
    <w:p w14:paraId="47C21A15" w14:textId="16AD2DE4" w:rsidR="00B00FCB" w:rsidRDefault="00B00FCB" w:rsidP="00624FD4">
      <w:pPr>
        <w:pStyle w:val="ExhibitTitle"/>
      </w:pPr>
      <w:bookmarkStart w:id="1" w:name="_Ref179573772"/>
      <w:r>
        <w:t xml:space="preserve">Chart </w:t>
      </w:r>
      <w:r>
        <w:fldChar w:fldCharType="begin"/>
      </w:r>
      <w:r w:rsidR="00A1373F">
        <w:instrText>SEQ CHART</w:instrText>
      </w:r>
      <w:r>
        <w:fldChar w:fldCharType="separate"/>
      </w:r>
      <w:r w:rsidR="00A1373F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FF15AC">
        <w:t>Our sentiment-based nowcast shows weaker labour demand than other sources</w:t>
      </w:r>
    </w:p>
    <w:p w14:paraId="0C9D0B2A" w14:textId="511B9C5D" w:rsidR="00A1373F" w:rsidRDefault="00A1373F" w:rsidP="00624FD4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B4A7C85" wp14:editId="42199933">
            <wp:extent cx="3250933" cy="2548068"/>
            <wp:effectExtent l="0" t="0" r="6985" b="5080"/>
            <wp:docPr id="1214224021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2402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4D44" w14:textId="2629F6CE" w:rsidR="00B00FCB" w:rsidRDefault="00A1373F" w:rsidP="00624FD4">
      <w:pPr>
        <w:pStyle w:val="ExhibitSource"/>
      </w:pPr>
      <w:r>
        <w:t>Source: Oxford Economics, Penta, Haver Analytics</w:t>
      </w:r>
    </w:p>
    <w:p w14:paraId="48DFCEB6" w14:textId="6EF2766E" w:rsidR="00B00FCB" w:rsidRDefault="00FF15AC" w:rsidP="00B00FCB">
      <w:r>
        <w:t>The LFS problems mean we don't have reliable data on labour supply</w:t>
      </w:r>
      <w:r w:rsidR="00FD015F">
        <w:t>.</w:t>
      </w:r>
      <w:r>
        <w:t xml:space="preserve"> </w:t>
      </w:r>
      <w:r w:rsidR="00FD015F">
        <w:t>B</w:t>
      </w:r>
      <w:r>
        <w:t xml:space="preserve">ut </w:t>
      </w:r>
      <w:r w:rsidR="00DB252C">
        <w:t xml:space="preserve">widespread evidence of cooling labour demand means </w:t>
      </w:r>
      <w:r>
        <w:t xml:space="preserve">we think the </w:t>
      </w:r>
      <w:hyperlink r:id="rId24" w:history="1">
        <w:r w:rsidRPr="006B7FC3">
          <w:rPr>
            <w:rStyle w:val="Hyperlink"/>
          </w:rPr>
          <w:t xml:space="preserve">recent </w:t>
        </w:r>
        <w:r w:rsidR="00B67906" w:rsidRPr="006B7FC3">
          <w:rPr>
            <w:rStyle w:val="Hyperlink"/>
          </w:rPr>
          <w:t>downward trend</w:t>
        </w:r>
      </w:hyperlink>
      <w:r w:rsidR="00B67906">
        <w:t xml:space="preserve"> in</w:t>
      </w:r>
      <w:r>
        <w:t xml:space="preserve"> the </w:t>
      </w:r>
      <w:r w:rsidR="00DB252C">
        <w:t>unemployment rate is almost certainly misleading (</w:t>
      </w:r>
      <w:r w:rsidR="006F4964" w:rsidRPr="002C6B3C">
        <w:rPr>
          <w:b/>
          <w:color w:val="003469"/>
        </w:rPr>
        <w:fldChar w:fldCharType="begin"/>
      </w:r>
      <w:r w:rsidR="002C6B3C" w:rsidRPr="002C6B3C">
        <w:rPr>
          <w:b/>
          <w:color w:val="003469"/>
        </w:rPr>
        <w:instrText xml:space="preserve">REF _Ref179573773 \h \* Charformat </w:instrText>
      </w:r>
      <w:r w:rsidR="002C6B3C" w:rsidRPr="002C6B3C">
        <w:rPr>
          <w:b/>
          <w:color w:val="003469"/>
        </w:rPr>
      </w:r>
      <w:r w:rsidR="006F4964" w:rsidRPr="002C6B3C">
        <w:rPr>
          <w:b/>
          <w:color w:val="003469"/>
        </w:rPr>
        <w:fldChar w:fldCharType="separate"/>
      </w:r>
      <w:r w:rsidR="00A1373F" w:rsidRPr="00A1373F">
        <w:rPr>
          <w:b/>
          <w:color w:val="003469"/>
        </w:rPr>
        <w:t>Chart 3</w:t>
      </w:r>
      <w:r w:rsidR="006F4964" w:rsidRPr="002C6B3C">
        <w:rPr>
          <w:b/>
          <w:color w:val="003469"/>
        </w:rPr>
        <w:fldChar w:fldCharType="end"/>
      </w:r>
      <w:r w:rsidR="00DB252C">
        <w:t>)</w:t>
      </w:r>
      <w:r w:rsidR="00B00FCB">
        <w:t xml:space="preserve">. </w:t>
      </w:r>
      <w:r w:rsidR="00B67906">
        <w:t>T</w:t>
      </w:r>
      <w:r w:rsidR="00B67906" w:rsidRPr="00B67906">
        <w:t xml:space="preserve">he </w:t>
      </w:r>
      <w:r w:rsidR="00523AFD" w:rsidRPr="00B67906">
        <w:t>single</w:t>
      </w:r>
      <w:r w:rsidR="00946ADA">
        <w:t>-</w:t>
      </w:r>
      <w:r w:rsidR="00523AFD" w:rsidRPr="00B67906">
        <w:t>month</w:t>
      </w:r>
      <w:r w:rsidR="00B67906" w:rsidRPr="00B67906">
        <w:t xml:space="preserve"> estimates that underpin the </w:t>
      </w:r>
      <w:r w:rsidR="00B67906">
        <w:t xml:space="preserve">latest </w:t>
      </w:r>
      <w:r w:rsidR="00B67906" w:rsidRPr="00B67906">
        <w:t>three-month average</w:t>
      </w:r>
      <w:r w:rsidR="00B67906">
        <w:t xml:space="preserve"> of 4%</w:t>
      </w:r>
      <w:r w:rsidR="00B67906" w:rsidRPr="00B67906">
        <w:t xml:space="preserve"> demonstrate the scale of the volatility problem that the O</w:t>
      </w:r>
      <w:r w:rsidR="00890A42">
        <w:t xml:space="preserve">NS </w:t>
      </w:r>
      <w:r w:rsidR="00B67906" w:rsidRPr="00B67906">
        <w:t xml:space="preserve">is struggling to </w:t>
      </w:r>
      <w:r w:rsidR="00FD015F">
        <w:t>tackle</w:t>
      </w:r>
      <w:r w:rsidR="00B67906" w:rsidRPr="00B67906">
        <w:t>, with the three estimates ranging from 3.7% to 4.</w:t>
      </w:r>
      <w:r w:rsidR="00307495">
        <w:t>3</w:t>
      </w:r>
      <w:r w:rsidR="00B67906" w:rsidRPr="00B67906">
        <w:t>%</w:t>
      </w:r>
      <w:r w:rsidR="008142D0">
        <w:t>. When June's very low reading drops out of the three-month average next month, the unemployment rate will spike up again.</w:t>
      </w:r>
    </w:p>
    <w:p w14:paraId="3B1B3DEB" w14:textId="2F22F8C5" w:rsidR="00B00FCB" w:rsidRDefault="00B00FCB" w:rsidP="00624FD4">
      <w:pPr>
        <w:pStyle w:val="ExhibitTitle"/>
      </w:pPr>
      <w:bookmarkStart w:id="2" w:name="_Ref179573773"/>
      <w:r>
        <w:t xml:space="preserve">Chart </w:t>
      </w:r>
      <w:r>
        <w:fldChar w:fldCharType="begin"/>
      </w:r>
      <w:r w:rsidR="008714FF">
        <w:instrText>SEQ CHART</w:instrText>
      </w:r>
      <w:r>
        <w:fldChar w:fldCharType="separate"/>
      </w:r>
      <w:r w:rsidR="00A1373F">
        <w:rPr>
          <w:noProof/>
        </w:rPr>
        <w:t>3</w:t>
      </w:r>
      <w:r>
        <w:fldChar w:fldCharType="end"/>
      </w:r>
      <w:bookmarkEnd w:id="2"/>
      <w:r>
        <w:t>:</w:t>
      </w:r>
      <w:r w:rsidR="00523AFD">
        <w:t xml:space="preserve"> L</w:t>
      </w:r>
      <w:r w:rsidR="00523AFD" w:rsidRPr="00523AFD">
        <w:t>abour Force Survey data remains beset by volatility</w:t>
      </w:r>
    </w:p>
    <w:p w14:paraId="3EB56011" w14:textId="7D59B5E3" w:rsidR="008714FF" w:rsidRDefault="008714FF" w:rsidP="00624FD4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75A3D147" wp14:editId="6DD35FE4">
            <wp:extent cx="3250933" cy="2548068"/>
            <wp:effectExtent l="0" t="0" r="6985" b="5080"/>
            <wp:docPr id="9319700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005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20B0" w14:textId="33C5A9FB" w:rsidR="00B00FCB" w:rsidRDefault="008714FF" w:rsidP="00624FD4">
      <w:pPr>
        <w:pStyle w:val="ExhibitSource"/>
      </w:pPr>
      <w:r>
        <w:t>Source: Haver Analytics</w:t>
      </w:r>
    </w:p>
    <w:p w14:paraId="6252A8E1" w14:textId="786FC57B" w:rsidR="00731702" w:rsidRDefault="00731702" w:rsidP="00B00FCB">
      <w:r>
        <w:lastRenderedPageBreak/>
        <w:t>T</w:t>
      </w:r>
      <w:r w:rsidR="008142D0" w:rsidRPr="008142D0">
        <w:t>he single</w:t>
      </w:r>
      <w:r w:rsidR="00946ADA">
        <w:t>-</w:t>
      </w:r>
      <w:r w:rsidR="008142D0" w:rsidRPr="008142D0">
        <w:t>month observations resemble a collection of random dots with no obvious trend or pattern. So it's clear that this data offers little insight into what's currently happening in the labour market</w:t>
      </w:r>
      <w:r w:rsidR="00B00FCB">
        <w:t xml:space="preserve">. </w:t>
      </w:r>
      <w:r w:rsidR="008142D0">
        <w:t>We think</w:t>
      </w:r>
      <w:r>
        <w:t xml:space="preserve"> the most likely story is that labour market conditions are continuing to gradually loosen, with strong inward migration flows keeping labour supply growing, while labour demand continues to soften.</w:t>
      </w:r>
    </w:p>
    <w:p w14:paraId="7AC57A1F" w14:textId="2CFCF0BE" w:rsidR="00B00FCB" w:rsidRDefault="00731702" w:rsidP="00624FD4">
      <w:pPr>
        <w:pStyle w:val="Heading3"/>
      </w:pPr>
      <w:r>
        <w:t xml:space="preserve">Pay growth has cooled </w:t>
      </w:r>
      <w:r w:rsidR="00FB6A11">
        <w:t>significantly compared with a year ago</w:t>
      </w:r>
    </w:p>
    <w:p w14:paraId="0151EDC3" w14:textId="66B9FFDE" w:rsidR="00B00FCB" w:rsidRDefault="00FB6A11" w:rsidP="00B00FCB">
      <w:r>
        <w:t>Official data has shown a steady drop in headline (three-month average of the annual rate) private sector regular pay growth this year, partly reflecting strong base effects and partly due to cooling momentum</w:t>
      </w:r>
      <w:r w:rsidR="00B00FCB">
        <w:t xml:space="preserve">. </w:t>
      </w:r>
      <w:r>
        <w:t>The steep decline in our sentiment score for re</w:t>
      </w:r>
      <w:r w:rsidR="00946ADA">
        <w:t>m</w:t>
      </w:r>
      <w:r>
        <w:t>u</w:t>
      </w:r>
      <w:r w:rsidR="00946ADA">
        <w:t>n</w:t>
      </w:r>
      <w:r>
        <w:t xml:space="preserve">eration is reflected in our nowcast showing a more </w:t>
      </w:r>
      <w:r w:rsidR="003922A8">
        <w:t>abrupt</w:t>
      </w:r>
      <w:r>
        <w:t xml:space="preserve"> slowdown in pay growth than official data during the summer. Our pay indicator has subsequently stabilised at around 4% year-on-year (</w:t>
      </w:r>
      <w:r w:rsidR="006F4964" w:rsidRPr="002C6B3C">
        <w:rPr>
          <w:b/>
          <w:color w:val="003469"/>
        </w:rPr>
        <w:fldChar w:fldCharType="begin"/>
      </w:r>
      <w:r w:rsidR="002C6B3C" w:rsidRPr="002C6B3C">
        <w:rPr>
          <w:b/>
          <w:color w:val="003469"/>
        </w:rPr>
        <w:instrText xml:space="preserve">REF _Ref179573774 \h \* Charformat </w:instrText>
      </w:r>
      <w:r w:rsidR="002C6B3C" w:rsidRPr="002C6B3C">
        <w:rPr>
          <w:b/>
          <w:color w:val="003469"/>
        </w:rPr>
      </w:r>
      <w:r w:rsidR="006F4964" w:rsidRPr="002C6B3C">
        <w:rPr>
          <w:b/>
          <w:color w:val="003469"/>
        </w:rPr>
        <w:fldChar w:fldCharType="separate"/>
      </w:r>
      <w:r w:rsidR="00A1373F" w:rsidRPr="00A1373F">
        <w:rPr>
          <w:b/>
          <w:color w:val="003469"/>
        </w:rPr>
        <w:t>Chart 4</w:t>
      </w:r>
      <w:r w:rsidR="006F4964" w:rsidRPr="002C6B3C">
        <w:rPr>
          <w:b/>
          <w:color w:val="003469"/>
        </w:rPr>
        <w:fldChar w:fldCharType="end"/>
      </w:r>
      <w:r>
        <w:t xml:space="preserve">). </w:t>
      </w:r>
      <w:r w:rsidR="00B70E4A">
        <w:t xml:space="preserve">The </w:t>
      </w:r>
      <w:hyperlink r:id="rId27" w:history="1">
        <w:r w:rsidR="00B70E4A" w:rsidRPr="00B70E4A">
          <w:rPr>
            <w:rStyle w:val="Hyperlink"/>
          </w:rPr>
          <w:t>Brightmine (formerly XpertHR) survey</w:t>
        </w:r>
      </w:hyperlink>
      <w:r w:rsidR="00B70E4A">
        <w:t xml:space="preserve"> tells a similar story to our indicator.</w:t>
      </w:r>
    </w:p>
    <w:p w14:paraId="433AFCBF" w14:textId="30198402" w:rsidR="00597958" w:rsidRDefault="00597958" w:rsidP="00624FD4">
      <w:pPr>
        <w:pStyle w:val="ExhibitTitle"/>
      </w:pPr>
      <w:bookmarkStart w:id="3" w:name="_Ref179573774"/>
      <w:r>
        <w:t xml:space="preserve">Chart </w:t>
      </w:r>
      <w:r>
        <w:fldChar w:fldCharType="begin"/>
      </w:r>
      <w:r w:rsidR="00684DEF">
        <w:instrText>SEQ CHART</w:instrText>
      </w:r>
      <w:r>
        <w:fldChar w:fldCharType="separate"/>
      </w:r>
      <w:r w:rsidR="00A1373F">
        <w:rPr>
          <w:noProof/>
        </w:rPr>
        <w:t>4</w:t>
      </w:r>
      <w:r>
        <w:fldChar w:fldCharType="end"/>
      </w:r>
      <w:bookmarkEnd w:id="3"/>
      <w:r>
        <w:t xml:space="preserve">: </w:t>
      </w:r>
      <w:r w:rsidR="00E736AC">
        <w:t>Our wage indicator reports a marked slowdown in pay growth</w:t>
      </w:r>
    </w:p>
    <w:p w14:paraId="5344BAFB" w14:textId="5DBCA3B4" w:rsidR="00684DEF" w:rsidRDefault="00684DEF" w:rsidP="00624FD4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8E12462" wp14:editId="1FE8717D">
            <wp:extent cx="3250933" cy="2548068"/>
            <wp:effectExtent l="0" t="0" r="6985" b="5080"/>
            <wp:docPr id="79202465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2465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9962" w14:textId="08973493" w:rsidR="00597958" w:rsidRDefault="00684DEF" w:rsidP="00624FD4">
      <w:pPr>
        <w:pStyle w:val="ExhibitSource"/>
      </w:pPr>
      <w:r>
        <w:t>Source: Oxford Economics, Penta, Haver Analytics</w:t>
      </w:r>
    </w:p>
    <w:p w14:paraId="07186597" w14:textId="326F2274" w:rsidR="00597958" w:rsidRDefault="00E736AC" w:rsidP="00624FD4">
      <w:pPr>
        <w:pStyle w:val="Heading3"/>
      </w:pPr>
      <w:r>
        <w:t xml:space="preserve">Nowcasts </w:t>
      </w:r>
      <w:r w:rsidR="00FD015F">
        <w:t>add to the case</w:t>
      </w:r>
      <w:r>
        <w:t xml:space="preserve"> </w:t>
      </w:r>
      <w:r w:rsidR="00FD015F">
        <w:t>for</w:t>
      </w:r>
      <w:r>
        <w:t xml:space="preserve"> faster rate cuts</w:t>
      </w:r>
    </w:p>
    <w:p w14:paraId="62BEE31D" w14:textId="233C4BFD" w:rsidR="00FD015F" w:rsidRDefault="00C202D4" w:rsidP="00B00FCB">
      <w:r>
        <w:t xml:space="preserve">In </w:t>
      </w:r>
      <w:hyperlink r:id="rId30" w:history="1">
        <w:r w:rsidRPr="00C202D4">
          <w:rPr>
            <w:rStyle w:val="Hyperlink"/>
          </w:rPr>
          <w:t>recent meetings</w:t>
        </w:r>
      </w:hyperlink>
      <w:r w:rsidR="008315BE">
        <w:rPr>
          <w:rStyle w:val="Hyperlink"/>
        </w:rPr>
        <w:t>,</w:t>
      </w:r>
      <w:r>
        <w:t xml:space="preserve"> the </w:t>
      </w:r>
      <w:r w:rsidR="00433DC0">
        <w:t>MPC</w:t>
      </w:r>
      <w:r>
        <w:t xml:space="preserve"> has split into </w:t>
      </w:r>
      <w:r w:rsidR="007A6CA8">
        <w:t>three</w:t>
      </w:r>
      <w:r>
        <w:t xml:space="preserve"> distinct camps. The more hawkish minority has opposed rate cuts on the basis that measures of underlying</w:t>
      </w:r>
      <w:r w:rsidR="00DA7F4A">
        <w:t xml:space="preserve"> domestic </w:t>
      </w:r>
      <w:r>
        <w:t>inflation</w:t>
      </w:r>
      <w:r w:rsidR="00DA7F4A">
        <w:t>ary pressures have become well entrenched and there</w:t>
      </w:r>
      <w:r w:rsidR="007A6CA8">
        <w:t>'</w:t>
      </w:r>
      <w:r w:rsidR="00DA7F4A">
        <w:t>s a risk that enduring structural changes could ensure they persist</w:t>
      </w:r>
      <w:r w:rsidR="00B70E4A">
        <w:t xml:space="preserve"> </w:t>
      </w:r>
      <w:r w:rsidR="00B70E4A" w:rsidRPr="00B70E4A">
        <w:t>unless the jobless rate rises significantly</w:t>
      </w:r>
      <w:r w:rsidR="00DA7F4A">
        <w:t xml:space="preserve">. </w:t>
      </w:r>
    </w:p>
    <w:p w14:paraId="7C032440" w14:textId="263C10CB" w:rsidR="00651453" w:rsidRDefault="00FD015F" w:rsidP="00B00FCB">
      <w:r>
        <w:t xml:space="preserve">In </w:t>
      </w:r>
      <w:r w:rsidR="00DA7F4A">
        <w:t>contrast, most of the dovish majority were more confident that underlying inflationary pressures were dissipating</w:t>
      </w:r>
      <w:r w:rsidR="00B70E4A" w:rsidRPr="00B70E4A">
        <w:t xml:space="preserve"> even without a significant rise in unemployment</w:t>
      </w:r>
      <w:r w:rsidR="00DA7F4A">
        <w:t>, to the extent that they felt comfortable reducing the degree of policy restrictiveness.</w:t>
      </w:r>
      <w:r w:rsidR="00651453">
        <w:t xml:space="preserve"> </w:t>
      </w:r>
      <w:r w:rsidR="00B86962">
        <w:t xml:space="preserve">Swati Dhingra thinks that the </w:t>
      </w:r>
      <w:r w:rsidR="005B7BEC">
        <w:t>MPC</w:t>
      </w:r>
      <w:r w:rsidR="00B86962">
        <w:t xml:space="preserve"> risks falling behind the curve given the lags in policy </w:t>
      </w:r>
      <w:r w:rsidR="00A00A40">
        <w:t>transmission and</w:t>
      </w:r>
      <w:r w:rsidR="00B86962">
        <w:t xml:space="preserve"> has voted for successive rate cuts.</w:t>
      </w:r>
    </w:p>
    <w:p w14:paraId="67971CAA" w14:textId="63D99350" w:rsidR="0067333F" w:rsidRDefault="00651453" w:rsidP="00B00FCB">
      <w:r>
        <w:t>For the majority, lingering uncertainty about the strength of underlying</w:t>
      </w:r>
      <w:r w:rsidR="00FD015F">
        <w:t xml:space="preserve"> inflation</w:t>
      </w:r>
      <w:r>
        <w:t xml:space="preserve"> pressures has prompted a cautious approach to rate cuts. But if official data follows the path of our nowcasts, with labour market conditions continuing to loosen and pay growth slowing towards a target-consistent pace, some of this group could </w:t>
      </w:r>
      <w:r w:rsidR="00FD015F">
        <w:t>be motivated</w:t>
      </w:r>
      <w:r>
        <w:t xml:space="preserve"> </w:t>
      </w:r>
      <w:r w:rsidR="00521B13">
        <w:t xml:space="preserve">to </w:t>
      </w:r>
      <w:r w:rsidR="004A4A1E">
        <w:t xml:space="preserve">join Dhingra in </w:t>
      </w:r>
      <w:r w:rsidR="00521B13">
        <w:t>adopt</w:t>
      </w:r>
      <w:r w:rsidR="004A4A1E">
        <w:t>ing</w:t>
      </w:r>
      <w:r w:rsidR="00521B13">
        <w:t xml:space="preserve"> a more aggressive approach to loosening policy.</w:t>
      </w:r>
    </w:p>
    <w:p w14:paraId="2E8FCA9E" w14:textId="437ED989" w:rsidR="00DA7F4A" w:rsidRDefault="00521B13" w:rsidP="00B00FCB">
      <w:r>
        <w:t xml:space="preserve">Still, </w:t>
      </w:r>
      <w:r w:rsidR="00B70E4A">
        <w:t xml:space="preserve">the MPC would also have to </w:t>
      </w:r>
      <w:r w:rsidR="00AD2E64">
        <w:t>consider</w:t>
      </w:r>
      <w:r w:rsidR="00B70E4A">
        <w:t xml:space="preserve"> the effects on the economy of the measures announced in the </w:t>
      </w:r>
      <w:r>
        <w:t>Budget on October 30</w:t>
      </w:r>
      <w:r w:rsidR="00866789">
        <w:t xml:space="preserve">. </w:t>
      </w:r>
      <w:r w:rsidR="00AD2E64">
        <w:t xml:space="preserve">A </w:t>
      </w:r>
      <w:hyperlink r:id="rId31" w:history="1">
        <w:r w:rsidR="00AD2E64" w:rsidRPr="00AD2E64">
          <w:rPr>
            <w:rStyle w:val="Hyperlink"/>
          </w:rPr>
          <w:t>wide range of outcomes are possible</w:t>
        </w:r>
      </w:hyperlink>
      <w:r w:rsidR="00AD2E64">
        <w:t xml:space="preserve"> given the Chancellor appears to be open to changing the fiscal rules. So while </w:t>
      </w:r>
      <w:hyperlink r:id="rId32" w:history="1">
        <w:r w:rsidR="00866789" w:rsidRPr="00866789">
          <w:rPr>
            <w:rStyle w:val="Hyperlink"/>
          </w:rPr>
          <w:t>we think</w:t>
        </w:r>
      </w:hyperlink>
      <w:r w:rsidR="00866789">
        <w:t xml:space="preserve"> the MPC would be keen to respond to signs that pay is slowing more abruptly than anticipated with quicker rate cuts, </w:t>
      </w:r>
      <w:r w:rsidR="00AD2E64">
        <w:t>Budget decisions will also be influential</w:t>
      </w:r>
      <w:r w:rsidR="00866789">
        <w:t>.</w:t>
      </w:r>
    </w:p>
    <w:sectPr w:rsidR="00DA7F4A" w:rsidSect="004263C1">
      <w:pgSz w:w="11906" w:h="16838"/>
      <w:pgMar w:top="1417" w:right="1276" w:bottom="121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5659D" w14:textId="77777777" w:rsidR="00B00FCB" w:rsidRDefault="00B00FCB" w:rsidP="00B00FCB">
      <w:pPr>
        <w:spacing w:before="0" w:after="0"/>
      </w:pPr>
      <w:r>
        <w:separator/>
      </w:r>
    </w:p>
  </w:endnote>
  <w:endnote w:type="continuationSeparator" w:id="0">
    <w:p w14:paraId="27CA17B6" w14:textId="77777777" w:rsidR="00B00FCB" w:rsidRDefault="00B00FCB" w:rsidP="00B00F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8B16B" w14:textId="0DB34731" w:rsidR="00B00FCB" w:rsidRPr="00B00FCB" w:rsidRDefault="00B00FCB" w:rsidP="00B00FCB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Andrew Goodwin - agoodwin@oxfordeconomics.com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88C45" w14:textId="0D0150AC" w:rsidR="00B00FCB" w:rsidRDefault="00B00FCB" w:rsidP="00B00FCB">
    <w:pPr>
      <w:pStyle w:val="Author"/>
    </w:pPr>
    <w:r>
      <w:t>Andrew Goodwin</w:t>
    </w:r>
    <w:r w:rsidR="00624FD4">
      <w:t xml:space="preserve"> - </w:t>
    </w:r>
    <w:r>
      <w:t>Chief UK Economist</w:t>
    </w:r>
    <w:r w:rsidR="00624FD4">
      <w:t xml:space="preserve"> - </w:t>
    </w:r>
    <w:hyperlink r:id="rId1" w:history="1">
      <w:r w:rsidR="000E54BA" w:rsidRPr="00266B12">
        <w:rPr>
          <w:rStyle w:val="Hyperlink"/>
        </w:rPr>
        <w:t>agoodwin@oxfordeconomics.com</w:t>
      </w:r>
    </w:hyperlink>
  </w:p>
  <w:p w14:paraId="5117362A" w14:textId="440C0733" w:rsidR="000E54BA" w:rsidRDefault="000E54BA" w:rsidP="00B00FCB">
    <w:pPr>
      <w:pStyle w:val="Author"/>
    </w:pPr>
    <w:r>
      <w:t>Tomas Dvorak</w:t>
    </w:r>
    <w:r w:rsidR="00624FD4">
      <w:t xml:space="preserve"> - </w:t>
    </w:r>
    <w:r>
      <w:t>Senior Economist</w:t>
    </w:r>
    <w:r w:rsidR="00624FD4">
      <w:t xml:space="preserve"> - </w:t>
    </w:r>
    <w:hyperlink r:id="rId2" w:history="1">
      <w:r w:rsidRPr="00266B12">
        <w:rPr>
          <w:rStyle w:val="Hyperlink"/>
        </w:rPr>
        <w:t>tdvorak@oxfordeconomics.com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995D5" w14:textId="77777777" w:rsidR="00B00FCB" w:rsidRDefault="00B00FCB" w:rsidP="00B00FCB">
      <w:pPr>
        <w:spacing w:before="0" w:after="0"/>
      </w:pPr>
      <w:r>
        <w:separator/>
      </w:r>
    </w:p>
  </w:footnote>
  <w:footnote w:type="continuationSeparator" w:id="0">
    <w:p w14:paraId="05185BEA" w14:textId="77777777" w:rsidR="00B00FCB" w:rsidRDefault="00B00FCB" w:rsidP="00B00F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271A2" w14:textId="77777777" w:rsidR="00B00FCB" w:rsidRDefault="00B00FCB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6C8E2" w14:textId="6A363381" w:rsidR="00B00FCB" w:rsidRDefault="00B00FCB" w:rsidP="00B00FCB">
    <w:pPr>
      <w:pStyle w:val="Headline"/>
      <w:spacing w:before="120"/>
      <w:ind w:right="-1000"/>
    </w:pPr>
    <w:r w:rsidRPr="00B00FCB">
      <w:rPr>
        <w:noProof/>
      </w:rPr>
      <w:drawing>
        <wp:anchor distT="0" distB="0" distL="114300" distR="114300" simplePos="0" relativeHeight="251658239" behindDoc="1" locked="1" layoutInCell="1" allowOverlap="1" wp14:anchorId="3B15A469" wp14:editId="4E6501E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5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741C" w:rsidRPr="00A9741C">
      <w:t>Looser labour market could pave the way for faster rate cuts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E3648" w14:textId="3D14427A" w:rsidR="00B00FCB" w:rsidRDefault="00B00FCB" w:rsidP="00B00FCB">
    <w:r w:rsidRPr="00B00FCB">
      <w:rPr>
        <w:noProof/>
      </w:rPr>
      <w:drawing>
        <wp:anchor distT="0" distB="0" distL="114300" distR="114300" simplePos="0" relativeHeight="251659264" behindDoc="1" locked="1" layoutInCell="1" allowOverlap="1" wp14:anchorId="4D4704B5" wp14:editId="60FCB3B3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10727636"/>
      <w:lock w:val="sdtLocked"/>
      <w:placeholder>
        <w:docPart w:val="DefaultPlaceholder_-1854013437"/>
      </w:placeholder>
      <w:date w:fullDate="2024-10-15T00:00:00Z">
        <w:dateFormat w:val="d MMMM yyyy"/>
        <w:lid w:val="en-GB"/>
        <w:storeMappedDataAs w:val="dateTime"/>
        <w:calendar w:val="gregorian"/>
      </w:date>
    </w:sdtPr>
    <w:sdtEndPr/>
    <w:sdtContent>
      <w:p w14:paraId="7C946838" w14:textId="6406C7B6" w:rsidR="00B00FCB" w:rsidRDefault="00B00FCB" w:rsidP="00B00FCB">
        <w:pPr>
          <w:pStyle w:val="PublishDate"/>
          <w:framePr w:w="2835" w:h="340" w:hRule="exact" w:hSpace="180" w:wrap="around" w:vAnchor="page" w:hAnchor="page" w:x="7801" w:y="601" w:anchorLock="1"/>
        </w:pPr>
        <w:r>
          <w:t>15 October 2024</w:t>
        </w:r>
      </w:p>
    </w:sdtContent>
  </w:sdt>
  <w:p w14:paraId="1903E907" w14:textId="09DB5464" w:rsidR="00B00FCB" w:rsidRDefault="00B00FCB" w:rsidP="00B00FCB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152729FA" w14:textId="0B67D6E9" w:rsidR="00B00FCB" w:rsidRDefault="00A9741C" w:rsidP="00B00FCB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Looser labour market could pave the way for faster rate cuts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  <w:lvlOverride w:ilvl="0">
      <w:startOverride w:val="1"/>
    </w:lvlOverride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FCB"/>
    <w:rsid w:val="00003BA7"/>
    <w:rsid w:val="00022761"/>
    <w:rsid w:val="00051EAE"/>
    <w:rsid w:val="00070536"/>
    <w:rsid w:val="000C0ADF"/>
    <w:rsid w:val="000C4402"/>
    <w:rsid w:val="000D3E43"/>
    <w:rsid w:val="000E2BD3"/>
    <w:rsid w:val="000E54BA"/>
    <w:rsid w:val="000F3F52"/>
    <w:rsid w:val="001018E9"/>
    <w:rsid w:val="00120D7A"/>
    <w:rsid w:val="00124E58"/>
    <w:rsid w:val="00151BEC"/>
    <w:rsid w:val="00160F71"/>
    <w:rsid w:val="0016316B"/>
    <w:rsid w:val="00164BA5"/>
    <w:rsid w:val="0017078A"/>
    <w:rsid w:val="00192CDF"/>
    <w:rsid w:val="001A5775"/>
    <w:rsid w:val="001A6993"/>
    <w:rsid w:val="001A749F"/>
    <w:rsid w:val="001B2B67"/>
    <w:rsid w:val="001B2C32"/>
    <w:rsid w:val="001D7057"/>
    <w:rsid w:val="001E0785"/>
    <w:rsid w:val="001E0C4A"/>
    <w:rsid w:val="001F3317"/>
    <w:rsid w:val="00202BBF"/>
    <w:rsid w:val="00210633"/>
    <w:rsid w:val="00242E5E"/>
    <w:rsid w:val="002615F6"/>
    <w:rsid w:val="00262D94"/>
    <w:rsid w:val="00263E48"/>
    <w:rsid w:val="002745D6"/>
    <w:rsid w:val="00282A8A"/>
    <w:rsid w:val="00286754"/>
    <w:rsid w:val="0029566B"/>
    <w:rsid w:val="002A4525"/>
    <w:rsid w:val="002C6B3C"/>
    <w:rsid w:val="002D0DC9"/>
    <w:rsid w:val="002D323F"/>
    <w:rsid w:val="002E1048"/>
    <w:rsid w:val="002F459D"/>
    <w:rsid w:val="003017D9"/>
    <w:rsid w:val="003066EE"/>
    <w:rsid w:val="00307495"/>
    <w:rsid w:val="0031169C"/>
    <w:rsid w:val="00316CBE"/>
    <w:rsid w:val="003326A7"/>
    <w:rsid w:val="00370974"/>
    <w:rsid w:val="00374E02"/>
    <w:rsid w:val="003922A8"/>
    <w:rsid w:val="003B0CAB"/>
    <w:rsid w:val="003B715A"/>
    <w:rsid w:val="003E7F3C"/>
    <w:rsid w:val="003F0F4E"/>
    <w:rsid w:val="0040359C"/>
    <w:rsid w:val="00405A12"/>
    <w:rsid w:val="00405D65"/>
    <w:rsid w:val="004258C9"/>
    <w:rsid w:val="004263C1"/>
    <w:rsid w:val="00433DC0"/>
    <w:rsid w:val="004458BB"/>
    <w:rsid w:val="004602D9"/>
    <w:rsid w:val="0046292D"/>
    <w:rsid w:val="004677EA"/>
    <w:rsid w:val="004827E3"/>
    <w:rsid w:val="00495DE7"/>
    <w:rsid w:val="004A2A92"/>
    <w:rsid w:val="004A4A1E"/>
    <w:rsid w:val="004B4F66"/>
    <w:rsid w:val="004C7923"/>
    <w:rsid w:val="004D023D"/>
    <w:rsid w:val="004D473F"/>
    <w:rsid w:val="004D5B83"/>
    <w:rsid w:val="004D650E"/>
    <w:rsid w:val="005176F2"/>
    <w:rsid w:val="00521B13"/>
    <w:rsid w:val="00523AFD"/>
    <w:rsid w:val="00535C71"/>
    <w:rsid w:val="00537E69"/>
    <w:rsid w:val="005414BA"/>
    <w:rsid w:val="0054280C"/>
    <w:rsid w:val="005473C6"/>
    <w:rsid w:val="00563FEB"/>
    <w:rsid w:val="00576CB8"/>
    <w:rsid w:val="00586A4D"/>
    <w:rsid w:val="00592138"/>
    <w:rsid w:val="005928C5"/>
    <w:rsid w:val="00597958"/>
    <w:rsid w:val="005B7BEC"/>
    <w:rsid w:val="005F0616"/>
    <w:rsid w:val="006125A3"/>
    <w:rsid w:val="006166EE"/>
    <w:rsid w:val="00624FD4"/>
    <w:rsid w:val="00651453"/>
    <w:rsid w:val="00671564"/>
    <w:rsid w:val="0067333F"/>
    <w:rsid w:val="006739BF"/>
    <w:rsid w:val="0067595A"/>
    <w:rsid w:val="00684DEF"/>
    <w:rsid w:val="006A1630"/>
    <w:rsid w:val="006A676D"/>
    <w:rsid w:val="006B76A5"/>
    <w:rsid w:val="006B7FC3"/>
    <w:rsid w:val="006C7C06"/>
    <w:rsid w:val="006F4964"/>
    <w:rsid w:val="006F60F1"/>
    <w:rsid w:val="00731702"/>
    <w:rsid w:val="00765242"/>
    <w:rsid w:val="007723AE"/>
    <w:rsid w:val="007A0F18"/>
    <w:rsid w:val="007A6CA8"/>
    <w:rsid w:val="007B57CD"/>
    <w:rsid w:val="007F5D5D"/>
    <w:rsid w:val="008035E0"/>
    <w:rsid w:val="00806A9C"/>
    <w:rsid w:val="008142D0"/>
    <w:rsid w:val="008315BE"/>
    <w:rsid w:val="00847933"/>
    <w:rsid w:val="00855D68"/>
    <w:rsid w:val="0086090E"/>
    <w:rsid w:val="00866789"/>
    <w:rsid w:val="008714FF"/>
    <w:rsid w:val="00874B7C"/>
    <w:rsid w:val="0088455B"/>
    <w:rsid w:val="00890A42"/>
    <w:rsid w:val="008B6907"/>
    <w:rsid w:val="008D4F08"/>
    <w:rsid w:val="008D60D7"/>
    <w:rsid w:val="008E11F0"/>
    <w:rsid w:val="008E721D"/>
    <w:rsid w:val="008F1A70"/>
    <w:rsid w:val="00920D15"/>
    <w:rsid w:val="00933B30"/>
    <w:rsid w:val="0093640C"/>
    <w:rsid w:val="00946ADA"/>
    <w:rsid w:val="009634AC"/>
    <w:rsid w:val="00963AA5"/>
    <w:rsid w:val="00967391"/>
    <w:rsid w:val="00995E6B"/>
    <w:rsid w:val="009B723B"/>
    <w:rsid w:val="009C7C16"/>
    <w:rsid w:val="009E07F1"/>
    <w:rsid w:val="009E5F70"/>
    <w:rsid w:val="009F37D1"/>
    <w:rsid w:val="009F3F01"/>
    <w:rsid w:val="00A00A40"/>
    <w:rsid w:val="00A1373F"/>
    <w:rsid w:val="00A25234"/>
    <w:rsid w:val="00A319B5"/>
    <w:rsid w:val="00A332D4"/>
    <w:rsid w:val="00A50835"/>
    <w:rsid w:val="00A52669"/>
    <w:rsid w:val="00A576A0"/>
    <w:rsid w:val="00A604FB"/>
    <w:rsid w:val="00A63323"/>
    <w:rsid w:val="00A66B32"/>
    <w:rsid w:val="00A71DF0"/>
    <w:rsid w:val="00A77085"/>
    <w:rsid w:val="00A9430E"/>
    <w:rsid w:val="00A9741C"/>
    <w:rsid w:val="00AB24B7"/>
    <w:rsid w:val="00AB638D"/>
    <w:rsid w:val="00AB6B99"/>
    <w:rsid w:val="00AD07ED"/>
    <w:rsid w:val="00AD2E64"/>
    <w:rsid w:val="00AE1C40"/>
    <w:rsid w:val="00AE76E6"/>
    <w:rsid w:val="00B00FCB"/>
    <w:rsid w:val="00B04E07"/>
    <w:rsid w:val="00B16B5A"/>
    <w:rsid w:val="00B16E0E"/>
    <w:rsid w:val="00B67906"/>
    <w:rsid w:val="00B70E4A"/>
    <w:rsid w:val="00B7343B"/>
    <w:rsid w:val="00B846EA"/>
    <w:rsid w:val="00B86962"/>
    <w:rsid w:val="00B910EA"/>
    <w:rsid w:val="00BA443B"/>
    <w:rsid w:val="00BA5255"/>
    <w:rsid w:val="00BB6195"/>
    <w:rsid w:val="00BC4BBB"/>
    <w:rsid w:val="00BE1485"/>
    <w:rsid w:val="00BF6A2A"/>
    <w:rsid w:val="00C17065"/>
    <w:rsid w:val="00C202D4"/>
    <w:rsid w:val="00C530E1"/>
    <w:rsid w:val="00C65A69"/>
    <w:rsid w:val="00C72052"/>
    <w:rsid w:val="00C75153"/>
    <w:rsid w:val="00C76458"/>
    <w:rsid w:val="00C84AD7"/>
    <w:rsid w:val="00C90D41"/>
    <w:rsid w:val="00C93538"/>
    <w:rsid w:val="00C9768F"/>
    <w:rsid w:val="00CA4BF3"/>
    <w:rsid w:val="00CB23EC"/>
    <w:rsid w:val="00CB7716"/>
    <w:rsid w:val="00CC3321"/>
    <w:rsid w:val="00CC4C83"/>
    <w:rsid w:val="00CE3160"/>
    <w:rsid w:val="00D01AEE"/>
    <w:rsid w:val="00D379EC"/>
    <w:rsid w:val="00D44219"/>
    <w:rsid w:val="00D645EE"/>
    <w:rsid w:val="00D82250"/>
    <w:rsid w:val="00DA7F4A"/>
    <w:rsid w:val="00DB0BE6"/>
    <w:rsid w:val="00DB252C"/>
    <w:rsid w:val="00DC3B6C"/>
    <w:rsid w:val="00DE568D"/>
    <w:rsid w:val="00DF73F9"/>
    <w:rsid w:val="00E10235"/>
    <w:rsid w:val="00E1763F"/>
    <w:rsid w:val="00E213A8"/>
    <w:rsid w:val="00E23560"/>
    <w:rsid w:val="00E6145C"/>
    <w:rsid w:val="00E736AC"/>
    <w:rsid w:val="00E809F0"/>
    <w:rsid w:val="00EA0803"/>
    <w:rsid w:val="00EA2025"/>
    <w:rsid w:val="00EB2646"/>
    <w:rsid w:val="00ED615F"/>
    <w:rsid w:val="00ED6FF0"/>
    <w:rsid w:val="00F2643F"/>
    <w:rsid w:val="00F34B61"/>
    <w:rsid w:val="00F52C66"/>
    <w:rsid w:val="00F72F2A"/>
    <w:rsid w:val="00F74044"/>
    <w:rsid w:val="00FB6A11"/>
    <w:rsid w:val="00FB6B9B"/>
    <w:rsid w:val="00FC1EA7"/>
    <w:rsid w:val="00FD015F"/>
    <w:rsid w:val="00FE0EF6"/>
    <w:rsid w:val="00FE5C10"/>
    <w:rsid w:val="00FF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1E76417D"/>
  <w15:chartTrackingRefBased/>
  <w15:docId w15:val="{3A70D95E-C7B5-4F63-98C5-1E3BE1A07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FCB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FCB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00FCB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FCB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0FCB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B00FC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B00FC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00FC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00FC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00FC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B00F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0FCB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0F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0FCB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00FCB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0FCB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00FCB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00FCB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B00FCB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FCB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FCB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FCB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FCB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B00FCB"/>
    <w:rPr>
      <w:noProof w:val="0"/>
    </w:rPr>
  </w:style>
  <w:style w:type="character" w:styleId="Hyperlink">
    <w:name w:val="Hyperlink"/>
    <w:basedOn w:val="DefaultParagraphFont"/>
    <w:uiPriority w:val="99"/>
    <w:unhideWhenUsed/>
    <w:rsid w:val="00B00FCB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B00FCB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B00FCB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B00FCB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B00FCB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B00FCB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B00FCB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B00FCB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B00FCB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B00FCB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B00FCB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00FCB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FCB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B00FCB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B00FCB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B00FCB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B00FCB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B00FCB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B00FCB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B00FCB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B00FCB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B00FCB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B00FCB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00FCB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B00FCB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B00FCB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B00FCB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00FCB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B00FCB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B00FCB"/>
    <w:rPr>
      <w:b/>
      <w:bCs/>
      <w:noProof w:val="0"/>
    </w:rPr>
  </w:style>
  <w:style w:type="character" w:customStyle="1" w:styleId="Italics">
    <w:name w:val="Italics"/>
    <w:uiPriority w:val="1"/>
    <w:qFormat/>
    <w:rsid w:val="00B00FCB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B00FCB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oxfordeconomics.com/reports/F86FA9731A0549228e8Ca7" TargetMode="External"/><Relationship Id="rId18" Type="http://schemas.openxmlformats.org/officeDocument/2006/relationships/header" Target="header2.xml"/><Relationship Id="rId26" Type="http://schemas.openxmlformats.org/officeDocument/2006/relationships/image" Target="media/image8.sv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34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yperlink" Target="https://www.ons.gov.uk/employmentandlabourmarket/peopleinwork/employmentandemployeetypes/articles/labourmarkettransformationupdateonprogressandplans/july2024" TargetMode="External"/><Relationship Id="rId17" Type="http://schemas.openxmlformats.org/officeDocument/2006/relationships/header" Target="header1.xml"/><Relationship Id="rId25" Type="http://schemas.openxmlformats.org/officeDocument/2006/relationships/image" Target="media/image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svg"/><Relationship Id="rId20" Type="http://schemas.openxmlformats.org/officeDocument/2006/relationships/header" Target="header3.xml"/><Relationship Id="rId29" Type="http://schemas.openxmlformats.org/officeDocument/2006/relationships/image" Target="media/image10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entagroup.com/" TargetMode="External"/><Relationship Id="rId24" Type="http://schemas.openxmlformats.org/officeDocument/2006/relationships/hyperlink" Target="https://my.oxfordeconomics.com/reportaction/dcd2E439767647D3bE8300/Toc" TargetMode="External"/><Relationship Id="rId32" Type="http://schemas.openxmlformats.org/officeDocument/2006/relationships/hyperlink" Target="https://my.oxfordeconomics.com/reportaction/96f4FeA72eE6401493015c/Toc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6.svg"/><Relationship Id="rId28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31" Type="http://schemas.openxmlformats.org/officeDocument/2006/relationships/hyperlink" Target="https://my.oxfordeconomics.com/reportaction/c2511f2fe36441Fe8E6798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entagroup.com/" TargetMode="External"/><Relationship Id="rId22" Type="http://schemas.openxmlformats.org/officeDocument/2006/relationships/image" Target="media/image5.png"/><Relationship Id="rId27" Type="http://schemas.openxmlformats.org/officeDocument/2006/relationships/hyperlink" Target="https://www.brightmine.com/uk/resources/press-releases/pay-trends-august-2024/" TargetMode="External"/><Relationship Id="rId30" Type="http://schemas.openxmlformats.org/officeDocument/2006/relationships/hyperlink" Target="https://my.oxfordeconomics.com/reportaction/ad080685250F400ba2dA23/Toc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tdvorak@oxfordeconomics.com" TargetMode="External"/><Relationship Id="rId1" Type="http://schemas.openxmlformats.org/officeDocument/2006/relationships/hyperlink" Target="mailto:agoodwin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FE85D-8E7F-4D10-8F25-200D9BA477A4}"/>
      </w:docPartPr>
      <w:docPartBody>
        <w:p w:rsidR="00F93E2C" w:rsidRDefault="00F93E2C">
          <w:r w:rsidRPr="00266B12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E2C"/>
    <w:rsid w:val="00F9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23030a2609a0bfe461689b6bacd9a9f4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83983b71c34b7d262d94b4ad995a0d1c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213BAF10-35F4-47FF-949C-2C8968A154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E0A0FC-C926-4DA8-AB17-67BE1DDC10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D67927-B964-428E-BD98-13103DA295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D4B973-0BD2-4584-9193-CDE7BE2B6CAB}">
  <ds:schemaRefs>
    <ds:schemaRef ds:uri="http://schemas.microsoft.com/office/2006/documentManagement/types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6c77b332-7df6-4eff-997f-266963d55fc4"/>
    <ds:schemaRef ds:uri="http://schemas.microsoft.com/office/2006/metadata/properties"/>
    <ds:schemaRef ds:uri="6ec33f61-c765-4e3b-9958-53c32fd1fd0b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1150</Words>
  <Characters>6146</Characters>
  <Application>Microsoft Office Word</Application>
  <DocSecurity>0</DocSecurity>
  <Lines>89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17</cp:revision>
  <dcterms:created xsi:type="dcterms:W3CDTF">2024-10-14T18:21:00Z</dcterms:created>
  <dcterms:modified xsi:type="dcterms:W3CDTF">2024-10-15T08:01:00Z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v0.8.0.8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2024-10-15T06:38:20.000Z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v0.8.0.8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Economist|agoodwin@oxfordeconomics.com_x000d_;Tomas Dvorak|Senior Economist|tdvorak@oxfordeconomics.com_x000d_</vt:lpwstr>
  </property>
  <property fmtid="{D5CDD505-2E9C-101B-9397-08002B2CF9AE}" pid="14" name="OEP_CATEGORIES">
    <vt:lpwstr>AnalysisbyRegion-Europe-UnitedKingdom,Macro-ResearchBriefings-UnitedKingdom</vt:lpwstr>
  </property>
  <property fmtid="{D5CDD505-2E9C-101B-9397-08002B2CF9AE}" pid="15" name="OEP_TAGS">
    <vt:lpwstr>Key Themes:indicators,labour trends,interest rates,monetary policy</vt:lpwstr>
  </property>
  <property fmtid="{D5CDD505-2E9C-101B-9397-08002B2CF9AE}" pid="16" name="OEP_EXHIBIT_FILEPATHS">
    <vt:lpwstr>Z:\UK Team\UK Research Briefing\20241015 RB UK Labour market stats - Penta data.xlsx,Z:\UK Team\Data\Jobs.xlsx</vt:lpwstr>
  </property>
  <property fmtid="{D5CDD505-2E9C-101B-9397-08002B2CF9AE}" pid="17" name="ContentTypeId">
    <vt:lpwstr>0x01010009401BB7205AF745BAD4FA98BDE0B98F</vt:lpwstr>
  </property>
  <property fmtid="{D5CDD505-2E9C-101B-9397-08002B2CF9AE}" pid="18" name="OEP_PRODUCT_CODE">
    <vt:lpwstr>ccf3Fb3fba5D47F4b140b5</vt:lpwstr>
  </property>
  <property fmtid="{D5CDD505-2E9C-101B-9397-08002B2CF9AE}" pid="19" name="OEP_PUBLISH_DATE">
    <vt:lpwstr/>
  </property>
</Properties>
</file>