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E26A86" w14:textId="42C9DA40" w:rsidR="007D6D4D" w:rsidRPr="00E52246" w:rsidRDefault="00640E2B" w:rsidP="007D6D4D">
      <w:pPr>
        <w:pStyle w:val="Bullet"/>
      </w:pPr>
      <w:r w:rsidRPr="00E52246">
        <w:t xml:space="preserve">We think improving profitability and falling interest rates will underpin a gradual </w:t>
      </w:r>
      <w:r w:rsidR="00DE527D" w:rsidRPr="00E52246">
        <w:t>pickup</w:t>
      </w:r>
      <w:r w:rsidRPr="00E52246">
        <w:t xml:space="preserve"> in UK business investment</w:t>
      </w:r>
      <w:r w:rsidR="007D6D4D" w:rsidRPr="00E52246">
        <w:t>.</w:t>
      </w:r>
      <w:r w:rsidRPr="00E52246">
        <w:t xml:space="preserve"> </w:t>
      </w:r>
      <w:r w:rsidR="008F46F7" w:rsidRPr="00E52246">
        <w:t xml:space="preserve">But this follows a decade </w:t>
      </w:r>
      <w:r w:rsidR="00E52246">
        <w:t>over which</w:t>
      </w:r>
      <w:r w:rsidR="00E52246" w:rsidRPr="00E52246">
        <w:t xml:space="preserve"> </w:t>
      </w:r>
      <w:r w:rsidR="008F46F7" w:rsidRPr="00E52246">
        <w:t xml:space="preserve">capital spending has flatlined and </w:t>
      </w:r>
      <w:r w:rsidR="00E52246">
        <w:t xml:space="preserve">even if </w:t>
      </w:r>
      <w:r w:rsidR="008F46F7" w:rsidRPr="00E52246">
        <w:t xml:space="preserve">our forecast </w:t>
      </w:r>
      <w:r w:rsidR="00E52246">
        <w:t>proves accurate, it</w:t>
      </w:r>
      <w:r w:rsidR="00387651" w:rsidRPr="00E52246">
        <w:t xml:space="preserve"> </w:t>
      </w:r>
      <w:r w:rsidR="008F46F7" w:rsidRPr="00E52246">
        <w:t xml:space="preserve">would </w:t>
      </w:r>
      <w:r w:rsidR="00E52246" w:rsidRPr="00E52246">
        <w:t xml:space="preserve">still </w:t>
      </w:r>
      <w:r w:rsidR="008F46F7" w:rsidRPr="00E52246">
        <w:t>leave the UK well behind peers like the US.</w:t>
      </w:r>
    </w:p>
    <w:p w14:paraId="2B37FC99" w14:textId="54C6B166" w:rsidR="007D6D4D" w:rsidRPr="00E52246" w:rsidRDefault="008F46F7" w:rsidP="007D6D4D">
      <w:pPr>
        <w:pStyle w:val="Bullet"/>
      </w:pPr>
      <w:r w:rsidRPr="00E52246">
        <w:t xml:space="preserve">The weak post-pandemic recovery </w:t>
      </w:r>
      <w:r w:rsidR="004D4C96">
        <w:t>so far</w:t>
      </w:r>
      <w:r w:rsidRPr="00E52246">
        <w:t xml:space="preserve"> </w:t>
      </w:r>
      <w:r w:rsidR="005449CE" w:rsidRPr="00E52246">
        <w:t>is largely due to</w:t>
      </w:r>
      <w:r w:rsidRPr="00E52246">
        <w:t xml:space="preserve"> a shortage of internal finance and a sharp increase in borrowing costs. Investment in buildings has been particularly weak, with changing working patterns compounding the impact of higher raw material </w:t>
      </w:r>
      <w:r w:rsidR="005449CE" w:rsidRPr="00E52246">
        <w:t xml:space="preserve">costs </w:t>
      </w:r>
      <w:r w:rsidRPr="00E52246">
        <w:t xml:space="preserve">and </w:t>
      </w:r>
      <w:r w:rsidR="005449CE" w:rsidRPr="00E52246">
        <w:t>interest rates</w:t>
      </w:r>
      <w:r w:rsidRPr="00E52246">
        <w:t>.</w:t>
      </w:r>
    </w:p>
    <w:p w14:paraId="486BFF21" w14:textId="256540F3" w:rsidR="00460295" w:rsidRDefault="002C7819" w:rsidP="007D6D4D">
      <w:pPr>
        <w:pStyle w:val="Bullet"/>
      </w:pPr>
      <w:r>
        <w:t>Still, t</w:t>
      </w:r>
      <w:r w:rsidR="008F46F7" w:rsidRPr="00E52246">
        <w:t xml:space="preserve">he experience of the recent hiking cycle suggests </w:t>
      </w:r>
      <w:r w:rsidR="00460295">
        <w:t>cuts</w:t>
      </w:r>
      <w:r w:rsidR="00460295" w:rsidRPr="00E52246">
        <w:t xml:space="preserve"> </w:t>
      </w:r>
      <w:r w:rsidR="008F46F7" w:rsidRPr="00E52246">
        <w:t xml:space="preserve">to </w:t>
      </w:r>
      <w:r w:rsidR="0000166A">
        <w:t>policy</w:t>
      </w:r>
      <w:r w:rsidR="00460295">
        <w:t xml:space="preserve"> rates</w:t>
      </w:r>
      <w:r w:rsidR="008F46F7" w:rsidRPr="00E52246">
        <w:t xml:space="preserve"> will pass through </w:t>
      </w:r>
      <w:r w:rsidR="00460295" w:rsidRPr="00E52246">
        <w:t xml:space="preserve">quickly </w:t>
      </w:r>
      <w:r w:rsidR="008F46F7" w:rsidRPr="00E52246">
        <w:t xml:space="preserve">to corporate interest rates. Meanwhile, small firms have deleveraged significantly </w:t>
      </w:r>
      <w:r w:rsidR="00460295" w:rsidRPr="00E52246">
        <w:t xml:space="preserve">after </w:t>
      </w:r>
      <w:r w:rsidR="00460295">
        <w:t xml:space="preserve">a sharp rise in </w:t>
      </w:r>
      <w:r w:rsidR="00460295" w:rsidRPr="00E52246">
        <w:t xml:space="preserve">debt levels </w:t>
      </w:r>
      <w:r w:rsidR="00460295">
        <w:t>during</w:t>
      </w:r>
      <w:r w:rsidR="00460295" w:rsidRPr="00E52246">
        <w:t xml:space="preserve"> the pandemic, </w:t>
      </w:r>
      <w:r w:rsidR="008F46F7" w:rsidRPr="00E52246">
        <w:t xml:space="preserve">and are </w:t>
      </w:r>
      <w:r w:rsidR="000951EC" w:rsidRPr="00E52246">
        <w:t xml:space="preserve">now </w:t>
      </w:r>
      <w:r w:rsidR="008F46F7" w:rsidRPr="00E52246">
        <w:t>in better shape to borrow</w:t>
      </w:r>
      <w:r w:rsidR="000951EC" w:rsidRPr="00E52246">
        <w:t xml:space="preserve"> again</w:t>
      </w:r>
      <w:r w:rsidR="007D6D4D" w:rsidRPr="00E52246">
        <w:t>.</w:t>
      </w:r>
      <w:r w:rsidR="008F46F7" w:rsidRPr="00E52246">
        <w:t xml:space="preserve"> </w:t>
      </w:r>
    </w:p>
    <w:p w14:paraId="676AF78F" w14:textId="02C444EB" w:rsidR="007D6D4D" w:rsidRPr="00E52246" w:rsidRDefault="00FA12BC" w:rsidP="007D6D4D">
      <w:pPr>
        <w:pStyle w:val="Bullet"/>
      </w:pPr>
      <w:r w:rsidRPr="00E52246">
        <w:t xml:space="preserve">But </w:t>
      </w:r>
      <w:r w:rsidR="005A0C7F" w:rsidRPr="00E52246">
        <w:t xml:space="preserve">corporate sentiment </w:t>
      </w:r>
      <w:r w:rsidR="00460295">
        <w:t>is</w:t>
      </w:r>
      <w:r w:rsidR="005A0C7F" w:rsidRPr="00E52246">
        <w:t xml:space="preserve"> fragile</w:t>
      </w:r>
      <w:r w:rsidR="00460295">
        <w:t>. T</w:t>
      </w:r>
      <w:r w:rsidRPr="00E52246">
        <w:t xml:space="preserve">here's an onus on the government to deliver </w:t>
      </w:r>
      <w:r w:rsidR="00460295">
        <w:t>a</w:t>
      </w:r>
      <w:r w:rsidR="00460295" w:rsidRPr="00E52246">
        <w:t xml:space="preserve"> </w:t>
      </w:r>
      <w:r w:rsidRPr="00E52246">
        <w:t xml:space="preserve">more stable political backdrop </w:t>
      </w:r>
      <w:r w:rsidR="005A0C7F" w:rsidRPr="00E52246">
        <w:t>that could</w:t>
      </w:r>
      <w:r w:rsidRPr="00E52246">
        <w:t xml:space="preserve"> give firms the confidence to commit</w:t>
      </w:r>
      <w:r w:rsidR="009F6B70" w:rsidRPr="00E52246">
        <w:t xml:space="preserve"> to projects</w:t>
      </w:r>
      <w:r w:rsidRPr="00E52246">
        <w:t>.</w:t>
      </w:r>
    </w:p>
    <w:p w14:paraId="1C0BCC11" w14:textId="06B37650" w:rsidR="00DD7303" w:rsidRPr="00E52246" w:rsidRDefault="00D92C04" w:rsidP="00DD7303">
      <w:r w:rsidRPr="00E52246">
        <w:t>The UK is at the start of a rate-cutting cycle</w:t>
      </w:r>
      <w:r w:rsidR="00460295">
        <w:t>.</w:t>
      </w:r>
      <w:r w:rsidRPr="00E52246">
        <w:t xml:space="preserve"> </w:t>
      </w:r>
      <w:r w:rsidR="00460295">
        <w:t>O</w:t>
      </w:r>
      <w:r w:rsidRPr="00E52246">
        <w:t>ne part of the economy that stands to benefit most is business investment</w:t>
      </w:r>
      <w:r w:rsidR="00460295">
        <w:t>, as</w:t>
      </w:r>
      <w:r w:rsidRPr="00E52246">
        <w:t xml:space="preserve"> </w:t>
      </w:r>
      <w:r w:rsidR="00460295">
        <w:t>c</w:t>
      </w:r>
      <w:r w:rsidRPr="00E52246">
        <w:t xml:space="preserve">apital spending tends to be highly </w:t>
      </w:r>
      <w:r w:rsidR="00460295" w:rsidRPr="00E52246">
        <w:t>sensitive</w:t>
      </w:r>
      <w:r w:rsidR="00460295">
        <w:t xml:space="preserve"> to</w:t>
      </w:r>
      <w:r w:rsidR="00460295" w:rsidRPr="00E52246">
        <w:t xml:space="preserve"> </w:t>
      </w:r>
      <w:r w:rsidRPr="00E52246">
        <w:t xml:space="preserve">interest rate </w:t>
      </w:r>
      <w:r w:rsidR="00460295">
        <w:t>changes. F</w:t>
      </w:r>
      <w:r w:rsidRPr="00E52246">
        <w:t>or many companies</w:t>
      </w:r>
      <w:r w:rsidR="00460295">
        <w:t>,</w:t>
      </w:r>
      <w:r w:rsidRPr="00E52246">
        <w:t xml:space="preserve"> the </w:t>
      </w:r>
      <w:r w:rsidR="00460295">
        <w:t xml:space="preserve">recent </w:t>
      </w:r>
      <w:r w:rsidRPr="00E52246">
        <w:t xml:space="preserve">environment has been even more challenging because of the additional debt they took on to get through the pandemic. But small firms have deleveraged significantly, and </w:t>
      </w:r>
      <w:r w:rsidR="000B4573" w:rsidRPr="00E52246">
        <w:t>debt servicing costs</w:t>
      </w:r>
      <w:r w:rsidRPr="00E52246">
        <w:t xml:space="preserve"> should now start to drift downwards</w:t>
      </w:r>
      <w:r w:rsidR="00460295">
        <w:t>.</w:t>
      </w:r>
      <w:r w:rsidRPr="00E52246">
        <w:t xml:space="preserve"> </w:t>
      </w:r>
      <w:r w:rsidR="00460295">
        <w:t>S</w:t>
      </w:r>
      <w:r w:rsidRPr="00E52246">
        <w:t xml:space="preserve">o </w:t>
      </w:r>
      <w:r w:rsidR="00460295">
        <w:t>we think</w:t>
      </w:r>
      <w:r w:rsidRPr="00E52246">
        <w:t xml:space="preserve"> business investment </w:t>
      </w:r>
      <w:r w:rsidR="00460295">
        <w:t xml:space="preserve">is poised to </w:t>
      </w:r>
      <w:r w:rsidR="0038229A">
        <w:t>begin</w:t>
      </w:r>
      <w:r w:rsidR="00460295">
        <w:t xml:space="preserve"> a </w:t>
      </w:r>
      <w:r w:rsidR="00460295" w:rsidRPr="00E52246">
        <w:t>gradual recovery</w:t>
      </w:r>
      <w:r w:rsidR="00460295">
        <w:t xml:space="preserve"> </w:t>
      </w:r>
      <w:r w:rsidRPr="00E52246">
        <w:t>(</w:t>
      </w:r>
      <w:r w:rsidR="00AF2D0F" w:rsidRPr="003A161B">
        <w:rPr>
          <w:b/>
          <w:color w:val="003469"/>
        </w:rPr>
        <w:fldChar w:fldCharType="begin"/>
      </w:r>
      <w:r w:rsidR="003A161B" w:rsidRPr="003A161B">
        <w:rPr>
          <w:b/>
          <w:color w:val="003469"/>
        </w:rPr>
        <w:instrText xml:space="preserve">REF _Ref179308828 \h \* Charformat </w:instrText>
      </w:r>
      <w:r w:rsidR="003A161B" w:rsidRPr="003A161B">
        <w:rPr>
          <w:b/>
          <w:color w:val="003469"/>
        </w:rPr>
      </w:r>
      <w:r w:rsidR="00AF2D0F" w:rsidRPr="003A161B">
        <w:rPr>
          <w:b/>
          <w:color w:val="003469"/>
        </w:rPr>
        <w:fldChar w:fldCharType="separate"/>
      </w:r>
      <w:r w:rsidR="003A161B" w:rsidRPr="003A161B">
        <w:rPr>
          <w:b/>
          <w:color w:val="003469"/>
        </w:rPr>
        <w:t>Chart 1</w:t>
      </w:r>
      <w:r w:rsidR="00AF2D0F" w:rsidRPr="003A161B">
        <w:rPr>
          <w:b/>
          <w:color w:val="003469"/>
        </w:rPr>
        <w:fldChar w:fldCharType="end"/>
      </w:r>
      <w:r w:rsidRPr="00E52246">
        <w:t>).</w:t>
      </w:r>
    </w:p>
    <w:p w14:paraId="73B8584E" w14:textId="22D5496A" w:rsidR="00B52E6B" w:rsidRPr="00E52246" w:rsidRDefault="007A6449" w:rsidP="00B52E6B">
      <w:r w:rsidRPr="00E52246">
        <w:t>Since the global financial crisis, t</w:t>
      </w:r>
      <w:r w:rsidR="00BA1024" w:rsidRPr="00E52246">
        <w:t>he UK's business investment performance has been poor. As of 2023, the level of the non-residential capital stock per hour worked was 23% below the level it would have been had the 1990-2008 trend continued.</w:t>
      </w:r>
      <w:r w:rsidR="005D7F34" w:rsidRPr="00E52246">
        <w:t xml:space="preserve"> </w:t>
      </w:r>
      <w:r w:rsidR="00816677" w:rsidRPr="00E52246">
        <w:t xml:space="preserve">Low levels of business investment are also a key factor behind fixed investment consistently accounting for a </w:t>
      </w:r>
      <w:hyperlink r:id="rId10" w:history="1">
        <w:r w:rsidR="00816677" w:rsidRPr="00E52246">
          <w:rPr>
            <w:rStyle w:val="Hyperlink"/>
          </w:rPr>
          <w:t>lower share of GDP</w:t>
        </w:r>
      </w:hyperlink>
      <w:r w:rsidR="00816677" w:rsidRPr="00E52246">
        <w:t xml:space="preserve"> in the UK than in any other G7 country over the past 20 years.</w:t>
      </w:r>
    </w:p>
    <w:p w14:paraId="4823FF24" w14:textId="36D9B0B9" w:rsidR="007D6D4D" w:rsidRPr="00E52246" w:rsidRDefault="007D6D4D" w:rsidP="00B52E6B">
      <w:pPr>
        <w:pStyle w:val="ExhibitTitle"/>
        <w:jc w:val="center"/>
      </w:pPr>
      <w:bookmarkStart w:id="0" w:name="_Ref179308828"/>
      <w:r w:rsidRPr="00E52246">
        <w:t xml:space="preserve">Chart </w:t>
      </w:r>
      <w:r w:rsidRPr="00E52246">
        <w:fldChar w:fldCharType="begin"/>
      </w:r>
      <w:r w:rsidR="00B52E6B" w:rsidRPr="00E52246">
        <w:instrText>SEQ CHART</w:instrText>
      </w:r>
      <w:r w:rsidRPr="00E52246">
        <w:fldChar w:fldCharType="separate"/>
      </w:r>
      <w:r w:rsidR="00653C4C" w:rsidRPr="00E52246">
        <w:t>1</w:t>
      </w:r>
      <w:r w:rsidRPr="00E52246">
        <w:fldChar w:fldCharType="end"/>
      </w:r>
      <w:bookmarkEnd w:id="0"/>
      <w:r w:rsidRPr="00E52246">
        <w:t xml:space="preserve">: </w:t>
      </w:r>
      <w:r w:rsidR="00053288" w:rsidRPr="00E52246">
        <w:t>We expect a gradual pickup in capital spending as debt servicing costs fall</w:t>
      </w:r>
    </w:p>
    <w:p w14:paraId="7ED08EFD" w14:textId="047D9158" w:rsidR="00B52E6B" w:rsidRPr="00E52246" w:rsidRDefault="00B52E6B" w:rsidP="00B52E6B">
      <w:pPr>
        <w:spacing w:after="0"/>
        <w:jc w:val="center"/>
      </w:pPr>
      <w:r w:rsidRPr="00E52246">
        <w:rPr>
          <w:noProof/>
        </w:rPr>
        <w:drawing>
          <wp:inline distT="0" distB="0" distL="0" distR="0" wp14:anchorId="603D8188" wp14:editId="18443A30">
            <wp:extent cx="4006964" cy="3140642"/>
            <wp:effectExtent l="0" t="0" r="0" b="3175"/>
            <wp:docPr id="108211150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11504" name=""/>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rcRect b="1886"/>
                    <a:stretch>
                      <a:fillRect/>
                    </a:stretch>
                  </pic:blipFill>
                  <pic:spPr>
                    <a:xfrm>
                      <a:off x="0" y="0"/>
                      <a:ext cx="4006964" cy="3140642"/>
                    </a:xfrm>
                    <a:prstGeom prst="rect">
                      <a:avLst/>
                    </a:prstGeom>
                  </pic:spPr>
                </pic:pic>
              </a:graphicData>
            </a:graphic>
          </wp:inline>
        </w:drawing>
      </w:r>
    </w:p>
    <w:p w14:paraId="4E0DFD40" w14:textId="25AC91B0" w:rsidR="007D6D4D" w:rsidRPr="00E52246" w:rsidRDefault="00B52E6B" w:rsidP="00B52E6B">
      <w:pPr>
        <w:pStyle w:val="ExhibitSource"/>
        <w:jc w:val="center"/>
      </w:pPr>
      <w:r w:rsidRPr="00E52246">
        <w:t>Sources: Oxford Economics, Haver Analytics</w:t>
      </w:r>
    </w:p>
    <w:p w14:paraId="08E770F6" w14:textId="6254109B" w:rsidR="007D6D4D" w:rsidRPr="00E52246" w:rsidRDefault="007D6D4D" w:rsidP="007D6D4D">
      <w:pPr>
        <w:pStyle w:val="ExhibitSource"/>
        <w:jc w:val="center"/>
        <w:sectPr w:rsidR="007D6D4D" w:rsidRPr="00E52246" w:rsidSect="00B52E6B">
          <w:headerReference w:type="even" r:id="rId13"/>
          <w:headerReference w:type="default" r:id="rId14"/>
          <w:footerReference w:type="default" r:id="rId15"/>
          <w:headerReference w:type="first" r:id="rId16"/>
          <w:footerReference w:type="first" r:id="rId17"/>
          <w:pgSz w:w="11906" w:h="16838"/>
          <w:pgMar w:top="2665" w:right="1276" w:bottom="838" w:left="1134" w:header="708" w:footer="300" w:gutter="0"/>
          <w:cols w:space="708"/>
          <w:titlePg/>
          <w:docGrid w:linePitch="360"/>
        </w:sectPr>
      </w:pPr>
    </w:p>
    <w:p w14:paraId="64D6F0A8" w14:textId="70DB665B" w:rsidR="001512A5" w:rsidRPr="00E52246" w:rsidRDefault="002243F2" w:rsidP="000419C4">
      <w:pPr>
        <w:pStyle w:val="Heading3"/>
      </w:pPr>
      <w:r w:rsidRPr="00E52246">
        <w:lastRenderedPageBreak/>
        <w:t>Business investment is currently no higher than it was in 2016</w:t>
      </w:r>
    </w:p>
    <w:p w14:paraId="1A3959AA" w14:textId="3D2D1516" w:rsidR="00816677" w:rsidRPr="00E52246" w:rsidRDefault="00816677" w:rsidP="007D6D4D">
      <w:r w:rsidRPr="00E52246">
        <w:t xml:space="preserve">Business investment fell by 25% in the </w:t>
      </w:r>
      <w:r w:rsidR="00436331" w:rsidRPr="00E52246">
        <w:t>global financial crisis</w:t>
      </w:r>
      <w:r w:rsidR="0038229A">
        <w:t>.</w:t>
      </w:r>
      <w:r w:rsidRPr="00E52246">
        <w:t xml:space="preserve"> </w:t>
      </w:r>
      <w:r w:rsidR="0038229A">
        <w:t>I</w:t>
      </w:r>
      <w:r w:rsidRPr="00E52246">
        <w:t xml:space="preserve">t </w:t>
      </w:r>
      <w:r w:rsidR="00436331" w:rsidRPr="00E52246">
        <w:t>wasn't until</w:t>
      </w:r>
      <w:r w:rsidRPr="00E52246">
        <w:t xml:space="preserve"> H2 2014 </w:t>
      </w:r>
      <w:r w:rsidR="00436331" w:rsidRPr="00E52246">
        <w:t>that</w:t>
      </w:r>
      <w:r w:rsidRPr="00E52246">
        <w:t xml:space="preserve"> capital spending</w:t>
      </w:r>
      <w:r w:rsidR="00436331" w:rsidRPr="00E52246">
        <w:t xml:space="preserve"> </w:t>
      </w:r>
      <w:r w:rsidRPr="00E52246">
        <w:t xml:space="preserve">returned to its previous peak, despite debt servicing costs </w:t>
      </w:r>
      <w:r w:rsidR="00436331" w:rsidRPr="00E52246">
        <w:t>dropping</w:t>
      </w:r>
      <w:r w:rsidRPr="00E52246">
        <w:t xml:space="preserve"> to very low levels.</w:t>
      </w:r>
      <w:r w:rsidR="00436331" w:rsidRPr="00E52246">
        <w:t xml:space="preserve"> </w:t>
      </w:r>
      <w:r w:rsidR="00E3705D" w:rsidRPr="00E52246">
        <w:t>T</w:t>
      </w:r>
      <w:r w:rsidRPr="00E52246">
        <w:t>he cost of borrowing remain</w:t>
      </w:r>
      <w:r w:rsidR="00E3705D" w:rsidRPr="00E52246">
        <w:t>ed</w:t>
      </w:r>
      <w:r w:rsidRPr="00E52246">
        <w:t xml:space="preserve"> low, </w:t>
      </w:r>
      <w:r w:rsidR="00E3705D" w:rsidRPr="00E52246">
        <w:t xml:space="preserve">but </w:t>
      </w:r>
      <w:r w:rsidRPr="00E52246">
        <w:t xml:space="preserve">capital spending </w:t>
      </w:r>
      <w:r w:rsidR="00E3705D" w:rsidRPr="00E52246">
        <w:t>then</w:t>
      </w:r>
      <w:r w:rsidR="00436331" w:rsidRPr="00E52246">
        <w:t xml:space="preserve"> </w:t>
      </w:r>
      <w:r w:rsidRPr="00E52246">
        <w:t xml:space="preserve">flatlined, undermined by weak demand and Brexit. </w:t>
      </w:r>
    </w:p>
    <w:p w14:paraId="452BB6AA" w14:textId="088BA387" w:rsidR="007D6D4D" w:rsidRPr="00E52246" w:rsidRDefault="003A7820" w:rsidP="007D6D4D">
      <w:r w:rsidRPr="00E52246">
        <w:t xml:space="preserve">Investment fell by more than 20% again during the Covid pandemic. </w:t>
      </w:r>
      <w:r w:rsidR="00596FC8" w:rsidRPr="00E52246">
        <w:t>U</w:t>
      </w:r>
      <w:r w:rsidR="00BA1024" w:rsidRPr="00E52246">
        <w:t xml:space="preserve">ntil recently, the post-pandemic </w:t>
      </w:r>
      <w:r w:rsidRPr="00E52246">
        <w:t xml:space="preserve">recovery </w:t>
      </w:r>
      <w:r w:rsidR="00BA1024" w:rsidRPr="00E52246">
        <w:t>had look</w:t>
      </w:r>
      <w:r w:rsidR="00A15B4B" w:rsidRPr="00E52246">
        <w:t>ed</w:t>
      </w:r>
      <w:r w:rsidR="00BA1024" w:rsidRPr="00E52246">
        <w:t xml:space="preserve"> impressive</w:t>
      </w:r>
      <w:r w:rsidRPr="00E52246">
        <w:t xml:space="preserve">, with capital spending </w:t>
      </w:r>
      <w:r w:rsidR="00CF2AC1" w:rsidRPr="00E52246">
        <w:t>reported to have regained</w:t>
      </w:r>
      <w:r w:rsidRPr="00E52246">
        <w:t xml:space="preserve"> its pre-pandemic peak in just over two years</w:t>
      </w:r>
      <w:r w:rsidR="0038229A">
        <w:t>,</w:t>
      </w:r>
      <w:r w:rsidRPr="00E52246">
        <w:t xml:space="preserve"> </w:t>
      </w:r>
      <w:r w:rsidR="0038229A">
        <w:t xml:space="preserve">rising </w:t>
      </w:r>
      <w:r w:rsidR="00A15B4B" w:rsidRPr="00E52246">
        <w:t xml:space="preserve">more than 5% above its </w:t>
      </w:r>
      <w:r w:rsidR="00EE25B7" w:rsidRPr="00E52246">
        <w:t>end-2019</w:t>
      </w:r>
      <w:r w:rsidR="00A15B4B" w:rsidRPr="00E52246">
        <w:t xml:space="preserve"> level in H2 2024</w:t>
      </w:r>
      <w:r w:rsidR="007D6D4D" w:rsidRPr="00E52246">
        <w:t xml:space="preserve">. </w:t>
      </w:r>
      <w:r w:rsidR="00A15B4B" w:rsidRPr="00E52246">
        <w:t xml:space="preserve">But the latest set of data revisions, consistent with the 2024 Blue Book, </w:t>
      </w:r>
      <w:r w:rsidR="0038229A">
        <w:t>show</w:t>
      </w:r>
      <w:r w:rsidR="0038229A" w:rsidRPr="00E52246">
        <w:t xml:space="preserve"> </w:t>
      </w:r>
      <w:r w:rsidR="00A15B4B" w:rsidRPr="00E52246">
        <w:t xml:space="preserve">a much weaker </w:t>
      </w:r>
      <w:r w:rsidR="0038229A">
        <w:t>trend</w:t>
      </w:r>
      <w:r w:rsidR="00A15B4B" w:rsidRPr="00E52246">
        <w:t xml:space="preserve">, with business investment </w:t>
      </w:r>
      <w:r w:rsidR="00FA4631" w:rsidRPr="00E52246">
        <w:t xml:space="preserve">having </w:t>
      </w:r>
      <w:r w:rsidR="00A15B4B" w:rsidRPr="00E52246">
        <w:t>only just regained its pre-pandemic level (</w:t>
      </w:r>
      <w:r w:rsidR="00AF2D0F" w:rsidRPr="003A161B">
        <w:rPr>
          <w:b/>
          <w:color w:val="003469"/>
        </w:rPr>
        <w:fldChar w:fldCharType="begin"/>
      </w:r>
      <w:r w:rsidR="003A161B" w:rsidRPr="003A161B">
        <w:rPr>
          <w:b/>
          <w:color w:val="003469"/>
        </w:rPr>
        <w:instrText xml:space="preserve">REF _Ref179308829 \h \* Charformat </w:instrText>
      </w:r>
      <w:r w:rsidR="003A161B" w:rsidRPr="003A161B">
        <w:rPr>
          <w:b/>
          <w:color w:val="003469"/>
        </w:rPr>
      </w:r>
      <w:r w:rsidR="00AF2D0F" w:rsidRPr="003A161B">
        <w:rPr>
          <w:b/>
          <w:color w:val="003469"/>
        </w:rPr>
        <w:fldChar w:fldCharType="separate"/>
      </w:r>
      <w:r w:rsidR="003A161B" w:rsidRPr="003A161B">
        <w:rPr>
          <w:b/>
          <w:color w:val="003469"/>
        </w:rPr>
        <w:t>Chart 2</w:t>
      </w:r>
      <w:r w:rsidR="00AF2D0F" w:rsidRPr="003A161B">
        <w:rPr>
          <w:b/>
          <w:color w:val="003469"/>
        </w:rPr>
        <w:fldChar w:fldCharType="end"/>
      </w:r>
      <w:r w:rsidR="00A15B4B" w:rsidRPr="00E52246">
        <w:t>). Indeed</w:t>
      </w:r>
      <w:r w:rsidR="00DA2F47" w:rsidRPr="00E52246">
        <w:t xml:space="preserve">, </w:t>
      </w:r>
      <w:r w:rsidR="0038229A">
        <w:t>considering</w:t>
      </w:r>
      <w:r w:rsidR="0038229A" w:rsidRPr="00E52246">
        <w:t xml:space="preserve"> </w:t>
      </w:r>
      <w:r w:rsidR="00DA2F47" w:rsidRPr="00E52246">
        <w:t xml:space="preserve">the poor performance </w:t>
      </w:r>
      <w:r w:rsidR="00352054" w:rsidRPr="00E52246">
        <w:t>before</w:t>
      </w:r>
      <w:r w:rsidR="00DA2F47" w:rsidRPr="00E52246">
        <w:t xml:space="preserve"> the pandemic, capital spending is still at the same level</w:t>
      </w:r>
      <w:r w:rsidR="0038229A">
        <w:t xml:space="preserve"> now</w:t>
      </w:r>
      <w:r w:rsidR="00DA2F47" w:rsidRPr="00E52246">
        <w:t xml:space="preserve"> </w:t>
      </w:r>
      <w:r w:rsidR="0038229A">
        <w:t>as</w:t>
      </w:r>
      <w:r w:rsidR="00DA2F47" w:rsidRPr="00E52246">
        <w:t xml:space="preserve"> </w:t>
      </w:r>
      <w:r w:rsidR="0038229A">
        <w:t xml:space="preserve">in </w:t>
      </w:r>
      <w:r w:rsidR="00DA2F47" w:rsidRPr="00E52246">
        <w:t>2016.</w:t>
      </w:r>
    </w:p>
    <w:p w14:paraId="1ECA0C55" w14:textId="5F2356DB" w:rsidR="007D6D4D" w:rsidRPr="00E52246" w:rsidRDefault="007D6D4D" w:rsidP="000419C4">
      <w:pPr>
        <w:pStyle w:val="ExhibitTitle"/>
      </w:pPr>
      <w:bookmarkStart w:id="1" w:name="_Ref179308829"/>
      <w:r w:rsidRPr="00E52246">
        <w:t xml:space="preserve">Chart </w:t>
      </w:r>
      <w:r w:rsidRPr="00E52246">
        <w:fldChar w:fldCharType="begin"/>
      </w:r>
      <w:r w:rsidR="00B52E6B" w:rsidRPr="00E52246">
        <w:instrText>SEQ CHART</w:instrText>
      </w:r>
      <w:r w:rsidRPr="00E52246">
        <w:fldChar w:fldCharType="separate"/>
      </w:r>
      <w:r w:rsidR="00653C4C" w:rsidRPr="00E52246">
        <w:t>2</w:t>
      </w:r>
      <w:r w:rsidRPr="00E52246">
        <w:fldChar w:fldCharType="end"/>
      </w:r>
      <w:bookmarkEnd w:id="1"/>
      <w:r w:rsidRPr="00E52246">
        <w:t xml:space="preserve">: </w:t>
      </w:r>
      <w:r w:rsidR="005F39C7" w:rsidRPr="00E52246">
        <w:t>After large data revisions, business investment is still the same level it was in 2016</w:t>
      </w:r>
    </w:p>
    <w:p w14:paraId="300874B7" w14:textId="7196D248" w:rsidR="00B52E6B" w:rsidRPr="00E52246" w:rsidRDefault="00B52E6B" w:rsidP="000419C4">
      <w:pPr>
        <w:spacing w:after="0"/>
      </w:pPr>
      <w:r w:rsidRPr="00E52246">
        <w:rPr>
          <w:noProof/>
        </w:rPr>
        <w:drawing>
          <wp:inline distT="0" distB="0" distL="0" distR="0" wp14:anchorId="420DF8DC" wp14:editId="1A5721A5">
            <wp:extent cx="3250933" cy="2548068"/>
            <wp:effectExtent l="0" t="0" r="6985" b="5080"/>
            <wp:docPr id="197214045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40455" name=""/>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rcRect b="1886"/>
                    <a:stretch>
                      <a:fillRect/>
                    </a:stretch>
                  </pic:blipFill>
                  <pic:spPr>
                    <a:xfrm>
                      <a:off x="0" y="0"/>
                      <a:ext cx="3250933" cy="2548068"/>
                    </a:xfrm>
                    <a:prstGeom prst="rect">
                      <a:avLst/>
                    </a:prstGeom>
                  </pic:spPr>
                </pic:pic>
              </a:graphicData>
            </a:graphic>
          </wp:inline>
        </w:drawing>
      </w:r>
    </w:p>
    <w:p w14:paraId="344F216F" w14:textId="62664313" w:rsidR="007D6D4D" w:rsidRPr="00E52246" w:rsidRDefault="00B52E6B" w:rsidP="000419C4">
      <w:pPr>
        <w:pStyle w:val="ExhibitSource"/>
      </w:pPr>
      <w:r w:rsidRPr="00E52246">
        <w:t>Source: Oxford Economics calculations using data from Haver Analytics</w:t>
      </w:r>
    </w:p>
    <w:p w14:paraId="203B6F56" w14:textId="2ECF9428" w:rsidR="00CF2AC1" w:rsidRPr="00E52246" w:rsidRDefault="008D060A" w:rsidP="00E3705D">
      <w:r w:rsidRPr="00E52246">
        <w:t xml:space="preserve">The breakdown by asset </w:t>
      </w:r>
      <w:r w:rsidR="00BC0C87" w:rsidRPr="00E52246">
        <w:t xml:space="preserve">type </w:t>
      </w:r>
      <w:r w:rsidRPr="00E52246">
        <w:t xml:space="preserve">shows </w:t>
      </w:r>
      <w:r w:rsidR="00BC0C87" w:rsidRPr="00E52246">
        <w:t>a sharp drop in investment in buildings and structures is the main reason for the weakness since 2016 (</w:t>
      </w:r>
      <w:r w:rsidR="00AF2D0F" w:rsidRPr="003A161B">
        <w:rPr>
          <w:b/>
          <w:color w:val="003469"/>
        </w:rPr>
        <w:fldChar w:fldCharType="begin"/>
      </w:r>
      <w:r w:rsidR="003A161B" w:rsidRPr="003A161B">
        <w:rPr>
          <w:b/>
          <w:color w:val="003469"/>
        </w:rPr>
        <w:instrText xml:space="preserve">REF _Ref179308830 \h \* Charformat </w:instrText>
      </w:r>
      <w:r w:rsidR="003A161B" w:rsidRPr="003A161B">
        <w:rPr>
          <w:b/>
          <w:color w:val="003469"/>
        </w:rPr>
      </w:r>
      <w:r w:rsidR="00AF2D0F" w:rsidRPr="003A161B">
        <w:rPr>
          <w:b/>
          <w:color w:val="003469"/>
        </w:rPr>
        <w:fldChar w:fldCharType="separate"/>
      </w:r>
      <w:r w:rsidR="003A161B" w:rsidRPr="003A161B">
        <w:rPr>
          <w:b/>
          <w:color w:val="003469"/>
        </w:rPr>
        <w:t>Chart 3</w:t>
      </w:r>
      <w:r w:rsidR="00AF2D0F" w:rsidRPr="003A161B">
        <w:rPr>
          <w:b/>
          <w:color w:val="003469"/>
        </w:rPr>
        <w:fldChar w:fldCharType="end"/>
      </w:r>
      <w:r w:rsidR="00BC0C87" w:rsidRPr="00E52246">
        <w:t xml:space="preserve">). Spending on buildings slumped in the early stages of the pandemic and has remained at similar levels since. </w:t>
      </w:r>
      <w:r w:rsidR="003E6172" w:rsidRPr="00E52246">
        <w:t xml:space="preserve">Two factors underpin this weakness. First, </w:t>
      </w:r>
      <w:r w:rsidR="000076F5" w:rsidRPr="00E52246">
        <w:t>the increase in hybrid working</w:t>
      </w:r>
      <w:r w:rsidR="00B45D11" w:rsidRPr="00E52246">
        <w:t xml:space="preserve"> and resulting </w:t>
      </w:r>
      <w:hyperlink r:id="rId20" w:history="1">
        <w:r w:rsidR="00B45D11" w:rsidRPr="00E52246">
          <w:rPr>
            <w:rStyle w:val="Hyperlink"/>
          </w:rPr>
          <w:t xml:space="preserve">rise in </w:t>
        </w:r>
        <w:r w:rsidR="000076F5" w:rsidRPr="00E52246">
          <w:rPr>
            <w:rStyle w:val="Hyperlink"/>
          </w:rPr>
          <w:t>office vacancy rates</w:t>
        </w:r>
      </w:hyperlink>
      <w:r w:rsidR="00B45D11" w:rsidRPr="00E52246">
        <w:t xml:space="preserve"> has reduced the </w:t>
      </w:r>
      <w:r w:rsidR="00E34586" w:rsidRPr="00E52246">
        <w:t>incentive for developers to take on new projects</w:t>
      </w:r>
      <w:r w:rsidR="00507907" w:rsidRPr="00E52246">
        <w:t>.</w:t>
      </w:r>
      <w:r w:rsidR="003E6172" w:rsidRPr="00E52246">
        <w:t xml:space="preserve"> Second, financial pressures from surging raw material prices and high interest rates have undermined the </w:t>
      </w:r>
      <w:hyperlink r:id="rId21" w:history="1">
        <w:r w:rsidR="003E6172" w:rsidRPr="00E52246">
          <w:rPr>
            <w:rStyle w:val="Hyperlink"/>
          </w:rPr>
          <w:t>viability of commercial real estate developments</w:t>
        </w:r>
      </w:hyperlink>
      <w:r w:rsidR="003E6172" w:rsidRPr="00E52246">
        <w:t>.</w:t>
      </w:r>
    </w:p>
    <w:p w14:paraId="42D2D3E5" w14:textId="3237E53C" w:rsidR="007D6D4D" w:rsidRPr="00E52246" w:rsidRDefault="007D6D4D" w:rsidP="000419C4">
      <w:pPr>
        <w:pStyle w:val="ExhibitTitle"/>
      </w:pPr>
      <w:bookmarkStart w:id="2" w:name="_Ref179308830"/>
      <w:r w:rsidRPr="00E52246">
        <w:t xml:space="preserve">Chart </w:t>
      </w:r>
      <w:r w:rsidRPr="00E52246">
        <w:fldChar w:fldCharType="begin"/>
      </w:r>
      <w:r w:rsidR="00653C4C" w:rsidRPr="00E52246">
        <w:instrText>SEQ CHART</w:instrText>
      </w:r>
      <w:r w:rsidRPr="00E52246">
        <w:fldChar w:fldCharType="separate"/>
      </w:r>
      <w:r w:rsidR="00653C4C" w:rsidRPr="00E52246">
        <w:t>3</w:t>
      </w:r>
      <w:r w:rsidRPr="00E52246">
        <w:fldChar w:fldCharType="end"/>
      </w:r>
      <w:bookmarkEnd w:id="2"/>
      <w:r w:rsidRPr="00E52246">
        <w:t xml:space="preserve">: </w:t>
      </w:r>
      <w:r w:rsidR="003E6172" w:rsidRPr="00E52246">
        <w:t xml:space="preserve">Falling spending on buildings has been the main cause </w:t>
      </w:r>
      <w:r w:rsidR="00BD7237" w:rsidRPr="00E52246">
        <w:t xml:space="preserve">of </w:t>
      </w:r>
      <w:r w:rsidR="003E6172" w:rsidRPr="00E52246">
        <w:t>the stagnation in business investment</w:t>
      </w:r>
    </w:p>
    <w:p w14:paraId="7156D107" w14:textId="097D2665" w:rsidR="00653C4C" w:rsidRPr="00E52246" w:rsidRDefault="00653C4C" w:rsidP="000419C4">
      <w:pPr>
        <w:spacing w:after="0"/>
      </w:pPr>
      <w:r w:rsidRPr="00E52246">
        <w:rPr>
          <w:noProof/>
        </w:rPr>
        <w:drawing>
          <wp:inline distT="0" distB="0" distL="0" distR="0" wp14:anchorId="2136B2EE" wp14:editId="27DA0ED6">
            <wp:extent cx="3250933" cy="2548068"/>
            <wp:effectExtent l="0" t="0" r="6985" b="5080"/>
            <wp:docPr id="82471220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12203" name=""/>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rcRect b="1886"/>
                    <a:stretch>
                      <a:fillRect/>
                    </a:stretch>
                  </pic:blipFill>
                  <pic:spPr>
                    <a:xfrm>
                      <a:off x="0" y="0"/>
                      <a:ext cx="3250933" cy="2548068"/>
                    </a:xfrm>
                    <a:prstGeom prst="rect">
                      <a:avLst/>
                    </a:prstGeom>
                  </pic:spPr>
                </pic:pic>
              </a:graphicData>
            </a:graphic>
          </wp:inline>
        </w:drawing>
      </w:r>
    </w:p>
    <w:p w14:paraId="432CD611" w14:textId="62BFFF46" w:rsidR="007D6D4D" w:rsidRPr="00E52246" w:rsidRDefault="00653C4C" w:rsidP="000419C4">
      <w:pPr>
        <w:pStyle w:val="ExhibitSource"/>
      </w:pPr>
      <w:r w:rsidRPr="00E52246">
        <w:t>Source: Oxford Economics calculations using data from Haver Analytics</w:t>
      </w:r>
    </w:p>
    <w:p w14:paraId="1F63B645" w14:textId="18243ED7" w:rsidR="007D6D4D" w:rsidRPr="00E52246" w:rsidRDefault="001D536B" w:rsidP="007D6D4D">
      <w:r>
        <w:lastRenderedPageBreak/>
        <w:t>G</w:t>
      </w:r>
      <w:r w:rsidR="00907E57" w:rsidRPr="00E52246">
        <w:t>rowth in spending on other assets has</w:t>
      </w:r>
      <w:r w:rsidR="0038229A">
        <w:t>n't</w:t>
      </w:r>
      <w:r w:rsidR="00907E57" w:rsidRPr="00E52246">
        <w:t xml:space="preserve"> </w:t>
      </w:r>
      <w:r w:rsidR="0038229A">
        <w:t xml:space="preserve">been particularly </w:t>
      </w:r>
      <w:r w:rsidR="00907E57" w:rsidRPr="00E52246">
        <w:t>strong</w:t>
      </w:r>
      <w:r w:rsidR="0038229A">
        <w:t xml:space="preserve"> either</w:t>
      </w:r>
      <w:r w:rsidR="007D6D4D" w:rsidRPr="00E52246">
        <w:t>.</w:t>
      </w:r>
      <w:r w:rsidR="00907E57" w:rsidRPr="00E52246">
        <w:t xml:space="preserve"> Investment in transport equipment collapsed during the pandemic, due to the impact </w:t>
      </w:r>
      <w:r w:rsidR="00294352" w:rsidRPr="00E52246">
        <w:t xml:space="preserve">of the slump in tourism </w:t>
      </w:r>
      <w:r w:rsidR="00907E57" w:rsidRPr="00E52246">
        <w:t>on demand for aircraft.</w:t>
      </w:r>
      <w:r w:rsidR="00F2738F" w:rsidRPr="00E52246">
        <w:t xml:space="preserve"> </w:t>
      </w:r>
      <w:r w:rsidR="00DF0831" w:rsidRPr="00E52246">
        <w:t>T</w:t>
      </w:r>
      <w:r w:rsidR="00F2738F" w:rsidRPr="00E52246">
        <w:t xml:space="preserve">hat fall has subsequently fully reversed, </w:t>
      </w:r>
      <w:r w:rsidR="00DF0831" w:rsidRPr="00E52246">
        <w:t xml:space="preserve">although momentum has ebbed in recent quarters </w:t>
      </w:r>
      <w:r w:rsidR="00063717" w:rsidRPr="00E52246">
        <w:t>now that</w:t>
      </w:r>
      <w:r w:rsidR="00DF0831" w:rsidRPr="00E52246">
        <w:t xml:space="preserve"> pent-up demand</w:t>
      </w:r>
      <w:r w:rsidR="009619B3" w:rsidRPr="00E52246">
        <w:t xml:space="preserve"> </w:t>
      </w:r>
      <w:r w:rsidR="00DF0831" w:rsidRPr="00E52246">
        <w:t>ha</w:t>
      </w:r>
      <w:r w:rsidR="008A013D" w:rsidRPr="00E52246">
        <w:t>s</w:t>
      </w:r>
      <w:r w:rsidR="00DF0831" w:rsidRPr="00E52246">
        <w:t xml:space="preserve"> been fulfilled. There's some evidence that the super-deduction – a temporary 130% capital allowance for investment in plant and machinery available from Q2 2021 to Q1 2023 – helped to support the post-pandemic recovery in ICT equipment. But the relatively narrow focus of the scheme meant that it was a small piece of the story for business investment in aggregate. </w:t>
      </w:r>
    </w:p>
    <w:p w14:paraId="701449B5" w14:textId="7815F543" w:rsidR="00DF0831" w:rsidRPr="00E52246" w:rsidRDefault="0084308F" w:rsidP="000419C4">
      <w:pPr>
        <w:pStyle w:val="Heading3"/>
      </w:pPr>
      <w:r w:rsidRPr="00E52246">
        <w:t xml:space="preserve">Financial constraints are the main factor behind </w:t>
      </w:r>
      <w:r w:rsidR="001D536B">
        <w:t xml:space="preserve">the </w:t>
      </w:r>
      <w:r w:rsidRPr="00E52246">
        <w:t>recent low levels of investment</w:t>
      </w:r>
    </w:p>
    <w:p w14:paraId="3AA13B4F" w14:textId="10C0BA3A" w:rsidR="00672ED2" w:rsidRPr="00E52246" w:rsidRDefault="00372476" w:rsidP="00672ED2">
      <w:r w:rsidRPr="00E52246">
        <w:t xml:space="preserve">The latest CBI surveys identify financial factors as </w:t>
      </w:r>
      <w:r w:rsidR="00DA51FD" w:rsidRPr="00E52246">
        <w:t>far more important</w:t>
      </w:r>
      <w:r w:rsidRPr="00E52246">
        <w:t xml:space="preserve"> constraints on investment </w:t>
      </w:r>
      <w:r w:rsidR="002E709C" w:rsidRPr="00E52246">
        <w:t xml:space="preserve">now </w:t>
      </w:r>
      <w:r w:rsidR="00DA51FD" w:rsidRPr="00E52246">
        <w:t xml:space="preserve">than in the past </w:t>
      </w:r>
      <w:r w:rsidRPr="00E52246">
        <w:t>(</w:t>
      </w:r>
      <w:r w:rsidR="00AF2D0F" w:rsidRPr="003A161B">
        <w:rPr>
          <w:b/>
          <w:color w:val="003469"/>
        </w:rPr>
        <w:fldChar w:fldCharType="begin"/>
      </w:r>
      <w:r w:rsidR="003A161B" w:rsidRPr="003A161B">
        <w:rPr>
          <w:b/>
          <w:color w:val="003469"/>
        </w:rPr>
        <w:instrText xml:space="preserve">REF _Ref179308831 \h \* Charformat </w:instrText>
      </w:r>
      <w:r w:rsidR="003A161B" w:rsidRPr="003A161B">
        <w:rPr>
          <w:b/>
          <w:color w:val="003469"/>
        </w:rPr>
      </w:r>
      <w:r w:rsidR="00AF2D0F" w:rsidRPr="003A161B">
        <w:rPr>
          <w:b/>
          <w:color w:val="003469"/>
        </w:rPr>
        <w:fldChar w:fldCharType="separate"/>
      </w:r>
      <w:r w:rsidR="003A161B" w:rsidRPr="003A161B">
        <w:rPr>
          <w:b/>
          <w:color w:val="003469"/>
        </w:rPr>
        <w:t>Chart 4</w:t>
      </w:r>
      <w:r w:rsidR="00AF2D0F" w:rsidRPr="003A161B">
        <w:rPr>
          <w:b/>
          <w:color w:val="003469"/>
        </w:rPr>
        <w:fldChar w:fldCharType="end"/>
      </w:r>
      <w:r w:rsidRPr="00E52246">
        <w:t>)</w:t>
      </w:r>
      <w:r w:rsidR="001D536B">
        <w:t>.</w:t>
      </w:r>
      <w:r w:rsidR="00DA51FD" w:rsidRPr="00E52246">
        <w:t xml:space="preserve"> </w:t>
      </w:r>
      <w:r w:rsidR="001D536B">
        <w:t>O</w:t>
      </w:r>
      <w:r w:rsidR="00A712A9" w:rsidRPr="00E52246">
        <w:t>ther</w:t>
      </w:r>
      <w:r w:rsidR="00DA51FD" w:rsidRPr="00E52246">
        <w:t xml:space="preserve"> data back that idea</w:t>
      </w:r>
      <w:r w:rsidR="001D536B">
        <w:t>:</w:t>
      </w:r>
      <w:r w:rsidRPr="00E52246">
        <w:t xml:space="preserve"> </w:t>
      </w:r>
      <w:r w:rsidR="001D536B">
        <w:t>o</w:t>
      </w:r>
      <w:r w:rsidR="00D6229C" w:rsidRPr="00E52246">
        <w:t xml:space="preserve">ver the </w:t>
      </w:r>
      <w:r w:rsidR="00DA51FD" w:rsidRPr="00E52246">
        <w:t>l</w:t>
      </w:r>
      <w:r w:rsidR="00D6229C" w:rsidRPr="00E52246">
        <w:t>ast year, the ratio of corporate profits to GDP has dropped to its lowest level since the global financial crisis.</w:t>
      </w:r>
      <w:r w:rsidR="00672ED2" w:rsidRPr="00E52246">
        <w:t xml:space="preserve"> </w:t>
      </w:r>
    </w:p>
    <w:p w14:paraId="2C993591" w14:textId="2320FFCC" w:rsidR="008B51F6" w:rsidRPr="00E52246" w:rsidRDefault="008B51F6" w:rsidP="000419C4">
      <w:pPr>
        <w:pStyle w:val="ExhibitTitle"/>
      </w:pPr>
      <w:bookmarkStart w:id="3" w:name="_Ref179308831"/>
      <w:r w:rsidRPr="00E52246">
        <w:t xml:space="preserve">Chart </w:t>
      </w:r>
      <w:r w:rsidRPr="00E52246">
        <w:fldChar w:fldCharType="begin"/>
      </w:r>
      <w:r w:rsidR="00560F24" w:rsidRPr="00E52246">
        <w:instrText>SEQ CHART</w:instrText>
      </w:r>
      <w:r w:rsidRPr="00E52246">
        <w:fldChar w:fldCharType="separate"/>
      </w:r>
      <w:r w:rsidR="00653C4C" w:rsidRPr="00E52246">
        <w:t>4</w:t>
      </w:r>
      <w:r w:rsidRPr="00E52246">
        <w:fldChar w:fldCharType="end"/>
      </w:r>
      <w:bookmarkEnd w:id="3"/>
      <w:r w:rsidRPr="00E52246">
        <w:t xml:space="preserve">: </w:t>
      </w:r>
      <w:r w:rsidR="00DA51FD" w:rsidRPr="00E52246">
        <w:t xml:space="preserve">Finance-related factors </w:t>
      </w:r>
      <w:r w:rsidR="004E47C1" w:rsidRPr="00E52246">
        <w:t>are more important constraints on investment now than historically</w:t>
      </w:r>
    </w:p>
    <w:p w14:paraId="5D7FBB25" w14:textId="6698E5C6" w:rsidR="00560F24" w:rsidRPr="00E52246" w:rsidRDefault="00560F24" w:rsidP="000419C4">
      <w:pPr>
        <w:spacing w:after="0"/>
      </w:pPr>
      <w:r w:rsidRPr="00E52246">
        <w:rPr>
          <w:noProof/>
        </w:rPr>
        <w:drawing>
          <wp:inline distT="0" distB="0" distL="0" distR="0" wp14:anchorId="12B3DA70" wp14:editId="5B971D2F">
            <wp:extent cx="3250933" cy="2548068"/>
            <wp:effectExtent l="0" t="0" r="6985" b="5080"/>
            <wp:docPr id="954929186"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29186" name=""/>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rcRect b="1886"/>
                    <a:stretch>
                      <a:fillRect/>
                    </a:stretch>
                  </pic:blipFill>
                  <pic:spPr>
                    <a:xfrm>
                      <a:off x="0" y="0"/>
                      <a:ext cx="3250933" cy="2548068"/>
                    </a:xfrm>
                    <a:prstGeom prst="rect">
                      <a:avLst/>
                    </a:prstGeom>
                  </pic:spPr>
                </pic:pic>
              </a:graphicData>
            </a:graphic>
          </wp:inline>
        </w:drawing>
      </w:r>
    </w:p>
    <w:p w14:paraId="62305A7F" w14:textId="0718A35E" w:rsidR="008B51F6" w:rsidRPr="00E52246" w:rsidRDefault="00560F24" w:rsidP="000419C4">
      <w:pPr>
        <w:pStyle w:val="ExhibitSource"/>
      </w:pPr>
      <w:r w:rsidRPr="00E52246">
        <w:t>Source: Oxford Economics calculations using data from Haver Analytics</w:t>
      </w:r>
    </w:p>
    <w:p w14:paraId="57515CC4" w14:textId="73958816" w:rsidR="002E709C" w:rsidRPr="00E52246" w:rsidRDefault="002E709C" w:rsidP="002E709C">
      <w:r w:rsidRPr="00E52246">
        <w:t xml:space="preserve">Meanwhile, the level of corporate deposits has fallen sharply over the past two years. Like households, companies built up substantial 'excess savings' during the pandemic – </w:t>
      </w:r>
      <w:r w:rsidR="001D536B">
        <w:t>by</w:t>
      </w:r>
      <w:r w:rsidR="001D536B" w:rsidRPr="00E52246">
        <w:t xml:space="preserve"> </w:t>
      </w:r>
      <w:r w:rsidRPr="00E52246">
        <w:t>mid-2022, the level of corporate deposits was £119bn (4.8% of GDP) higher than it would have been had the 2016-2019 trend continued (</w:t>
      </w:r>
      <w:r w:rsidRPr="003A161B">
        <w:rPr>
          <w:b/>
          <w:color w:val="003469"/>
        </w:rPr>
        <w:fldChar w:fldCharType="begin"/>
      </w:r>
      <w:r w:rsidR="003A161B" w:rsidRPr="003A161B">
        <w:rPr>
          <w:b/>
          <w:color w:val="003469"/>
        </w:rPr>
        <w:instrText xml:space="preserve">REF _Ref179308832 \h \* Charformat </w:instrText>
      </w:r>
      <w:r w:rsidR="003A161B" w:rsidRPr="003A161B">
        <w:rPr>
          <w:b/>
          <w:color w:val="003469"/>
        </w:rPr>
      </w:r>
      <w:r w:rsidRPr="003A161B">
        <w:rPr>
          <w:b/>
          <w:color w:val="003469"/>
        </w:rPr>
        <w:fldChar w:fldCharType="separate"/>
      </w:r>
      <w:r w:rsidR="003A161B" w:rsidRPr="003A161B">
        <w:rPr>
          <w:b/>
          <w:color w:val="003469"/>
        </w:rPr>
        <w:t>Chart 5</w:t>
      </w:r>
      <w:r w:rsidRPr="003A161B">
        <w:rPr>
          <w:b/>
          <w:color w:val="003469"/>
        </w:rPr>
        <w:fldChar w:fldCharType="end"/>
      </w:r>
      <w:r w:rsidRPr="00E52246">
        <w:t xml:space="preserve">). But since then, most of the stock of excess savings has been </w:t>
      </w:r>
      <w:r w:rsidR="001D536B">
        <w:t>unwound</w:t>
      </w:r>
      <w:r w:rsidRPr="00E52246">
        <w:t xml:space="preserve">, reducing the amount of internal funding </w:t>
      </w:r>
      <w:r w:rsidR="005A6C6F" w:rsidRPr="00E52246">
        <w:t xml:space="preserve">available </w:t>
      </w:r>
      <w:r w:rsidRPr="00E52246">
        <w:t>to finance capital spending.</w:t>
      </w:r>
    </w:p>
    <w:p w14:paraId="0CF6E822" w14:textId="58F270DA" w:rsidR="00D6229C" w:rsidRPr="00E52246" w:rsidRDefault="00D6229C" w:rsidP="000419C4">
      <w:pPr>
        <w:pStyle w:val="ExhibitTitle"/>
      </w:pPr>
      <w:bookmarkStart w:id="4" w:name="_Ref179308832"/>
      <w:r w:rsidRPr="00E52246">
        <w:t xml:space="preserve">Chart </w:t>
      </w:r>
      <w:r w:rsidRPr="00E52246">
        <w:fldChar w:fldCharType="begin"/>
      </w:r>
      <w:r w:rsidR="00B52E6B" w:rsidRPr="00E52246">
        <w:instrText>SEQ CHART</w:instrText>
      </w:r>
      <w:r w:rsidRPr="00E52246">
        <w:fldChar w:fldCharType="separate"/>
      </w:r>
      <w:r w:rsidR="00653C4C" w:rsidRPr="00E52246">
        <w:t>5</w:t>
      </w:r>
      <w:r w:rsidRPr="00E52246">
        <w:fldChar w:fldCharType="end"/>
      </w:r>
      <w:bookmarkEnd w:id="4"/>
      <w:r w:rsidRPr="00E52246">
        <w:t xml:space="preserve">: </w:t>
      </w:r>
      <w:r w:rsidR="00716356" w:rsidRPr="00E52246">
        <w:t xml:space="preserve">Most of the 'excess savings' built up by companies during the pandemic </w:t>
      </w:r>
      <w:r w:rsidR="001D536B" w:rsidRPr="00E52246">
        <w:t>ha</w:t>
      </w:r>
      <w:r w:rsidR="001D536B">
        <w:t>s</w:t>
      </w:r>
      <w:r w:rsidR="001D536B" w:rsidRPr="00E52246">
        <w:t xml:space="preserve"> </w:t>
      </w:r>
      <w:r w:rsidR="00716356" w:rsidRPr="00E52246">
        <w:t>been eroded</w:t>
      </w:r>
    </w:p>
    <w:p w14:paraId="7B3F4E66" w14:textId="5780DB1F" w:rsidR="00B52E6B" w:rsidRPr="00E52246" w:rsidRDefault="00B52E6B" w:rsidP="000419C4">
      <w:pPr>
        <w:spacing w:after="0"/>
      </w:pPr>
      <w:r w:rsidRPr="00E52246">
        <w:rPr>
          <w:noProof/>
        </w:rPr>
        <w:drawing>
          <wp:inline distT="0" distB="0" distL="0" distR="0" wp14:anchorId="05632AA7" wp14:editId="01C681E4">
            <wp:extent cx="3250933" cy="2548068"/>
            <wp:effectExtent l="0" t="0" r="6985" b="5080"/>
            <wp:docPr id="2047992947"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92947" name=""/>
                    <pic:cNvPicPr/>
                  </pic:nvPicPr>
                  <pic:blipFill>
                    <a:blip r:embed="rId26" cstate="print">
                      <a:extLst>
                        <a:ext uri="{28A0092B-C50C-407E-A947-70E740481C1C}">
                          <a14:useLocalDpi xmlns:a14="http://schemas.microsoft.com/office/drawing/2010/main" val="0"/>
                        </a:ext>
                        <a:ext uri="{96DAC541-7B7A-43D3-8B79-37D633B846F1}">
                          <asvg:svgBlip xmlns:asvg="http://schemas.microsoft.com/office/drawing/2016/SVG/main" r:embed="rId27"/>
                        </a:ext>
                      </a:extLst>
                    </a:blip>
                    <a:srcRect b="1886"/>
                    <a:stretch>
                      <a:fillRect/>
                    </a:stretch>
                  </pic:blipFill>
                  <pic:spPr>
                    <a:xfrm>
                      <a:off x="0" y="0"/>
                      <a:ext cx="3250933" cy="2548068"/>
                    </a:xfrm>
                    <a:prstGeom prst="rect">
                      <a:avLst/>
                    </a:prstGeom>
                  </pic:spPr>
                </pic:pic>
              </a:graphicData>
            </a:graphic>
          </wp:inline>
        </w:drawing>
      </w:r>
    </w:p>
    <w:p w14:paraId="361F8A4B" w14:textId="4F00930D" w:rsidR="00D6229C" w:rsidRPr="00E52246" w:rsidRDefault="00B52E6B" w:rsidP="000419C4">
      <w:pPr>
        <w:pStyle w:val="ExhibitSource"/>
      </w:pPr>
      <w:r w:rsidRPr="00E52246">
        <w:t>Source: Oxford Economics calculations using data from Haver Analytics</w:t>
      </w:r>
    </w:p>
    <w:p w14:paraId="3A20E9B1" w14:textId="42CC6532" w:rsidR="00E93209" w:rsidRPr="00E52246" w:rsidRDefault="00033577" w:rsidP="00E93209">
      <w:r w:rsidRPr="00E52246">
        <w:lastRenderedPageBreak/>
        <w:t xml:space="preserve">Rising debt servicing costs have been </w:t>
      </w:r>
      <w:r w:rsidR="001D536B">
        <w:t>a</w:t>
      </w:r>
      <w:r w:rsidRPr="00E52246">
        <w:t xml:space="preserve"> </w:t>
      </w:r>
      <w:r w:rsidR="00D6229C" w:rsidRPr="00E52246">
        <w:t>key pressure on corporate finances</w:t>
      </w:r>
      <w:r w:rsidRPr="00E52246">
        <w:t xml:space="preserve">. </w:t>
      </w:r>
      <w:r w:rsidR="008B5335" w:rsidRPr="00E52246">
        <w:t>The average interest rate on outstanding loans to companies rose by more than 400bps during the Bank of England's hiking cycle</w:t>
      </w:r>
      <w:r w:rsidR="001D536B">
        <w:t xml:space="preserve"> –</w:t>
      </w:r>
      <w:r w:rsidR="008B5335" w:rsidRPr="00E52246">
        <w:t xml:space="preserve"> more than double the increase in average household mortgage rates</w:t>
      </w:r>
      <w:r w:rsidR="001F5B53" w:rsidRPr="00E52246">
        <w:t xml:space="preserve"> (</w:t>
      </w:r>
      <w:r w:rsidR="00AF2D0F" w:rsidRPr="003A161B">
        <w:rPr>
          <w:b/>
          <w:color w:val="003469"/>
        </w:rPr>
        <w:fldChar w:fldCharType="begin"/>
      </w:r>
      <w:r w:rsidR="003A161B" w:rsidRPr="003A161B">
        <w:rPr>
          <w:b/>
          <w:color w:val="003469"/>
        </w:rPr>
        <w:instrText xml:space="preserve">REF _Ref179308874 \h \* Charformat </w:instrText>
      </w:r>
      <w:r w:rsidR="003A161B" w:rsidRPr="003A161B">
        <w:rPr>
          <w:b/>
          <w:color w:val="003469"/>
        </w:rPr>
      </w:r>
      <w:r w:rsidR="00AF2D0F" w:rsidRPr="003A161B">
        <w:rPr>
          <w:b/>
          <w:color w:val="003469"/>
        </w:rPr>
        <w:fldChar w:fldCharType="separate"/>
      </w:r>
      <w:r w:rsidR="003A161B" w:rsidRPr="003A161B">
        <w:rPr>
          <w:b/>
          <w:color w:val="003469"/>
        </w:rPr>
        <w:t>Chart 6</w:t>
      </w:r>
      <w:r w:rsidR="00AF2D0F" w:rsidRPr="003A161B">
        <w:rPr>
          <w:b/>
          <w:color w:val="003469"/>
        </w:rPr>
        <w:fldChar w:fldCharType="end"/>
      </w:r>
      <w:r w:rsidR="001F5B53" w:rsidRPr="00E52246">
        <w:t>)</w:t>
      </w:r>
      <w:r w:rsidR="008B5335" w:rsidRPr="00E52246">
        <w:t xml:space="preserve">. </w:t>
      </w:r>
      <w:r w:rsidR="001F5B53" w:rsidRPr="00E52246">
        <w:t xml:space="preserve">What's more, the pass through was rapid, with the bulk of the rise in corporate interest rates happening during the period </w:t>
      </w:r>
      <w:r w:rsidR="00D7478E" w:rsidRPr="00E52246">
        <w:t xml:space="preserve">when </w:t>
      </w:r>
      <w:r w:rsidR="001F5B53" w:rsidRPr="00E52246">
        <w:t>the BoE was increasing the policy rate.</w:t>
      </w:r>
      <w:r w:rsidR="005A76B1" w:rsidRPr="00E52246">
        <w:t xml:space="preserve"> Most corporate debt is floating rate or fixed at short maturities</w:t>
      </w:r>
      <w:r w:rsidR="001D536B">
        <w:t>,</w:t>
      </w:r>
      <w:r w:rsidR="005A76B1" w:rsidRPr="00E52246">
        <w:t xml:space="preserve"> and hence resets quickly in response to changes in Bank Rate.</w:t>
      </w:r>
    </w:p>
    <w:p w14:paraId="024302F0" w14:textId="2D222E9C" w:rsidR="007A781B" w:rsidRPr="00E52246" w:rsidRDefault="007A781B" w:rsidP="000419C4">
      <w:pPr>
        <w:pStyle w:val="ExhibitTitle"/>
      </w:pPr>
      <w:bookmarkStart w:id="5" w:name="_Ref179308874"/>
      <w:r w:rsidRPr="00E52246">
        <w:t xml:space="preserve">Chart </w:t>
      </w:r>
      <w:r w:rsidRPr="00E52246">
        <w:fldChar w:fldCharType="begin"/>
      </w:r>
      <w:r w:rsidR="00B52E6B" w:rsidRPr="00E52246">
        <w:instrText>SEQ CHART</w:instrText>
      </w:r>
      <w:r w:rsidRPr="00E52246">
        <w:fldChar w:fldCharType="separate"/>
      </w:r>
      <w:r w:rsidR="00653C4C" w:rsidRPr="00E52246">
        <w:t>6</w:t>
      </w:r>
      <w:r w:rsidRPr="00E52246">
        <w:fldChar w:fldCharType="end"/>
      </w:r>
      <w:bookmarkEnd w:id="5"/>
      <w:r w:rsidRPr="00E52246">
        <w:t xml:space="preserve">: </w:t>
      </w:r>
      <w:r w:rsidR="00C675A8" w:rsidRPr="00E52246">
        <w:t>Corporate interest rates responded quickly to rising Bank Rate</w:t>
      </w:r>
    </w:p>
    <w:p w14:paraId="161950D8" w14:textId="66E33D1E" w:rsidR="00B52E6B" w:rsidRPr="00E52246" w:rsidRDefault="00B52E6B" w:rsidP="000419C4">
      <w:pPr>
        <w:spacing w:after="0"/>
      </w:pPr>
      <w:r w:rsidRPr="00E52246">
        <w:rPr>
          <w:noProof/>
        </w:rPr>
        <w:drawing>
          <wp:inline distT="0" distB="0" distL="0" distR="0" wp14:anchorId="36AC87BC" wp14:editId="22002771">
            <wp:extent cx="3250933" cy="2548068"/>
            <wp:effectExtent l="0" t="0" r="6985" b="5080"/>
            <wp:docPr id="1364135592"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35592" name=""/>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rcRect b="1886"/>
                    <a:stretch>
                      <a:fillRect/>
                    </a:stretch>
                  </pic:blipFill>
                  <pic:spPr>
                    <a:xfrm>
                      <a:off x="0" y="0"/>
                      <a:ext cx="3250933" cy="2548068"/>
                    </a:xfrm>
                    <a:prstGeom prst="rect">
                      <a:avLst/>
                    </a:prstGeom>
                  </pic:spPr>
                </pic:pic>
              </a:graphicData>
            </a:graphic>
          </wp:inline>
        </w:drawing>
      </w:r>
    </w:p>
    <w:p w14:paraId="05FF193D" w14:textId="74A350E1" w:rsidR="007A781B" w:rsidRPr="00E52246" w:rsidRDefault="00B52E6B" w:rsidP="000419C4">
      <w:pPr>
        <w:pStyle w:val="ExhibitSource"/>
      </w:pPr>
      <w:r w:rsidRPr="00E52246">
        <w:t>Source: Haver Analytics</w:t>
      </w:r>
    </w:p>
    <w:p w14:paraId="56A68714" w14:textId="5F5EFE8F" w:rsidR="007A781B" w:rsidRPr="00E52246" w:rsidRDefault="00E00A06" w:rsidP="007D6D4D">
      <w:r w:rsidRPr="00E52246">
        <w:t xml:space="preserve">Small and medium-sized enterprises were particularly vulnerable to the impact of rising interest rates because of the extent to which their debt levels rose </w:t>
      </w:r>
      <w:r w:rsidR="000144AC">
        <w:t>during</w:t>
      </w:r>
      <w:r w:rsidR="000144AC" w:rsidRPr="00E52246">
        <w:t xml:space="preserve"> </w:t>
      </w:r>
      <w:r w:rsidRPr="00E52246">
        <w:t xml:space="preserve">the pandemic. In 2020, the stock of outstanding loans to SMEs rose by more than 30%, in marked contrast to </w:t>
      </w:r>
      <w:r w:rsidR="000144AC">
        <w:t xml:space="preserve">loans to </w:t>
      </w:r>
      <w:r w:rsidRPr="00E52246">
        <w:t xml:space="preserve">larger firms. Some of </w:t>
      </w:r>
      <w:r w:rsidR="000144AC">
        <w:t xml:space="preserve">the </w:t>
      </w:r>
      <w:r w:rsidRPr="00E52246">
        <w:t xml:space="preserve">new debt came from loans backed by the state, </w:t>
      </w:r>
      <w:r w:rsidR="000144AC">
        <w:t>which</w:t>
      </w:r>
      <w:r w:rsidR="000144AC" w:rsidRPr="00E52246">
        <w:t xml:space="preserve"> </w:t>
      </w:r>
      <w:r w:rsidR="000144AC">
        <w:t>carried fixed</w:t>
      </w:r>
      <w:r w:rsidR="000144AC" w:rsidRPr="00E52246">
        <w:t xml:space="preserve"> </w:t>
      </w:r>
      <w:r w:rsidR="00452C4E" w:rsidRPr="00E52246">
        <w:t>interest rate</w:t>
      </w:r>
      <w:r w:rsidR="000144AC">
        <w:t>s</w:t>
      </w:r>
      <w:r w:rsidRPr="00E52246">
        <w:t xml:space="preserve">. </w:t>
      </w:r>
      <w:r w:rsidR="000144AC">
        <w:t>Still,</w:t>
      </w:r>
      <w:r w:rsidR="000144AC" w:rsidRPr="00E52246">
        <w:t xml:space="preserve"> </w:t>
      </w:r>
      <w:r w:rsidR="00DB3D62" w:rsidRPr="00E52246">
        <w:t>i</w:t>
      </w:r>
      <w:r w:rsidR="00F14CAD" w:rsidRPr="00E52246">
        <w:t xml:space="preserve">n early-2024, debt servicing costs </w:t>
      </w:r>
      <w:r w:rsidR="000144AC" w:rsidRPr="00E52246">
        <w:t xml:space="preserve">as a share of corporate profits </w:t>
      </w:r>
      <w:r w:rsidR="00F14CAD" w:rsidRPr="00E52246">
        <w:t>were at their highest level for 14 years (</w:t>
      </w:r>
      <w:r w:rsidR="00AF2D0F" w:rsidRPr="003A161B">
        <w:rPr>
          <w:b/>
          <w:color w:val="003469"/>
        </w:rPr>
        <w:fldChar w:fldCharType="begin"/>
      </w:r>
      <w:r w:rsidR="003A161B" w:rsidRPr="003A161B">
        <w:rPr>
          <w:b/>
          <w:color w:val="003469"/>
        </w:rPr>
        <w:instrText xml:space="preserve">REF _Ref179308828 \h \* Charformat </w:instrText>
      </w:r>
      <w:r w:rsidR="003A161B" w:rsidRPr="003A161B">
        <w:rPr>
          <w:b/>
          <w:color w:val="003469"/>
        </w:rPr>
      </w:r>
      <w:r w:rsidR="00AF2D0F" w:rsidRPr="003A161B">
        <w:rPr>
          <w:b/>
          <w:color w:val="003469"/>
        </w:rPr>
        <w:fldChar w:fldCharType="separate"/>
      </w:r>
      <w:r w:rsidR="003A161B" w:rsidRPr="003A161B">
        <w:rPr>
          <w:b/>
          <w:color w:val="003469"/>
        </w:rPr>
        <w:t>Chart 1</w:t>
      </w:r>
      <w:r w:rsidR="00AF2D0F" w:rsidRPr="003A161B">
        <w:rPr>
          <w:b/>
          <w:color w:val="003469"/>
        </w:rPr>
        <w:fldChar w:fldCharType="end"/>
      </w:r>
      <w:r w:rsidR="00F14CAD" w:rsidRPr="00E52246">
        <w:t>).</w:t>
      </w:r>
    </w:p>
    <w:p w14:paraId="6FFD9186" w14:textId="6B394927" w:rsidR="0084308F" w:rsidRPr="00E52246" w:rsidRDefault="0084308F" w:rsidP="000419C4">
      <w:pPr>
        <w:pStyle w:val="Heading3"/>
      </w:pPr>
      <w:r w:rsidRPr="00E52246">
        <w:t>The financial outlook for companies is brightening</w:t>
      </w:r>
    </w:p>
    <w:p w14:paraId="6BD63317" w14:textId="004D45F2" w:rsidR="007F5C95" w:rsidRPr="00E52246" w:rsidRDefault="000144AC" w:rsidP="007D6D4D">
      <w:r>
        <w:t>W</w:t>
      </w:r>
      <w:r w:rsidR="007F5C95" w:rsidRPr="00E52246">
        <w:t xml:space="preserve">e think the worst </w:t>
      </w:r>
      <w:r>
        <w:t>has</w:t>
      </w:r>
      <w:r w:rsidRPr="00E52246">
        <w:t xml:space="preserve"> now passed </w:t>
      </w:r>
      <w:r>
        <w:t>for</w:t>
      </w:r>
      <w:r w:rsidR="007F5C95" w:rsidRPr="00E52246">
        <w:t xml:space="preserve"> debt servicing costs. The BoE is in the early stages of what we expect to be a steady loosening of monetary policy, and the speed at which rate hikes were transmitted to corporate interest rates bodes well for </w:t>
      </w:r>
      <w:r>
        <w:t>borrowing</w:t>
      </w:r>
      <w:r w:rsidR="007F5C95" w:rsidRPr="00E52246">
        <w:t xml:space="preserve"> as </w:t>
      </w:r>
      <w:r>
        <w:t>rates are</w:t>
      </w:r>
      <w:r w:rsidR="007F5C95" w:rsidRPr="00E52246">
        <w:t xml:space="preserve"> cut. At the same time, the stock of loans to SMEs has fallen by around 20% from its early-2021 peak</w:t>
      </w:r>
      <w:r w:rsidR="00EC3599" w:rsidRPr="00E52246">
        <w:t xml:space="preserve"> (</w:t>
      </w:r>
      <w:r w:rsidR="009C2709" w:rsidRPr="003A161B">
        <w:rPr>
          <w:b/>
          <w:color w:val="003469"/>
        </w:rPr>
        <w:fldChar w:fldCharType="begin"/>
      </w:r>
      <w:r w:rsidR="003A161B" w:rsidRPr="003A161B">
        <w:rPr>
          <w:b/>
          <w:color w:val="003469"/>
        </w:rPr>
        <w:instrText xml:space="preserve">REF _Ref179537146 \h \* Charformat </w:instrText>
      </w:r>
      <w:r w:rsidR="003A161B" w:rsidRPr="003A161B">
        <w:rPr>
          <w:b/>
          <w:color w:val="003469"/>
        </w:rPr>
      </w:r>
      <w:r w:rsidR="009C2709" w:rsidRPr="003A161B">
        <w:rPr>
          <w:b/>
          <w:color w:val="003469"/>
        </w:rPr>
        <w:fldChar w:fldCharType="separate"/>
      </w:r>
      <w:r w:rsidR="003A161B" w:rsidRPr="003A161B">
        <w:rPr>
          <w:b/>
          <w:color w:val="003469"/>
        </w:rPr>
        <w:t>Chart 7</w:t>
      </w:r>
      <w:r w:rsidR="009C2709" w:rsidRPr="003A161B">
        <w:rPr>
          <w:b/>
          <w:color w:val="003469"/>
        </w:rPr>
        <w:fldChar w:fldCharType="end"/>
      </w:r>
      <w:r w:rsidR="00EC3599" w:rsidRPr="00E52246">
        <w:t>)</w:t>
      </w:r>
      <w:r w:rsidR="007F5C95" w:rsidRPr="00E52246">
        <w:t>.</w:t>
      </w:r>
      <w:r w:rsidR="00FA6D9F" w:rsidRPr="00E52246">
        <w:t xml:space="preserve"> </w:t>
      </w:r>
    </w:p>
    <w:p w14:paraId="60D18D4E" w14:textId="20FD095B" w:rsidR="00117030" w:rsidRPr="00E52246" w:rsidRDefault="00117030" w:rsidP="000419C4">
      <w:pPr>
        <w:pStyle w:val="ExhibitTitle"/>
      </w:pPr>
      <w:bookmarkStart w:id="6" w:name="_Ref179537146"/>
      <w:r w:rsidRPr="00E52246">
        <w:t xml:space="preserve">Chart </w:t>
      </w:r>
      <w:r w:rsidRPr="00E52246">
        <w:fldChar w:fldCharType="begin"/>
      </w:r>
      <w:r w:rsidR="00B52E6B" w:rsidRPr="00E52246">
        <w:instrText>SEQ CHART</w:instrText>
      </w:r>
      <w:r w:rsidRPr="00E52246">
        <w:fldChar w:fldCharType="separate"/>
      </w:r>
      <w:r w:rsidR="00653C4C" w:rsidRPr="00E52246">
        <w:t>7</w:t>
      </w:r>
      <w:r w:rsidRPr="00E52246">
        <w:fldChar w:fldCharType="end"/>
      </w:r>
      <w:bookmarkEnd w:id="6"/>
      <w:r w:rsidRPr="00E52246">
        <w:t xml:space="preserve">: </w:t>
      </w:r>
      <w:r w:rsidR="004D1740" w:rsidRPr="00E52246">
        <w:t>After a surge in debt during the pandemic, small firms have deleveraged significantly</w:t>
      </w:r>
    </w:p>
    <w:p w14:paraId="30D153C5" w14:textId="0C8FF43C" w:rsidR="00B52E6B" w:rsidRPr="00E52246" w:rsidRDefault="00B52E6B" w:rsidP="000419C4">
      <w:pPr>
        <w:spacing w:after="0"/>
      </w:pPr>
      <w:r w:rsidRPr="00E52246">
        <w:rPr>
          <w:noProof/>
        </w:rPr>
        <w:drawing>
          <wp:inline distT="0" distB="0" distL="0" distR="0" wp14:anchorId="09996A8E" wp14:editId="46867B6D">
            <wp:extent cx="3250933" cy="2548068"/>
            <wp:effectExtent l="0" t="0" r="6985" b="5080"/>
            <wp:docPr id="1221480692"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80692" name=""/>
                    <pic:cNvPicPr/>
                  </pic:nvPicPr>
                  <pic:blipFill>
                    <a:blip r:embed="rId30" cstate="print">
                      <a:extLst>
                        <a:ext uri="{28A0092B-C50C-407E-A947-70E740481C1C}">
                          <a14:useLocalDpi xmlns:a14="http://schemas.microsoft.com/office/drawing/2010/main" val="0"/>
                        </a:ext>
                        <a:ext uri="{96DAC541-7B7A-43D3-8B79-37D633B846F1}">
                          <asvg:svgBlip xmlns:asvg="http://schemas.microsoft.com/office/drawing/2016/SVG/main" r:embed="rId31"/>
                        </a:ext>
                      </a:extLst>
                    </a:blip>
                    <a:srcRect b="1886"/>
                    <a:stretch>
                      <a:fillRect/>
                    </a:stretch>
                  </pic:blipFill>
                  <pic:spPr>
                    <a:xfrm>
                      <a:off x="0" y="0"/>
                      <a:ext cx="3250933" cy="2548068"/>
                    </a:xfrm>
                    <a:prstGeom prst="rect">
                      <a:avLst/>
                    </a:prstGeom>
                  </pic:spPr>
                </pic:pic>
              </a:graphicData>
            </a:graphic>
          </wp:inline>
        </w:drawing>
      </w:r>
    </w:p>
    <w:p w14:paraId="7C79722B" w14:textId="50717714" w:rsidR="00117030" w:rsidRPr="00E52246" w:rsidRDefault="00B52E6B" w:rsidP="000419C4">
      <w:pPr>
        <w:pStyle w:val="ExhibitSource"/>
      </w:pPr>
      <w:r w:rsidRPr="00E52246">
        <w:t>Source: Oxford Economics calculations using data from Haver Analytics</w:t>
      </w:r>
    </w:p>
    <w:p w14:paraId="55392B19" w14:textId="662723E2" w:rsidR="005A76B1" w:rsidRPr="00E52246" w:rsidRDefault="005A76B1" w:rsidP="007D6D4D">
      <w:r w:rsidRPr="00E52246">
        <w:lastRenderedPageBreak/>
        <w:t xml:space="preserve">So using debt to finance investment </w:t>
      </w:r>
      <w:r w:rsidR="000144AC">
        <w:t>should</w:t>
      </w:r>
      <w:r w:rsidR="000144AC" w:rsidRPr="00E52246">
        <w:t xml:space="preserve"> </w:t>
      </w:r>
      <w:r w:rsidRPr="00E52246">
        <w:t>become increasingly attractive over the next few years. Credit availability is unlikely to be a serious constraint either. Banks haven't tightened lending standards for companies</w:t>
      </w:r>
      <w:r w:rsidR="000144AC">
        <w:t>,</w:t>
      </w:r>
      <w:r w:rsidRPr="00E52246">
        <w:t xml:space="preserve"> and the latest BoE credit conditions survey reported that respondents expect lending standards for SMEs to loosen over the next three months. The survey also showed an increase in the balance of banks expecting rising investment to increase demand for loans</w:t>
      </w:r>
      <w:r w:rsidR="000D6589" w:rsidRPr="00E52246">
        <w:t xml:space="preserve"> (</w:t>
      </w:r>
      <w:r w:rsidR="00A7784F" w:rsidRPr="003A161B">
        <w:rPr>
          <w:b/>
          <w:color w:val="003469"/>
        </w:rPr>
        <w:fldChar w:fldCharType="begin"/>
      </w:r>
      <w:r w:rsidR="003A161B" w:rsidRPr="003A161B">
        <w:rPr>
          <w:b/>
          <w:color w:val="003469"/>
        </w:rPr>
        <w:instrText xml:space="preserve">REF _Ref179958181 \h \* Charformat </w:instrText>
      </w:r>
      <w:r w:rsidR="003A161B" w:rsidRPr="003A161B">
        <w:rPr>
          <w:b/>
          <w:color w:val="003469"/>
        </w:rPr>
      </w:r>
      <w:r w:rsidR="00A7784F" w:rsidRPr="003A161B">
        <w:rPr>
          <w:b/>
          <w:color w:val="003469"/>
        </w:rPr>
        <w:fldChar w:fldCharType="separate"/>
      </w:r>
      <w:r w:rsidR="003A161B" w:rsidRPr="003A161B">
        <w:rPr>
          <w:b/>
          <w:color w:val="003469"/>
        </w:rPr>
        <w:t>Chart 8</w:t>
      </w:r>
      <w:r w:rsidR="00A7784F" w:rsidRPr="003A161B">
        <w:rPr>
          <w:b/>
          <w:color w:val="003469"/>
        </w:rPr>
        <w:fldChar w:fldCharType="end"/>
      </w:r>
      <w:r w:rsidR="000D6589" w:rsidRPr="00E52246">
        <w:t>)</w:t>
      </w:r>
      <w:r w:rsidRPr="00E52246">
        <w:t>.</w:t>
      </w:r>
    </w:p>
    <w:p w14:paraId="5A96E485" w14:textId="0CE1595F" w:rsidR="000D6589" w:rsidRPr="00E52246" w:rsidRDefault="000D6589" w:rsidP="000419C4">
      <w:pPr>
        <w:pStyle w:val="ExhibitTitle"/>
      </w:pPr>
      <w:bookmarkStart w:id="7" w:name="_Ref179958181"/>
      <w:r w:rsidRPr="00E52246">
        <w:t xml:space="preserve">Chart </w:t>
      </w:r>
      <w:r w:rsidRPr="00E52246">
        <w:fldChar w:fldCharType="begin"/>
      </w:r>
      <w:r w:rsidR="00A7784F" w:rsidRPr="00E52246">
        <w:instrText>SEQ CHART</w:instrText>
      </w:r>
      <w:r w:rsidRPr="00E52246">
        <w:fldChar w:fldCharType="separate"/>
      </w:r>
      <w:r w:rsidR="00653C4C" w:rsidRPr="00E52246">
        <w:t>8</w:t>
      </w:r>
      <w:r w:rsidRPr="00E52246">
        <w:fldChar w:fldCharType="end"/>
      </w:r>
      <w:bookmarkEnd w:id="7"/>
      <w:r w:rsidRPr="00E52246">
        <w:t>: Banks expect firms to borrow more to finance investment</w:t>
      </w:r>
    </w:p>
    <w:p w14:paraId="2EDEBD53" w14:textId="740E7E2D" w:rsidR="000D6589" w:rsidRPr="00E52246" w:rsidRDefault="000D6589" w:rsidP="000419C4">
      <w:pPr>
        <w:spacing w:after="0"/>
      </w:pPr>
      <w:r w:rsidRPr="00E52246">
        <w:rPr>
          <w:noProof/>
        </w:rPr>
        <w:drawing>
          <wp:inline distT="0" distB="0" distL="0" distR="0" wp14:anchorId="6B0B89B8" wp14:editId="364E096A">
            <wp:extent cx="3250933" cy="2545381"/>
            <wp:effectExtent l="0" t="0" r="6985" b="7620"/>
            <wp:docPr id="170622491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24919" name=""/>
                    <pic:cNvPicPr/>
                  </pic:nvPicPr>
                  <pic:blipFill>
                    <a:blip r:embed="rId32" cstate="print">
                      <a:extLst>
                        <a:ext uri="{28A0092B-C50C-407E-A947-70E740481C1C}">
                          <a14:useLocalDpi xmlns:a14="http://schemas.microsoft.com/office/drawing/2010/main" val="0"/>
                        </a:ext>
                        <a:ext uri="{96DAC541-7B7A-43D3-8B79-37D633B846F1}">
                          <asvg:svgBlip xmlns:asvg="http://schemas.microsoft.com/office/drawing/2016/SVG/main" r:embed="rId33"/>
                        </a:ext>
                      </a:extLst>
                    </a:blip>
                    <a:srcRect b="1886"/>
                    <a:stretch>
                      <a:fillRect/>
                    </a:stretch>
                  </pic:blipFill>
                  <pic:spPr>
                    <a:xfrm>
                      <a:off x="0" y="0"/>
                      <a:ext cx="3250933" cy="2545381"/>
                    </a:xfrm>
                    <a:prstGeom prst="rect">
                      <a:avLst/>
                    </a:prstGeom>
                  </pic:spPr>
                </pic:pic>
              </a:graphicData>
            </a:graphic>
          </wp:inline>
        </w:drawing>
      </w:r>
    </w:p>
    <w:p w14:paraId="029B15A6" w14:textId="60671B24" w:rsidR="000D6589" w:rsidRPr="00E52246" w:rsidRDefault="000D6589" w:rsidP="000419C4">
      <w:pPr>
        <w:pStyle w:val="ExhibitSource"/>
      </w:pPr>
      <w:r w:rsidRPr="00E52246">
        <w:t>Source: Haver Analytics</w:t>
      </w:r>
    </w:p>
    <w:p w14:paraId="5541B216" w14:textId="1DD84B1A" w:rsidR="00F54EB3" w:rsidRPr="00E52246" w:rsidRDefault="000144AC" w:rsidP="007D6D4D">
      <w:r>
        <w:t>The general picture for</w:t>
      </w:r>
      <w:r w:rsidR="00E97647" w:rsidRPr="00E52246">
        <w:t xml:space="preserve"> corporate finances </w:t>
      </w:r>
      <w:r>
        <w:t xml:space="preserve">looks </w:t>
      </w:r>
      <w:r w:rsidR="00E97647" w:rsidRPr="00E52246">
        <w:t xml:space="preserve">more </w:t>
      </w:r>
      <w:r>
        <w:t>positive, too</w:t>
      </w:r>
      <w:r w:rsidR="00E97647" w:rsidRPr="00E52246">
        <w:t>. T</w:t>
      </w:r>
      <w:r w:rsidR="00F54EB3" w:rsidRPr="00E52246">
        <w:t xml:space="preserve">he impact of rising interest rates on other loans </w:t>
      </w:r>
      <w:r w:rsidR="00E97647" w:rsidRPr="00E52246">
        <w:t xml:space="preserve">had </w:t>
      </w:r>
      <w:r w:rsidR="00F54EB3" w:rsidRPr="00E52246">
        <w:t>coincided with other cost pressures from rising raw material and energy prices</w:t>
      </w:r>
      <w:r w:rsidR="00E97647" w:rsidRPr="00E52246">
        <w:t xml:space="preserve">. </w:t>
      </w:r>
      <w:r>
        <w:t>The rise in</w:t>
      </w:r>
      <w:r w:rsidR="00922537" w:rsidRPr="00E52246">
        <w:t xml:space="preserve"> l</w:t>
      </w:r>
      <w:r w:rsidR="00F54EB3" w:rsidRPr="00E52246">
        <w:t xml:space="preserve">abour costs </w:t>
      </w:r>
      <w:r>
        <w:t>is</w:t>
      </w:r>
      <w:r w:rsidR="00922537" w:rsidRPr="00E52246">
        <w:t xml:space="preserve"> eas</w:t>
      </w:r>
      <w:r>
        <w:t>ing, though</w:t>
      </w:r>
      <w:r w:rsidR="00922537" w:rsidRPr="00E52246">
        <w:t xml:space="preserve"> </w:t>
      </w:r>
      <w:r>
        <w:t xml:space="preserve">it </w:t>
      </w:r>
      <w:r w:rsidR="00922537" w:rsidRPr="00E52246">
        <w:t xml:space="preserve">continues to run ahead of historical averages. </w:t>
      </w:r>
      <w:r w:rsidR="00721A9B">
        <w:t>P</w:t>
      </w:r>
      <w:r w:rsidR="00F54EB3" w:rsidRPr="00E52246">
        <w:t>ressures from high raw material and energy prices have eased</w:t>
      </w:r>
      <w:r w:rsidR="00922537" w:rsidRPr="00E52246">
        <w:t xml:space="preserve">, </w:t>
      </w:r>
      <w:r w:rsidR="00721A9B">
        <w:t xml:space="preserve">however, </w:t>
      </w:r>
      <w:r w:rsidR="00922537" w:rsidRPr="00E52246">
        <w:t xml:space="preserve">and </w:t>
      </w:r>
      <w:r w:rsidR="00F54EB3" w:rsidRPr="00E52246">
        <w:t>corporate finances appear to</w:t>
      </w:r>
      <w:r w:rsidR="00EF639F" w:rsidRPr="00E52246">
        <w:t xml:space="preserve"> slowly</w:t>
      </w:r>
      <w:r w:rsidR="00F54EB3" w:rsidRPr="00E52246">
        <w:t xml:space="preserve"> </w:t>
      </w:r>
      <w:r w:rsidR="00435C9E" w:rsidRPr="00E52246">
        <w:t>be becoming</w:t>
      </w:r>
      <w:r w:rsidR="00EF639F" w:rsidRPr="00E52246">
        <w:t xml:space="preserve"> more supportive of capital spending.</w:t>
      </w:r>
    </w:p>
    <w:p w14:paraId="20BD0CC9" w14:textId="4DA6F8AC" w:rsidR="00117030" w:rsidRPr="00E52246" w:rsidRDefault="00435C9E" w:rsidP="000419C4">
      <w:pPr>
        <w:pStyle w:val="Heading3"/>
      </w:pPr>
      <w:r w:rsidRPr="00E52246">
        <w:t xml:space="preserve">Corporate sentiment </w:t>
      </w:r>
      <w:r w:rsidR="001E671D" w:rsidRPr="00E52246">
        <w:t>is</w:t>
      </w:r>
      <w:r w:rsidRPr="00E52246">
        <w:t xml:space="preserve"> fragile</w:t>
      </w:r>
      <w:r w:rsidR="001E671D" w:rsidRPr="00E52246">
        <w:t xml:space="preserve"> but should start to pick up</w:t>
      </w:r>
    </w:p>
    <w:p w14:paraId="56CF87C2" w14:textId="75DD9DF0" w:rsidR="008563BE" w:rsidRPr="00E52246" w:rsidRDefault="00332A07" w:rsidP="007D6D4D">
      <w:r w:rsidRPr="00E52246">
        <w:t xml:space="preserve">Though we expect the financial position of the corporate sector to improve, the experience of 2016-2019 – when profitability was relatively </w:t>
      </w:r>
      <w:r w:rsidR="00721A9B">
        <w:t>high</w:t>
      </w:r>
      <w:r w:rsidR="00721A9B" w:rsidRPr="00E52246">
        <w:t xml:space="preserve"> </w:t>
      </w:r>
      <w:r w:rsidRPr="00E52246">
        <w:t xml:space="preserve">and debt cheap – </w:t>
      </w:r>
      <w:r w:rsidR="00721A9B">
        <w:t>shows</w:t>
      </w:r>
      <w:r w:rsidR="00721A9B" w:rsidRPr="00E52246">
        <w:t xml:space="preserve"> </w:t>
      </w:r>
      <w:r w:rsidRPr="00E52246">
        <w:t xml:space="preserve">that </w:t>
      </w:r>
      <w:r w:rsidR="00352E61" w:rsidRPr="00E52246">
        <w:t>strong growth</w:t>
      </w:r>
      <w:r w:rsidRPr="00E52246">
        <w:t xml:space="preserve"> in business investment </w:t>
      </w:r>
      <w:r w:rsidR="00D331E3" w:rsidRPr="00E52246">
        <w:t>doesn</w:t>
      </w:r>
      <w:r w:rsidR="00721A9B">
        <w:t>'</w:t>
      </w:r>
      <w:r w:rsidR="00D331E3" w:rsidRPr="00E52246">
        <w:t>t necessarily follow</w:t>
      </w:r>
      <w:r w:rsidR="00721A9B">
        <w:t xml:space="preserve"> automatically</w:t>
      </w:r>
      <w:r w:rsidRPr="00E52246">
        <w:t>.</w:t>
      </w:r>
      <w:r w:rsidR="00D331E3" w:rsidRPr="00E52246">
        <w:t xml:space="preserve"> </w:t>
      </w:r>
      <w:r w:rsidR="00352E61" w:rsidRPr="00E52246">
        <w:t>Indeed, r</w:t>
      </w:r>
      <w:r w:rsidR="00D331E3" w:rsidRPr="00E52246">
        <w:t xml:space="preserve">ecent business survey data </w:t>
      </w:r>
      <w:r w:rsidR="00721A9B">
        <w:t>on</w:t>
      </w:r>
      <w:r w:rsidR="00D331E3" w:rsidRPr="00E52246">
        <w:t xml:space="preserve"> investment intentions </w:t>
      </w:r>
      <w:r w:rsidR="00721A9B">
        <w:t>is still</w:t>
      </w:r>
      <w:r w:rsidR="00721A9B" w:rsidRPr="00E52246">
        <w:t xml:space="preserve"> </w:t>
      </w:r>
      <w:r w:rsidR="00D331E3" w:rsidRPr="00E52246">
        <w:t xml:space="preserve">relatively weak, </w:t>
      </w:r>
      <w:r w:rsidR="00721A9B">
        <w:t>and</w:t>
      </w:r>
      <w:r w:rsidR="00721A9B" w:rsidRPr="00E52246">
        <w:t xml:space="preserve"> </w:t>
      </w:r>
      <w:r w:rsidR="00D331E3" w:rsidRPr="00E52246">
        <w:t xml:space="preserve">the historical relationship </w:t>
      </w:r>
      <w:r w:rsidR="00721A9B">
        <w:t>suggests</w:t>
      </w:r>
      <w:r w:rsidR="00D331E3" w:rsidRPr="00E52246">
        <w:t xml:space="preserve"> business investment is likely to remain flat over the next six months (</w:t>
      </w:r>
      <w:r w:rsidR="00AF2D0F" w:rsidRPr="003A161B">
        <w:rPr>
          <w:b/>
          <w:color w:val="003469"/>
        </w:rPr>
        <w:fldChar w:fldCharType="begin"/>
      </w:r>
      <w:r w:rsidR="003A161B" w:rsidRPr="003A161B">
        <w:rPr>
          <w:b/>
          <w:color w:val="003469"/>
        </w:rPr>
        <w:instrText xml:space="preserve">REF _Ref179308833 \h \* Charformat </w:instrText>
      </w:r>
      <w:r w:rsidR="003A161B" w:rsidRPr="003A161B">
        <w:rPr>
          <w:b/>
          <w:color w:val="003469"/>
        </w:rPr>
      </w:r>
      <w:r w:rsidR="00AF2D0F" w:rsidRPr="003A161B">
        <w:rPr>
          <w:b/>
          <w:color w:val="003469"/>
        </w:rPr>
        <w:fldChar w:fldCharType="separate"/>
      </w:r>
      <w:r w:rsidR="003A161B" w:rsidRPr="003A161B">
        <w:rPr>
          <w:b/>
          <w:color w:val="003469"/>
        </w:rPr>
        <w:t>Chart 9</w:t>
      </w:r>
      <w:r w:rsidR="00AF2D0F" w:rsidRPr="003A161B">
        <w:rPr>
          <w:b/>
          <w:color w:val="003469"/>
        </w:rPr>
        <w:fldChar w:fldCharType="end"/>
      </w:r>
      <w:r w:rsidR="00D331E3" w:rsidRPr="00E52246">
        <w:t>).</w:t>
      </w:r>
    </w:p>
    <w:p w14:paraId="53E8DCBB" w14:textId="1FF23F11" w:rsidR="00117030" w:rsidRPr="00E52246" w:rsidRDefault="00117030" w:rsidP="000419C4">
      <w:pPr>
        <w:pStyle w:val="ExhibitTitle"/>
      </w:pPr>
      <w:bookmarkStart w:id="8" w:name="_Ref179308833"/>
      <w:r w:rsidRPr="00E52246">
        <w:t xml:space="preserve">Chart </w:t>
      </w:r>
      <w:r w:rsidRPr="00E52246">
        <w:fldChar w:fldCharType="begin"/>
      </w:r>
      <w:r w:rsidR="00394FB8" w:rsidRPr="00E52246">
        <w:instrText>SEQ CHART</w:instrText>
      </w:r>
      <w:r w:rsidRPr="00E52246">
        <w:fldChar w:fldCharType="separate"/>
      </w:r>
      <w:r w:rsidR="00653C4C" w:rsidRPr="00E52246">
        <w:t>9</w:t>
      </w:r>
      <w:r w:rsidRPr="00E52246">
        <w:fldChar w:fldCharType="end"/>
      </w:r>
      <w:bookmarkEnd w:id="8"/>
      <w:r w:rsidRPr="00E52246">
        <w:t xml:space="preserve">: </w:t>
      </w:r>
      <w:r w:rsidR="00B87F5A" w:rsidRPr="00E52246">
        <w:t>Business surveys point to investment remaining flat in the near-term</w:t>
      </w:r>
    </w:p>
    <w:p w14:paraId="44279632" w14:textId="200876DF" w:rsidR="00394FB8" w:rsidRPr="00E52246" w:rsidRDefault="00394FB8" w:rsidP="000419C4">
      <w:pPr>
        <w:spacing w:after="0"/>
      </w:pPr>
      <w:r w:rsidRPr="00E52246">
        <w:rPr>
          <w:noProof/>
        </w:rPr>
        <w:drawing>
          <wp:inline distT="0" distB="0" distL="0" distR="0" wp14:anchorId="7FC5004E" wp14:editId="2C882598">
            <wp:extent cx="3250933" cy="2548068"/>
            <wp:effectExtent l="0" t="0" r="6985" b="5080"/>
            <wp:docPr id="757500349"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00349" name=""/>
                    <pic:cNvPicPr/>
                  </pic:nvPicPr>
                  <pic:blipFill>
                    <a:blip r:embed="rId34" cstate="print">
                      <a:extLst>
                        <a:ext uri="{28A0092B-C50C-407E-A947-70E740481C1C}">
                          <a14:useLocalDpi xmlns:a14="http://schemas.microsoft.com/office/drawing/2010/main" val="0"/>
                        </a:ext>
                        <a:ext uri="{96DAC541-7B7A-43D3-8B79-37D633B846F1}">
                          <asvg:svgBlip xmlns:asvg="http://schemas.microsoft.com/office/drawing/2016/SVG/main" r:embed="rId35"/>
                        </a:ext>
                      </a:extLst>
                    </a:blip>
                    <a:srcRect b="1886"/>
                    <a:stretch>
                      <a:fillRect/>
                    </a:stretch>
                  </pic:blipFill>
                  <pic:spPr>
                    <a:xfrm>
                      <a:off x="0" y="0"/>
                      <a:ext cx="3250933" cy="2548068"/>
                    </a:xfrm>
                    <a:prstGeom prst="rect">
                      <a:avLst/>
                    </a:prstGeom>
                  </pic:spPr>
                </pic:pic>
              </a:graphicData>
            </a:graphic>
          </wp:inline>
        </w:drawing>
      </w:r>
    </w:p>
    <w:p w14:paraId="6B954383" w14:textId="68BBBC1A" w:rsidR="00117030" w:rsidRPr="00E52246" w:rsidRDefault="00394FB8" w:rsidP="000419C4">
      <w:pPr>
        <w:pStyle w:val="ExhibitSource"/>
      </w:pPr>
      <w:r w:rsidRPr="00E52246">
        <w:t>Source: Oxford Economics calculations using data from Haver Analytics</w:t>
      </w:r>
    </w:p>
    <w:p w14:paraId="39C8CE7E" w14:textId="6F8D464C" w:rsidR="005569C7" w:rsidRPr="00E52246" w:rsidRDefault="00721A9B" w:rsidP="007D6D4D">
      <w:r>
        <w:lastRenderedPageBreak/>
        <w:t>But the</w:t>
      </w:r>
      <w:r w:rsidR="00EA4FFE" w:rsidRPr="00E52246">
        <w:t xml:space="preserve"> surveys </w:t>
      </w:r>
      <w:r>
        <w:t xml:space="preserve">also </w:t>
      </w:r>
      <w:r w:rsidR="00EA4FFE" w:rsidRPr="00E52246">
        <w:t xml:space="preserve">tell us the cost of finance and </w:t>
      </w:r>
      <w:r w:rsidR="00C562FA" w:rsidRPr="00E52246">
        <w:t xml:space="preserve">a shortage of </w:t>
      </w:r>
      <w:r w:rsidR="00EA4FFE" w:rsidRPr="00E52246">
        <w:t xml:space="preserve">internal finance are key reasons why </w:t>
      </w:r>
      <w:r>
        <w:t>firms</w:t>
      </w:r>
      <w:r w:rsidRPr="00E52246">
        <w:t xml:space="preserve"> </w:t>
      </w:r>
      <w:r w:rsidR="00EA4FFE" w:rsidRPr="00E52246">
        <w:t xml:space="preserve">have not been investing, </w:t>
      </w:r>
      <w:r>
        <w:t xml:space="preserve">so </w:t>
      </w:r>
      <w:r w:rsidR="00EA4FFE" w:rsidRPr="00E52246">
        <w:t>brighter prospect</w:t>
      </w:r>
      <w:r w:rsidR="002E709C" w:rsidRPr="00E52246">
        <w:t>s</w:t>
      </w:r>
      <w:r w:rsidR="00EA4FFE" w:rsidRPr="00E52246">
        <w:t xml:space="preserve"> for both should mean that investment intentions begin to firm soon.</w:t>
      </w:r>
    </w:p>
    <w:p w14:paraId="28372E7A" w14:textId="104CB57D" w:rsidR="00512DED" w:rsidRPr="00E52246" w:rsidRDefault="00721A9B" w:rsidP="007D6D4D">
      <w:r>
        <w:t>G</w:t>
      </w:r>
      <w:r w:rsidR="002E709C" w:rsidRPr="00E52246">
        <w:t xml:space="preserve">overnment </w:t>
      </w:r>
      <w:r>
        <w:t xml:space="preserve">also has a role </w:t>
      </w:r>
      <w:r w:rsidR="002E709C" w:rsidRPr="00E52246">
        <w:t xml:space="preserve">to play. The previous </w:t>
      </w:r>
      <w:r>
        <w:t>administration</w:t>
      </w:r>
      <w:r w:rsidRPr="00E52246">
        <w:t xml:space="preserve"> </w:t>
      </w:r>
      <w:r w:rsidR="002E709C" w:rsidRPr="00E52246">
        <w:t>introduced full expensing</w:t>
      </w:r>
      <w:r>
        <w:t xml:space="preserve"> –</w:t>
      </w:r>
      <w:r w:rsidR="002E709C" w:rsidRPr="00E52246">
        <w:t xml:space="preserve"> the permanent successor to the super-deduction</w:t>
      </w:r>
      <w:r>
        <w:t xml:space="preserve"> –</w:t>
      </w:r>
      <w:r w:rsidR="002E709C" w:rsidRPr="00E52246">
        <w:t xml:space="preserve"> offering 100% capital allowances. </w:t>
      </w:r>
      <w:r w:rsidR="00CA7F26" w:rsidRPr="00E52246">
        <w:t xml:space="preserve">Though the impact of the super-deduction was modest, partly due to its relatively narrow focus, full expensing should </w:t>
      </w:r>
      <w:r w:rsidR="00C562FA" w:rsidRPr="00E52246">
        <w:t xml:space="preserve">continue to </w:t>
      </w:r>
      <w:r w:rsidR="00CA7F26" w:rsidRPr="00E52246">
        <w:t>o</w:t>
      </w:r>
      <w:r w:rsidR="002E709C" w:rsidRPr="00E52246">
        <w:t xml:space="preserve">ffer </w:t>
      </w:r>
      <w:r w:rsidR="00CA7F26" w:rsidRPr="00E52246">
        <w:t>some support to c</w:t>
      </w:r>
      <w:r w:rsidR="002E709C" w:rsidRPr="00E52246">
        <w:t>apital spending.</w:t>
      </w:r>
    </w:p>
    <w:p w14:paraId="35362197" w14:textId="07669229" w:rsidR="000A245B" w:rsidRPr="00E52246" w:rsidRDefault="00814770" w:rsidP="007D6D4D">
      <w:r w:rsidRPr="00E52246">
        <w:t>It seems unlikely that t</w:t>
      </w:r>
      <w:r w:rsidR="00215E75" w:rsidRPr="00E52246">
        <w:t xml:space="preserve">he </w:t>
      </w:r>
      <w:r w:rsidR="00721A9B">
        <w:t>new Labour</w:t>
      </w:r>
      <w:r w:rsidR="00721A9B" w:rsidRPr="00E52246">
        <w:t xml:space="preserve"> </w:t>
      </w:r>
      <w:r w:rsidR="00215E75" w:rsidRPr="00E52246">
        <w:t xml:space="preserve">government </w:t>
      </w:r>
      <w:r w:rsidRPr="00E52246">
        <w:t>will add to this support in the upcoming Budget, given that its focus is largely on state</w:t>
      </w:r>
      <w:r w:rsidR="00C562FA" w:rsidRPr="00E52246">
        <w:t>-</w:t>
      </w:r>
      <w:r w:rsidRPr="00E52246">
        <w:t xml:space="preserve">funded investment. But the government </w:t>
      </w:r>
      <w:r w:rsidR="00215E75" w:rsidRPr="00E52246">
        <w:t xml:space="preserve">could </w:t>
      </w:r>
      <w:r w:rsidRPr="00E52246">
        <w:t xml:space="preserve">still </w:t>
      </w:r>
      <w:r w:rsidR="00215E75" w:rsidRPr="00E52246">
        <w:t>help</w:t>
      </w:r>
      <w:r w:rsidR="00C562FA" w:rsidRPr="00E52246">
        <w:t xml:space="preserve"> firms</w:t>
      </w:r>
      <w:r w:rsidR="00215E75" w:rsidRPr="00E52246">
        <w:t xml:space="preserve"> if it can provide a more stable political climate and implement growth-friendly polic</w:t>
      </w:r>
      <w:r w:rsidR="00C562FA" w:rsidRPr="00E52246">
        <w:t>ies</w:t>
      </w:r>
      <w:r w:rsidR="00215E75" w:rsidRPr="00E52246">
        <w:t>.</w:t>
      </w:r>
      <w:r w:rsidR="00512DED" w:rsidRPr="00E52246">
        <w:t xml:space="preserve"> </w:t>
      </w:r>
      <w:r w:rsidR="00466862">
        <w:t>Under the Conservatives,</w:t>
      </w:r>
      <w:r w:rsidR="00512DED" w:rsidRPr="00E52246">
        <w:t xml:space="preserve"> frequent changes of Prime Minister and Chancellor, </w:t>
      </w:r>
      <w:r w:rsidR="00466862">
        <w:t>and</w:t>
      </w:r>
      <w:r w:rsidR="00466862" w:rsidRPr="00E52246">
        <w:t xml:space="preserve"> </w:t>
      </w:r>
      <w:r w:rsidR="00512DED" w:rsidRPr="00E52246">
        <w:t xml:space="preserve">associated swings in policy priorities, made business planning more challenging, particularly </w:t>
      </w:r>
      <w:r w:rsidR="00466862">
        <w:t>considering</w:t>
      </w:r>
      <w:r w:rsidR="00512DED" w:rsidRPr="00E52246">
        <w:t xml:space="preserve"> the disruption </w:t>
      </w:r>
      <w:r w:rsidR="00466862">
        <w:t xml:space="preserve">already </w:t>
      </w:r>
      <w:r w:rsidR="00512DED" w:rsidRPr="00E52246">
        <w:t>caused by Brexit and the pandemic. International perceptions of the UK as a place to do business have also suffered in this period, so the change of government provides the opportunity for a reset.</w:t>
      </w:r>
    </w:p>
    <w:p w14:paraId="4D755E34" w14:textId="2DC59FDE" w:rsidR="00CA7F26" w:rsidRPr="00E52246" w:rsidRDefault="00466862" w:rsidP="000A245B">
      <w:r>
        <w:t>In particular</w:t>
      </w:r>
      <w:r w:rsidR="000A245B" w:rsidRPr="00E52246">
        <w:t>, the new administration's overhaul of the planning system</w:t>
      </w:r>
      <w:r>
        <w:t>,</w:t>
      </w:r>
      <w:r w:rsidR="000A245B" w:rsidRPr="00E52246">
        <w:t xml:space="preserve"> </w:t>
      </w:r>
      <w:r>
        <w:t>i</w:t>
      </w:r>
      <w:r w:rsidRPr="00E52246">
        <w:t>f implemented well</w:t>
      </w:r>
      <w:r>
        <w:t>,</w:t>
      </w:r>
      <w:r w:rsidRPr="00E52246">
        <w:t xml:space="preserve"> </w:t>
      </w:r>
      <w:r w:rsidR="000A245B" w:rsidRPr="00E52246">
        <w:t xml:space="preserve">could help to </w:t>
      </w:r>
      <w:r>
        <w:t>reverse</w:t>
      </w:r>
      <w:r w:rsidR="000A245B" w:rsidRPr="00E52246">
        <w:t xml:space="preserve"> the long-running </w:t>
      </w:r>
      <w:r>
        <w:t>slump</w:t>
      </w:r>
      <w:r w:rsidR="000A245B" w:rsidRPr="00E52246">
        <w:t xml:space="preserve"> in buildings investment. Pursuing a </w:t>
      </w:r>
      <w:r w:rsidR="00512DED" w:rsidRPr="00E52246">
        <w:t>more constructive relationship with the European Union</w:t>
      </w:r>
      <w:r w:rsidR="000A245B" w:rsidRPr="00E52246">
        <w:t xml:space="preserve">, </w:t>
      </w:r>
      <w:r w:rsidR="00C562FA" w:rsidRPr="00E52246">
        <w:t xml:space="preserve">with a view to </w:t>
      </w:r>
      <w:r w:rsidR="000A245B" w:rsidRPr="00E52246">
        <w:t>chipping away at some of the trade barriers erected by Brexit</w:t>
      </w:r>
      <w:r w:rsidR="00C562FA" w:rsidRPr="00E52246">
        <w:t>,</w:t>
      </w:r>
      <w:r w:rsidR="000A245B" w:rsidRPr="00E52246">
        <w:t xml:space="preserve"> could also help investment in export-intensive sectors</w:t>
      </w:r>
      <w:r w:rsidR="00512DED" w:rsidRPr="00E52246">
        <w:t>.</w:t>
      </w:r>
    </w:p>
    <w:p w14:paraId="2616F3BC" w14:textId="6D7FAD0F" w:rsidR="00814770" w:rsidRPr="00E52246" w:rsidRDefault="00814770" w:rsidP="000419C4">
      <w:pPr>
        <w:pStyle w:val="Heading3"/>
      </w:pPr>
      <w:r w:rsidRPr="00E52246">
        <w:t>A gradual recovery in capital spending looks likely</w:t>
      </w:r>
    </w:p>
    <w:p w14:paraId="75FB477F" w14:textId="4D6B4048" w:rsidR="00466862" w:rsidRDefault="00466862" w:rsidP="007D6D4D">
      <w:r>
        <w:t>A</w:t>
      </w:r>
      <w:r w:rsidR="00416FD0" w:rsidRPr="00E52246">
        <w:t xml:space="preserve">t this stage, </w:t>
      </w:r>
      <w:r>
        <w:t xml:space="preserve">though, </w:t>
      </w:r>
      <w:r w:rsidR="00C562FA" w:rsidRPr="00E52246">
        <w:t xml:space="preserve">we regard </w:t>
      </w:r>
      <w:r w:rsidR="00416FD0" w:rsidRPr="00E52246">
        <w:t xml:space="preserve">government-led measures to improve the investment climate </w:t>
      </w:r>
      <w:r w:rsidR="00C562FA" w:rsidRPr="00E52246">
        <w:t>as</w:t>
      </w:r>
      <w:r w:rsidR="00416FD0" w:rsidRPr="00E52246">
        <w:t xml:space="preserve"> </w:t>
      </w:r>
      <w:r w:rsidR="00C562FA" w:rsidRPr="00E52246">
        <w:t>u</w:t>
      </w:r>
      <w:r w:rsidR="00416FD0" w:rsidRPr="00E52246">
        <w:t>pside risk</w:t>
      </w:r>
      <w:r w:rsidR="00C562FA" w:rsidRPr="00E52246">
        <w:t>s</w:t>
      </w:r>
      <w:r w:rsidR="00416FD0" w:rsidRPr="00E52246">
        <w:t xml:space="preserve"> </w:t>
      </w:r>
      <w:r>
        <w:t xml:space="preserve">rather </w:t>
      </w:r>
      <w:r w:rsidR="00416FD0" w:rsidRPr="00E52246">
        <w:t>than baseline assumption</w:t>
      </w:r>
      <w:r w:rsidR="00C562FA" w:rsidRPr="00E52246">
        <w:t>s</w:t>
      </w:r>
      <w:r w:rsidR="00416FD0" w:rsidRPr="00E52246">
        <w:t xml:space="preserve">. We think the most likely outcome is a gradual </w:t>
      </w:r>
      <w:r w:rsidR="00DE527D" w:rsidRPr="00E52246">
        <w:t>pickup</w:t>
      </w:r>
      <w:r w:rsidR="00416FD0" w:rsidRPr="00E52246">
        <w:t xml:space="preserve"> in business investment </w:t>
      </w:r>
      <w:r w:rsidR="00DE527D" w:rsidRPr="00E52246">
        <w:t xml:space="preserve">growth </w:t>
      </w:r>
      <w:r w:rsidR="00416FD0" w:rsidRPr="00E52246">
        <w:t xml:space="preserve">as </w:t>
      </w:r>
      <w:r w:rsidR="00643ECA" w:rsidRPr="00E52246">
        <w:t xml:space="preserve">profitability recovers and </w:t>
      </w:r>
      <w:r w:rsidR="00416FD0" w:rsidRPr="00E52246">
        <w:t>debt servicing costs drop back</w:t>
      </w:r>
      <w:r w:rsidR="00E61A65" w:rsidRPr="00E52246">
        <w:t xml:space="preserve"> (</w:t>
      </w:r>
      <w:r w:rsidR="009C2709" w:rsidRPr="003A161B">
        <w:rPr>
          <w:b/>
          <w:color w:val="003469"/>
        </w:rPr>
        <w:fldChar w:fldCharType="begin"/>
      </w:r>
      <w:r w:rsidR="003A161B" w:rsidRPr="003A161B">
        <w:rPr>
          <w:b/>
          <w:color w:val="003469"/>
        </w:rPr>
        <w:instrText xml:space="preserve">REF _Ref179308828 \h \* Charformat </w:instrText>
      </w:r>
      <w:r w:rsidR="003A161B" w:rsidRPr="003A161B">
        <w:rPr>
          <w:b/>
          <w:color w:val="003469"/>
        </w:rPr>
      </w:r>
      <w:r w:rsidR="009C2709" w:rsidRPr="003A161B">
        <w:rPr>
          <w:b/>
          <w:color w:val="003469"/>
        </w:rPr>
        <w:fldChar w:fldCharType="separate"/>
      </w:r>
      <w:r w:rsidR="003A161B" w:rsidRPr="003A161B">
        <w:rPr>
          <w:b/>
          <w:color w:val="003469"/>
        </w:rPr>
        <w:t>Chart 1</w:t>
      </w:r>
      <w:r w:rsidR="009C2709" w:rsidRPr="003A161B">
        <w:rPr>
          <w:b/>
          <w:color w:val="003469"/>
        </w:rPr>
        <w:fldChar w:fldCharType="end"/>
      </w:r>
      <w:r w:rsidR="00E61A65" w:rsidRPr="00E52246">
        <w:t>)</w:t>
      </w:r>
      <w:r w:rsidR="00816677" w:rsidRPr="00E52246">
        <w:t xml:space="preserve">. </w:t>
      </w:r>
    </w:p>
    <w:p w14:paraId="3F4B92D5" w14:textId="71812F10" w:rsidR="00512DED" w:rsidRPr="00E52246" w:rsidRDefault="00466862" w:rsidP="007D6D4D">
      <w:r>
        <w:t>Still, even i</w:t>
      </w:r>
      <w:r w:rsidR="00267C31" w:rsidRPr="00E52246">
        <w:t>f we're right, t</w:t>
      </w:r>
      <w:r w:rsidR="00814770" w:rsidRPr="00E52246">
        <w:t xml:space="preserve">he UK </w:t>
      </w:r>
      <w:r w:rsidR="00267C31" w:rsidRPr="00E52246">
        <w:t xml:space="preserve">would remain </w:t>
      </w:r>
      <w:r w:rsidR="00E574E1" w:rsidRPr="00E52246">
        <w:t>in the lower half</w:t>
      </w:r>
      <w:r w:rsidR="00814770" w:rsidRPr="00E52246">
        <w:t xml:space="preserve"> of the G7 league table in terms of business investment performance since the start of the pandemic (</w:t>
      </w:r>
      <w:r w:rsidR="009C2709" w:rsidRPr="003A161B">
        <w:rPr>
          <w:b/>
          <w:color w:val="003469"/>
        </w:rPr>
        <w:fldChar w:fldCharType="begin"/>
      </w:r>
      <w:r w:rsidR="003A161B" w:rsidRPr="003A161B">
        <w:rPr>
          <w:b/>
          <w:color w:val="003469"/>
        </w:rPr>
        <w:instrText xml:space="preserve">REF _Ref179537147 \h \* Charformat </w:instrText>
      </w:r>
      <w:r w:rsidR="003A161B" w:rsidRPr="003A161B">
        <w:rPr>
          <w:b/>
          <w:color w:val="003469"/>
        </w:rPr>
      </w:r>
      <w:r w:rsidR="009C2709" w:rsidRPr="003A161B">
        <w:rPr>
          <w:b/>
          <w:color w:val="003469"/>
        </w:rPr>
        <w:fldChar w:fldCharType="separate"/>
      </w:r>
      <w:r w:rsidR="003A161B" w:rsidRPr="003A161B">
        <w:rPr>
          <w:b/>
          <w:color w:val="003469"/>
        </w:rPr>
        <w:t>Chart 10</w:t>
      </w:r>
      <w:r w:rsidR="009C2709" w:rsidRPr="003A161B">
        <w:rPr>
          <w:b/>
          <w:color w:val="003469"/>
        </w:rPr>
        <w:fldChar w:fldCharType="end"/>
      </w:r>
      <w:r w:rsidR="00814770" w:rsidRPr="00E52246">
        <w:t xml:space="preserve">), </w:t>
      </w:r>
      <w:r>
        <w:t>and</w:t>
      </w:r>
      <w:r w:rsidR="00814770" w:rsidRPr="00E52246">
        <w:t xml:space="preserve"> well behind its </w:t>
      </w:r>
      <w:r w:rsidR="00620181" w:rsidRPr="00E52246">
        <w:t xml:space="preserve">more dynamic US </w:t>
      </w:r>
      <w:r>
        <w:t>peer</w:t>
      </w:r>
      <w:r w:rsidR="00620181" w:rsidRPr="00E52246">
        <w:t>.</w:t>
      </w:r>
      <w:r w:rsidR="00E574E1" w:rsidRPr="00E52246">
        <w:t xml:space="preserve"> </w:t>
      </w:r>
      <w:r>
        <w:t>This</w:t>
      </w:r>
      <w:r w:rsidR="00267C31" w:rsidRPr="00E52246">
        <w:t xml:space="preserve"> also </w:t>
      </w:r>
      <w:r w:rsidR="00E61A65" w:rsidRPr="00E52246">
        <w:t xml:space="preserve">implies that the </w:t>
      </w:r>
      <w:r w:rsidR="00466B7A" w:rsidRPr="00E52246">
        <w:t xml:space="preserve">UK's </w:t>
      </w:r>
      <w:hyperlink r:id="rId36" w:history="1">
        <w:r w:rsidR="00466B7A" w:rsidRPr="00E52246">
          <w:rPr>
            <w:rStyle w:val="Hyperlink"/>
          </w:rPr>
          <w:t>productivity performance</w:t>
        </w:r>
      </w:hyperlink>
      <w:r w:rsidR="00E61A65" w:rsidRPr="00E52246">
        <w:t xml:space="preserve"> will continue to disappoint.</w:t>
      </w:r>
    </w:p>
    <w:p w14:paraId="6379029B" w14:textId="1003D524" w:rsidR="00D01204" w:rsidRPr="00E52246" w:rsidRDefault="00D01204" w:rsidP="000419C4">
      <w:pPr>
        <w:pStyle w:val="ExhibitTitle"/>
      </w:pPr>
      <w:bookmarkStart w:id="9" w:name="_Ref179537147"/>
      <w:r w:rsidRPr="00E52246">
        <w:t xml:space="preserve">Chart </w:t>
      </w:r>
      <w:r w:rsidRPr="00E52246">
        <w:fldChar w:fldCharType="begin"/>
      </w:r>
      <w:r w:rsidR="00352E61" w:rsidRPr="00E52246">
        <w:instrText>SEQ CHART</w:instrText>
      </w:r>
      <w:r w:rsidRPr="00E52246">
        <w:fldChar w:fldCharType="separate"/>
      </w:r>
      <w:r w:rsidR="00653C4C" w:rsidRPr="00E52246">
        <w:t>10</w:t>
      </w:r>
      <w:r w:rsidRPr="00E52246">
        <w:fldChar w:fldCharType="end"/>
      </w:r>
      <w:bookmarkEnd w:id="9"/>
      <w:r w:rsidRPr="00E52246">
        <w:t xml:space="preserve">: </w:t>
      </w:r>
      <w:r w:rsidR="00466B7A" w:rsidRPr="00E52246">
        <w:t xml:space="preserve">We expect UK business investment growth to </w:t>
      </w:r>
      <w:r w:rsidR="00FC3623" w:rsidRPr="00E52246">
        <w:t>lag</w:t>
      </w:r>
      <w:r w:rsidR="00466B7A" w:rsidRPr="00E52246">
        <w:t xml:space="preserve"> countries like the US</w:t>
      </w:r>
    </w:p>
    <w:p w14:paraId="21F9E0A4" w14:textId="4AF91020" w:rsidR="00352E61" w:rsidRPr="00E52246" w:rsidRDefault="00352E61" w:rsidP="000419C4">
      <w:pPr>
        <w:spacing w:after="0"/>
      </w:pPr>
      <w:r w:rsidRPr="00E52246">
        <w:rPr>
          <w:noProof/>
        </w:rPr>
        <w:drawing>
          <wp:inline distT="0" distB="0" distL="0" distR="0" wp14:anchorId="4FEC6B0C" wp14:editId="567896FB">
            <wp:extent cx="3250933" cy="2548068"/>
            <wp:effectExtent l="0" t="0" r="6985" b="5080"/>
            <wp:docPr id="1269808133"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08133" name=""/>
                    <pic:cNvPicPr/>
                  </pic:nvPicPr>
                  <pic:blipFill>
                    <a:blip r:embed="rId37" cstate="print">
                      <a:extLst>
                        <a:ext uri="{28A0092B-C50C-407E-A947-70E740481C1C}">
                          <a14:useLocalDpi xmlns:a14="http://schemas.microsoft.com/office/drawing/2010/main" val="0"/>
                        </a:ext>
                        <a:ext uri="{96DAC541-7B7A-43D3-8B79-37D633B846F1}">
                          <asvg:svgBlip xmlns:asvg="http://schemas.microsoft.com/office/drawing/2016/SVG/main" r:embed="rId38"/>
                        </a:ext>
                      </a:extLst>
                    </a:blip>
                    <a:srcRect b="1886"/>
                    <a:stretch>
                      <a:fillRect/>
                    </a:stretch>
                  </pic:blipFill>
                  <pic:spPr>
                    <a:xfrm>
                      <a:off x="0" y="0"/>
                      <a:ext cx="3250933" cy="2548068"/>
                    </a:xfrm>
                    <a:prstGeom prst="rect">
                      <a:avLst/>
                    </a:prstGeom>
                  </pic:spPr>
                </pic:pic>
              </a:graphicData>
            </a:graphic>
          </wp:inline>
        </w:drawing>
      </w:r>
    </w:p>
    <w:p w14:paraId="311098DB" w14:textId="13783B27" w:rsidR="00D01204" w:rsidRPr="00E52246" w:rsidRDefault="00352E61" w:rsidP="000419C4">
      <w:pPr>
        <w:pStyle w:val="ExhibitSource"/>
      </w:pPr>
      <w:r w:rsidRPr="00E52246">
        <w:t>Sources: Oxford Economics, Haver Analytics</w:t>
      </w:r>
    </w:p>
    <w:p w14:paraId="771D4E48" w14:textId="1C5CD97F" w:rsidR="00D01204" w:rsidRPr="00E52246" w:rsidRDefault="00D01204" w:rsidP="00EF06EC"/>
    <w:sectPr w:rsidR="00D01204" w:rsidRPr="00E52246" w:rsidSect="00B52E6B">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EF4E0C" w14:textId="77777777" w:rsidR="007D6D4D" w:rsidRDefault="007D6D4D" w:rsidP="007D6D4D">
      <w:pPr>
        <w:spacing w:before="0" w:after="0"/>
      </w:pPr>
      <w:r>
        <w:separator/>
      </w:r>
    </w:p>
  </w:endnote>
  <w:endnote w:type="continuationSeparator" w:id="0">
    <w:p w14:paraId="127A5250" w14:textId="77777777" w:rsidR="007D6D4D" w:rsidRDefault="007D6D4D" w:rsidP="007D6D4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D7526" w14:textId="78B82E94" w:rsidR="007D6D4D" w:rsidRPr="007D6D4D" w:rsidRDefault="007D6D4D" w:rsidP="007D6D4D">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Andrew Goodwin - agoodwin@oxfordeconomics.com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B75B1" w14:textId="59B9A7F4" w:rsidR="007D6D4D" w:rsidRDefault="007D6D4D" w:rsidP="007D6D4D">
    <w:pPr>
      <w:pStyle w:val="Author"/>
    </w:pPr>
    <w:r>
      <w:t>Andrew Goodwin</w:t>
    </w:r>
    <w:r w:rsidR="000419C4">
      <w:t xml:space="preserve"> - </w:t>
    </w:r>
    <w:r>
      <w:t>Chief UK Economist</w:t>
    </w:r>
    <w:r w:rsidR="000419C4">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1BF102" w14:textId="77777777" w:rsidR="007D6D4D" w:rsidRDefault="007D6D4D" w:rsidP="007D6D4D">
      <w:pPr>
        <w:spacing w:before="0" w:after="0"/>
      </w:pPr>
      <w:r>
        <w:separator/>
      </w:r>
    </w:p>
  </w:footnote>
  <w:footnote w:type="continuationSeparator" w:id="0">
    <w:p w14:paraId="27F338A2" w14:textId="77777777" w:rsidR="007D6D4D" w:rsidRDefault="007D6D4D" w:rsidP="007D6D4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D88C7" w14:textId="77777777" w:rsidR="007D6D4D" w:rsidRDefault="007D6D4D">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E95B5" w14:textId="7680BD3E" w:rsidR="007D6D4D" w:rsidRDefault="007D6D4D" w:rsidP="007D6D4D">
    <w:pPr>
      <w:pStyle w:val="Headline"/>
      <w:spacing w:before="120"/>
      <w:ind w:right="-1000"/>
    </w:pPr>
    <w:r w:rsidRPr="007D6D4D">
      <w:rPr>
        <w:noProof/>
      </w:rPr>
      <w:drawing>
        <wp:anchor distT="0" distB="0" distL="114300" distR="114300" simplePos="0" relativeHeight="251658239" behindDoc="1" locked="1" layoutInCell="1" allowOverlap="1" wp14:anchorId="18531B34" wp14:editId="32CCAD3C">
          <wp:simplePos x="0" y="0"/>
          <wp:positionH relativeFrom="page">
            <wp:posOffset>0</wp:posOffset>
          </wp:positionH>
          <wp:positionV relativeFrom="page">
            <wp:posOffset>0</wp:posOffset>
          </wp:positionV>
          <wp:extent cx="7553325" cy="10658475"/>
          <wp:effectExtent l="0" t="0" r="9525" b="9525"/>
          <wp:wrapNone/>
          <wp:docPr id="23" name="Picture 5"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143141" w:rsidRPr="00143141">
      <w:t>Why business investment is poised to pick up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8CC79" w14:textId="33A4624C" w:rsidR="007D6D4D" w:rsidRDefault="007D6D4D" w:rsidP="007D6D4D">
    <w:r w:rsidRPr="007D6D4D">
      <w:rPr>
        <w:noProof/>
      </w:rPr>
      <w:drawing>
        <wp:anchor distT="0" distB="0" distL="114300" distR="114300" simplePos="0" relativeHeight="251659264" behindDoc="1" locked="1" layoutInCell="1" allowOverlap="1" wp14:anchorId="445BC949" wp14:editId="215BD8EB">
          <wp:simplePos x="0" y="0"/>
          <wp:positionH relativeFrom="page">
            <wp:posOffset>0</wp:posOffset>
          </wp:positionH>
          <wp:positionV relativeFrom="page">
            <wp:posOffset>190500</wp:posOffset>
          </wp:positionV>
          <wp:extent cx="7569200" cy="1503667"/>
          <wp:effectExtent l="0" t="0" r="0" b="1905"/>
          <wp:wrapNone/>
          <wp:docPr id="15"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68472118"/>
      <w:lock w:val="sdtLocked"/>
      <w:placeholder>
        <w:docPart w:val="DefaultPlaceholder_-1854013437"/>
      </w:placeholder>
      <w:date w:fullDate="2024-10-17T00:00:00Z">
        <w:dateFormat w:val="d MMMM yyyy"/>
        <w:lid w:val="en-GB"/>
        <w:storeMappedDataAs w:val="dateTime"/>
        <w:calendar w:val="gregorian"/>
      </w:date>
    </w:sdtPr>
    <w:sdtEndPr/>
    <w:sdtContent>
      <w:p w14:paraId="1D79CFDF" w14:textId="7978214E" w:rsidR="007D6D4D" w:rsidRDefault="00067D99" w:rsidP="007D6D4D">
        <w:pPr>
          <w:pStyle w:val="PublishDate"/>
          <w:framePr w:w="2835" w:h="340" w:hRule="exact" w:hSpace="180" w:wrap="around" w:vAnchor="page" w:hAnchor="page" w:x="7801" w:y="601" w:anchorLock="1"/>
        </w:pPr>
        <w:r>
          <w:t>17 October 2024</w:t>
        </w:r>
      </w:p>
    </w:sdtContent>
  </w:sdt>
  <w:p w14:paraId="2E286298" w14:textId="476041CC" w:rsidR="007D6D4D" w:rsidRDefault="003D7894" w:rsidP="007D6D4D">
    <w:pPr>
      <w:pStyle w:val="ProductDescription"/>
      <w:framePr w:w="11339" w:h="1474" w:hRule="exact" w:hSpace="180" w:wrap="around" w:vAnchor="page" w:hAnchor="page" w:x="401" w:y="1141" w:anchorLock="1"/>
      <w:spacing w:after="200"/>
    </w:pPr>
    <w:r>
      <w:t>Research Briefing</w:t>
    </w:r>
    <w:r w:rsidR="007D6D4D">
      <w:t xml:space="preserve"> | </w:t>
    </w:r>
    <w:r>
      <w:t>UK</w:t>
    </w:r>
  </w:p>
  <w:p w14:paraId="59DBB6C6" w14:textId="0FA477D0" w:rsidR="007D6D4D" w:rsidRDefault="00143141" w:rsidP="007D6D4D">
    <w:pPr>
      <w:pStyle w:val="Headline"/>
      <w:framePr w:w="11339" w:h="1474" w:hRule="exact" w:hSpace="180" w:wrap="around" w:vAnchor="page" w:hAnchor="page" w:x="401" w:y="1141" w:anchorLock="1"/>
      <w:spacing w:line="200" w:lineRule="auto"/>
    </w:pPr>
    <w:r w:rsidRPr="00143141">
      <w:t>Why business investment is poised to pick 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2"/>
  </w:num>
  <w:num w:numId="2" w16cid:durableId="2074311132">
    <w:abstractNumId w:val="1"/>
    <w:lvlOverride w:ilvl="0">
      <w:startOverride w:val="1"/>
    </w:lvlOverride>
  </w:num>
  <w:num w:numId="3" w16cid:durableId="1590693657">
    <w:abstractNumId w:val="3"/>
  </w:num>
  <w:num w:numId="4" w16cid:durableId="159003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D4D"/>
    <w:rsid w:val="0000166A"/>
    <w:rsid w:val="00003BA7"/>
    <w:rsid w:val="000076F5"/>
    <w:rsid w:val="000101C9"/>
    <w:rsid w:val="000144AC"/>
    <w:rsid w:val="00022761"/>
    <w:rsid w:val="00033577"/>
    <w:rsid w:val="000419C4"/>
    <w:rsid w:val="00053288"/>
    <w:rsid w:val="00063717"/>
    <w:rsid w:val="00067D99"/>
    <w:rsid w:val="00076289"/>
    <w:rsid w:val="0008698E"/>
    <w:rsid w:val="000951EC"/>
    <w:rsid w:val="000A245B"/>
    <w:rsid w:val="000B4573"/>
    <w:rsid w:val="000C0ADF"/>
    <w:rsid w:val="000C27AA"/>
    <w:rsid w:val="000D3E43"/>
    <w:rsid w:val="000D6589"/>
    <w:rsid w:val="000E2BD3"/>
    <w:rsid w:val="000F3F52"/>
    <w:rsid w:val="001018E9"/>
    <w:rsid w:val="00117030"/>
    <w:rsid w:val="00120D7A"/>
    <w:rsid w:val="00124E58"/>
    <w:rsid w:val="00141887"/>
    <w:rsid w:val="00143141"/>
    <w:rsid w:val="001512A5"/>
    <w:rsid w:val="00160F71"/>
    <w:rsid w:val="0016316B"/>
    <w:rsid w:val="0017078A"/>
    <w:rsid w:val="00192CDF"/>
    <w:rsid w:val="001A5775"/>
    <w:rsid w:val="001A6993"/>
    <w:rsid w:val="001A749F"/>
    <w:rsid w:val="001B2B67"/>
    <w:rsid w:val="001B2C32"/>
    <w:rsid w:val="001D536B"/>
    <w:rsid w:val="001D7057"/>
    <w:rsid w:val="001E0785"/>
    <w:rsid w:val="001E0C4A"/>
    <w:rsid w:val="001E671D"/>
    <w:rsid w:val="001F3317"/>
    <w:rsid w:val="001F5B53"/>
    <w:rsid w:val="00215E75"/>
    <w:rsid w:val="002243F2"/>
    <w:rsid w:val="00242E5E"/>
    <w:rsid w:val="002615F6"/>
    <w:rsid w:val="00262D94"/>
    <w:rsid w:val="00263E48"/>
    <w:rsid w:val="00267C31"/>
    <w:rsid w:val="002745D6"/>
    <w:rsid w:val="002760F0"/>
    <w:rsid w:val="00282A8A"/>
    <w:rsid w:val="00286754"/>
    <w:rsid w:val="00294352"/>
    <w:rsid w:val="0029566B"/>
    <w:rsid w:val="002C082E"/>
    <w:rsid w:val="002C7819"/>
    <w:rsid w:val="002D0DC9"/>
    <w:rsid w:val="002E5F67"/>
    <w:rsid w:val="002E709C"/>
    <w:rsid w:val="003017D9"/>
    <w:rsid w:val="0031169C"/>
    <w:rsid w:val="00316CBE"/>
    <w:rsid w:val="00331364"/>
    <w:rsid w:val="00332A07"/>
    <w:rsid w:val="00352054"/>
    <w:rsid w:val="00352E61"/>
    <w:rsid w:val="00370974"/>
    <w:rsid w:val="00372476"/>
    <w:rsid w:val="00374E02"/>
    <w:rsid w:val="00374EF2"/>
    <w:rsid w:val="0038229A"/>
    <w:rsid w:val="00387651"/>
    <w:rsid w:val="00394FB8"/>
    <w:rsid w:val="003A161B"/>
    <w:rsid w:val="003A7820"/>
    <w:rsid w:val="003B0CAB"/>
    <w:rsid w:val="003B715A"/>
    <w:rsid w:val="003D67D8"/>
    <w:rsid w:val="003D7894"/>
    <w:rsid w:val="003E6172"/>
    <w:rsid w:val="003E7F3C"/>
    <w:rsid w:val="003F00C8"/>
    <w:rsid w:val="003F0F4E"/>
    <w:rsid w:val="0040359C"/>
    <w:rsid w:val="00405A12"/>
    <w:rsid w:val="00405D65"/>
    <w:rsid w:val="00416FD0"/>
    <w:rsid w:val="004258C9"/>
    <w:rsid w:val="00435C9E"/>
    <w:rsid w:val="00436331"/>
    <w:rsid w:val="004458BB"/>
    <w:rsid w:val="00452C4E"/>
    <w:rsid w:val="00460295"/>
    <w:rsid w:val="004602D9"/>
    <w:rsid w:val="0046292D"/>
    <w:rsid w:val="00466862"/>
    <w:rsid w:val="00466B7A"/>
    <w:rsid w:val="004677EA"/>
    <w:rsid w:val="004827E3"/>
    <w:rsid w:val="00484FA7"/>
    <w:rsid w:val="00495DE7"/>
    <w:rsid w:val="004A2A92"/>
    <w:rsid w:val="004B4F66"/>
    <w:rsid w:val="004C7923"/>
    <w:rsid w:val="004D1740"/>
    <w:rsid w:val="004D473F"/>
    <w:rsid w:val="004D4C96"/>
    <w:rsid w:val="004D5B83"/>
    <w:rsid w:val="004D650E"/>
    <w:rsid w:val="004E47C1"/>
    <w:rsid w:val="00502DE5"/>
    <w:rsid w:val="00507907"/>
    <w:rsid w:val="00512DED"/>
    <w:rsid w:val="005176F2"/>
    <w:rsid w:val="00533C07"/>
    <w:rsid w:val="00535C71"/>
    <w:rsid w:val="00536D5E"/>
    <w:rsid w:val="005414BA"/>
    <w:rsid w:val="0054280C"/>
    <w:rsid w:val="005449CE"/>
    <w:rsid w:val="005473C6"/>
    <w:rsid w:val="005569C7"/>
    <w:rsid w:val="00560F24"/>
    <w:rsid w:val="00563FEB"/>
    <w:rsid w:val="00576CB8"/>
    <w:rsid w:val="00592138"/>
    <w:rsid w:val="00596FC8"/>
    <w:rsid w:val="005A0C7F"/>
    <w:rsid w:val="005A6C6F"/>
    <w:rsid w:val="005A76B1"/>
    <w:rsid w:val="005B2A17"/>
    <w:rsid w:val="005D64D3"/>
    <w:rsid w:val="005D7F34"/>
    <w:rsid w:val="005F0616"/>
    <w:rsid w:val="005F39C7"/>
    <w:rsid w:val="006125A3"/>
    <w:rsid w:val="006166EE"/>
    <w:rsid w:val="00620181"/>
    <w:rsid w:val="00620A0D"/>
    <w:rsid w:val="00640E2B"/>
    <w:rsid w:val="00643ECA"/>
    <w:rsid w:val="0064662A"/>
    <w:rsid w:val="00653C4C"/>
    <w:rsid w:val="00671564"/>
    <w:rsid w:val="00672ED2"/>
    <w:rsid w:val="006739BF"/>
    <w:rsid w:val="0067595A"/>
    <w:rsid w:val="006A1320"/>
    <w:rsid w:val="006A1630"/>
    <w:rsid w:val="006A676D"/>
    <w:rsid w:val="006B5973"/>
    <w:rsid w:val="006C7C06"/>
    <w:rsid w:val="006F60F1"/>
    <w:rsid w:val="00716356"/>
    <w:rsid w:val="00721A9B"/>
    <w:rsid w:val="00737EFD"/>
    <w:rsid w:val="007723AE"/>
    <w:rsid w:val="007A0F18"/>
    <w:rsid w:val="007A6449"/>
    <w:rsid w:val="007A69F5"/>
    <w:rsid w:val="007A781B"/>
    <w:rsid w:val="007B57CD"/>
    <w:rsid w:val="007D6D4D"/>
    <w:rsid w:val="007E1262"/>
    <w:rsid w:val="007F0A3C"/>
    <w:rsid w:val="007F5C95"/>
    <w:rsid w:val="007F5D5D"/>
    <w:rsid w:val="00814770"/>
    <w:rsid w:val="00816677"/>
    <w:rsid w:val="0084308F"/>
    <w:rsid w:val="00847933"/>
    <w:rsid w:val="00850729"/>
    <w:rsid w:val="00855D68"/>
    <w:rsid w:val="008563BE"/>
    <w:rsid w:val="0086090E"/>
    <w:rsid w:val="00874B7C"/>
    <w:rsid w:val="0088455B"/>
    <w:rsid w:val="008A013D"/>
    <w:rsid w:val="008B51F6"/>
    <w:rsid w:val="008B5335"/>
    <w:rsid w:val="008D060A"/>
    <w:rsid w:val="008D4F08"/>
    <w:rsid w:val="008E11F0"/>
    <w:rsid w:val="008E721D"/>
    <w:rsid w:val="008F1A70"/>
    <w:rsid w:val="008F46F7"/>
    <w:rsid w:val="0090143C"/>
    <w:rsid w:val="00907E57"/>
    <w:rsid w:val="00920D15"/>
    <w:rsid w:val="00922537"/>
    <w:rsid w:val="00933B30"/>
    <w:rsid w:val="009619B3"/>
    <w:rsid w:val="009634AC"/>
    <w:rsid w:val="00963AA5"/>
    <w:rsid w:val="00995E6B"/>
    <w:rsid w:val="009C2709"/>
    <w:rsid w:val="009C7C16"/>
    <w:rsid w:val="009E07F1"/>
    <w:rsid w:val="009E5F70"/>
    <w:rsid w:val="009E6309"/>
    <w:rsid w:val="009F37D1"/>
    <w:rsid w:val="009F3F01"/>
    <w:rsid w:val="009F6B70"/>
    <w:rsid w:val="00A15B4B"/>
    <w:rsid w:val="00A20D0F"/>
    <w:rsid w:val="00A25234"/>
    <w:rsid w:val="00A332D4"/>
    <w:rsid w:val="00A50835"/>
    <w:rsid w:val="00A52669"/>
    <w:rsid w:val="00A576A0"/>
    <w:rsid w:val="00A63323"/>
    <w:rsid w:val="00A66B32"/>
    <w:rsid w:val="00A712A9"/>
    <w:rsid w:val="00A77085"/>
    <w:rsid w:val="00A7784F"/>
    <w:rsid w:val="00A9430E"/>
    <w:rsid w:val="00AB24B7"/>
    <w:rsid w:val="00AB33F5"/>
    <w:rsid w:val="00AB6B99"/>
    <w:rsid w:val="00AD07ED"/>
    <w:rsid w:val="00AE76E6"/>
    <w:rsid w:val="00AF2D0F"/>
    <w:rsid w:val="00B04E07"/>
    <w:rsid w:val="00B16B5A"/>
    <w:rsid w:val="00B4401F"/>
    <w:rsid w:val="00B45D11"/>
    <w:rsid w:val="00B52E6B"/>
    <w:rsid w:val="00B7343B"/>
    <w:rsid w:val="00B846EA"/>
    <w:rsid w:val="00B87F5A"/>
    <w:rsid w:val="00B910EA"/>
    <w:rsid w:val="00BA1024"/>
    <w:rsid w:val="00BB5A57"/>
    <w:rsid w:val="00BB6195"/>
    <w:rsid w:val="00BC0C87"/>
    <w:rsid w:val="00BC36C7"/>
    <w:rsid w:val="00BD7237"/>
    <w:rsid w:val="00BE1485"/>
    <w:rsid w:val="00BF6A2A"/>
    <w:rsid w:val="00C17065"/>
    <w:rsid w:val="00C55993"/>
    <w:rsid w:val="00C562FA"/>
    <w:rsid w:val="00C65A69"/>
    <w:rsid w:val="00C675A8"/>
    <w:rsid w:val="00C72052"/>
    <w:rsid w:val="00C75153"/>
    <w:rsid w:val="00C76458"/>
    <w:rsid w:val="00C84AD7"/>
    <w:rsid w:val="00C90D41"/>
    <w:rsid w:val="00C93538"/>
    <w:rsid w:val="00C9768F"/>
    <w:rsid w:val="00CA4BF3"/>
    <w:rsid w:val="00CA7F26"/>
    <w:rsid w:val="00CB23EC"/>
    <w:rsid w:val="00CB7716"/>
    <w:rsid w:val="00CC3321"/>
    <w:rsid w:val="00CE3160"/>
    <w:rsid w:val="00CE6056"/>
    <w:rsid w:val="00CF2AC1"/>
    <w:rsid w:val="00D01204"/>
    <w:rsid w:val="00D01AEE"/>
    <w:rsid w:val="00D14148"/>
    <w:rsid w:val="00D23EBA"/>
    <w:rsid w:val="00D331E3"/>
    <w:rsid w:val="00D379EC"/>
    <w:rsid w:val="00D44219"/>
    <w:rsid w:val="00D6229C"/>
    <w:rsid w:val="00D645EE"/>
    <w:rsid w:val="00D73070"/>
    <w:rsid w:val="00D7478E"/>
    <w:rsid w:val="00D77063"/>
    <w:rsid w:val="00D77ED8"/>
    <w:rsid w:val="00D82250"/>
    <w:rsid w:val="00D92C04"/>
    <w:rsid w:val="00DA2F47"/>
    <w:rsid w:val="00DA51FD"/>
    <w:rsid w:val="00DB0BE6"/>
    <w:rsid w:val="00DB3D62"/>
    <w:rsid w:val="00DC3B6C"/>
    <w:rsid w:val="00DC686E"/>
    <w:rsid w:val="00DD71BB"/>
    <w:rsid w:val="00DD7303"/>
    <w:rsid w:val="00DE0102"/>
    <w:rsid w:val="00DE527D"/>
    <w:rsid w:val="00DE568D"/>
    <w:rsid w:val="00DF0831"/>
    <w:rsid w:val="00DF73F9"/>
    <w:rsid w:val="00E00A06"/>
    <w:rsid w:val="00E10235"/>
    <w:rsid w:val="00E213A8"/>
    <w:rsid w:val="00E23560"/>
    <w:rsid w:val="00E34586"/>
    <w:rsid w:val="00E3705D"/>
    <w:rsid w:val="00E52246"/>
    <w:rsid w:val="00E574E1"/>
    <w:rsid w:val="00E61A65"/>
    <w:rsid w:val="00E76233"/>
    <w:rsid w:val="00E93209"/>
    <w:rsid w:val="00E95B57"/>
    <w:rsid w:val="00E97647"/>
    <w:rsid w:val="00EA0803"/>
    <w:rsid w:val="00EA2025"/>
    <w:rsid w:val="00EA4FFE"/>
    <w:rsid w:val="00EC3599"/>
    <w:rsid w:val="00ED615F"/>
    <w:rsid w:val="00ED6FF0"/>
    <w:rsid w:val="00EE25B7"/>
    <w:rsid w:val="00EF06EC"/>
    <w:rsid w:val="00EF639F"/>
    <w:rsid w:val="00F14CAD"/>
    <w:rsid w:val="00F16A56"/>
    <w:rsid w:val="00F2643F"/>
    <w:rsid w:val="00F2738F"/>
    <w:rsid w:val="00F431D9"/>
    <w:rsid w:val="00F52C66"/>
    <w:rsid w:val="00F54EB3"/>
    <w:rsid w:val="00F72F2A"/>
    <w:rsid w:val="00F75A9D"/>
    <w:rsid w:val="00FA12BC"/>
    <w:rsid w:val="00FA4631"/>
    <w:rsid w:val="00FA6D9F"/>
    <w:rsid w:val="00FA753F"/>
    <w:rsid w:val="00FC072E"/>
    <w:rsid w:val="00FC1EA7"/>
    <w:rsid w:val="00FC3623"/>
    <w:rsid w:val="00FE0EF6"/>
    <w:rsid w:val="00FE5C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21"/>
    <o:shapelayout v:ext="edit">
      <o:idmap v:ext="edit" data="1"/>
    </o:shapelayout>
  </w:shapeDefaults>
  <w:decimalSymbol w:val="."/>
  <w:listSeparator w:val=","/>
  <w14:docId w14:val="6A818F33"/>
  <w15:chartTrackingRefBased/>
  <w15:docId w15:val="{2DFBEB71-1BA8-4972-A5D6-4DCD61590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D4D"/>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7D6D4D"/>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7D6D4D"/>
    <w:pPr>
      <w:outlineLvl w:val="1"/>
    </w:pPr>
    <w:rPr>
      <w:sz w:val="28"/>
    </w:rPr>
  </w:style>
  <w:style w:type="paragraph" w:styleId="Heading3">
    <w:name w:val="heading 3"/>
    <w:basedOn w:val="Normal"/>
    <w:next w:val="Normal"/>
    <w:link w:val="Heading3Char"/>
    <w:uiPriority w:val="9"/>
    <w:unhideWhenUsed/>
    <w:qFormat/>
    <w:rsid w:val="007D6D4D"/>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7D6D4D"/>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7D6D4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7D6D4D"/>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7D6D4D"/>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7D6D4D"/>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7D6D4D"/>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locked/>
    <w:rsid w:val="007D6D4D"/>
    <w:pPr>
      <w:tabs>
        <w:tab w:val="center" w:pos="4320"/>
        <w:tab w:val="right" w:pos="8640"/>
      </w:tabs>
    </w:pPr>
  </w:style>
  <w:style w:type="character" w:customStyle="1" w:styleId="HeaderChar">
    <w:name w:val="Header Char"/>
    <w:basedOn w:val="DefaultParagraphFont"/>
    <w:link w:val="Header"/>
    <w:uiPriority w:val="99"/>
    <w:rsid w:val="007D6D4D"/>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7D6D4D"/>
    <w:pPr>
      <w:tabs>
        <w:tab w:val="center" w:pos="4320"/>
        <w:tab w:val="right" w:pos="8640"/>
      </w:tabs>
    </w:pPr>
  </w:style>
  <w:style w:type="character" w:customStyle="1" w:styleId="FooterChar">
    <w:name w:val="Footer Char"/>
    <w:basedOn w:val="DefaultParagraphFont"/>
    <w:link w:val="Footer"/>
    <w:uiPriority w:val="99"/>
    <w:rsid w:val="007D6D4D"/>
    <w:rPr>
      <w:rFonts w:ascii="Segoe UI" w:hAnsi="Segoe UI" w:cs="Segoe UI"/>
      <w:noProof w:val="0"/>
      <w:color w:val="000000" w:themeColor="text1"/>
      <w:kern w:val="0"/>
      <w:sz w:val="20"/>
      <w14:ligatures w14:val="none"/>
    </w:rPr>
  </w:style>
  <w:style w:type="character" w:customStyle="1" w:styleId="Heading1Char">
    <w:name w:val="Heading 1 Char"/>
    <w:basedOn w:val="DefaultParagraphFont"/>
    <w:link w:val="Heading1"/>
    <w:uiPriority w:val="9"/>
    <w:rsid w:val="007D6D4D"/>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7D6D4D"/>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7D6D4D"/>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7D6D4D"/>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7D6D4D"/>
    <w:rPr>
      <w:rFonts w:asciiTheme="majorHAnsi" w:eastAsiaTheme="majorEastAsia" w:hAnsiTheme="majorHAnsi" w:cstheme="majorBidi"/>
      <w:noProof w:val="0"/>
      <w:color w:val="2F5496" w:themeColor="accent1" w:themeShade="BF"/>
      <w:kern w:val="0"/>
      <w:sz w:val="20"/>
      <w14:ligatures w14:val="none"/>
    </w:rPr>
  </w:style>
  <w:style w:type="character" w:customStyle="1" w:styleId="Heading6Char">
    <w:name w:val="Heading 6 Char"/>
    <w:basedOn w:val="DefaultParagraphFont"/>
    <w:link w:val="Heading6"/>
    <w:uiPriority w:val="9"/>
    <w:semiHidden/>
    <w:rsid w:val="007D6D4D"/>
    <w:rPr>
      <w:rFonts w:asciiTheme="majorHAnsi" w:eastAsiaTheme="majorEastAsia" w:hAnsiTheme="majorHAnsi" w:cstheme="majorBidi"/>
      <w:noProof w:val="0"/>
      <w:color w:val="1F3763" w:themeColor="accent1" w:themeShade="7F"/>
      <w:kern w:val="0"/>
      <w:sz w:val="20"/>
      <w14:ligatures w14:val="none"/>
    </w:rPr>
  </w:style>
  <w:style w:type="character" w:customStyle="1" w:styleId="Heading7Char">
    <w:name w:val="Heading 7 Char"/>
    <w:basedOn w:val="DefaultParagraphFont"/>
    <w:link w:val="Heading7"/>
    <w:uiPriority w:val="9"/>
    <w:semiHidden/>
    <w:rsid w:val="007D6D4D"/>
    <w:rPr>
      <w:rFonts w:asciiTheme="majorHAnsi" w:eastAsiaTheme="majorEastAsia" w:hAnsiTheme="majorHAnsi" w:cstheme="majorBidi"/>
      <w:i/>
      <w:iCs/>
      <w:noProof w:val="0"/>
      <w:color w:val="1F3763" w:themeColor="accent1" w:themeShade="7F"/>
      <w:kern w:val="0"/>
      <w:sz w:val="20"/>
      <w14:ligatures w14:val="none"/>
    </w:rPr>
  </w:style>
  <w:style w:type="character" w:customStyle="1" w:styleId="Heading8Char">
    <w:name w:val="Heading 8 Char"/>
    <w:basedOn w:val="DefaultParagraphFont"/>
    <w:link w:val="Heading8"/>
    <w:uiPriority w:val="9"/>
    <w:semiHidden/>
    <w:rsid w:val="007D6D4D"/>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7D6D4D"/>
    <w:rPr>
      <w:rFonts w:asciiTheme="majorHAnsi" w:eastAsiaTheme="majorEastAsia" w:hAnsiTheme="majorHAnsi" w:cstheme="majorBidi"/>
      <w:i/>
      <w:iCs/>
      <w:noProof w:val="0"/>
      <w:color w:val="272727" w:themeColor="text1" w:themeTint="D8"/>
      <w:kern w:val="0"/>
      <w:sz w:val="21"/>
      <w:szCs w:val="21"/>
      <w14:ligatures w14:val="none"/>
    </w:rPr>
  </w:style>
  <w:style w:type="character" w:styleId="PageNumber">
    <w:name w:val="page number"/>
    <w:basedOn w:val="DefaultParagraphFont"/>
    <w:uiPriority w:val="99"/>
    <w:unhideWhenUsed/>
    <w:locked/>
    <w:rsid w:val="007D6D4D"/>
    <w:rPr>
      <w:noProof w:val="0"/>
    </w:rPr>
  </w:style>
  <w:style w:type="character" w:styleId="Hyperlink">
    <w:name w:val="Hyperlink"/>
    <w:basedOn w:val="DefaultParagraphFont"/>
    <w:uiPriority w:val="99"/>
    <w:unhideWhenUsed/>
    <w:rsid w:val="007D6D4D"/>
    <w:rPr>
      <w:noProof w:val="0"/>
      <w:color w:val="0563C1" w:themeColor="hyperlink"/>
      <w:u w:val="single"/>
    </w:rPr>
  </w:style>
  <w:style w:type="paragraph" w:styleId="ListParagraph">
    <w:name w:val="List Paragraph"/>
    <w:next w:val="Normal"/>
    <w:link w:val="ListParagraphChar"/>
    <w:uiPriority w:val="34"/>
    <w:locked/>
    <w:rsid w:val="007D6D4D"/>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Revision">
    <w:name w:val="Revision"/>
    <w:hidden/>
    <w:uiPriority w:val="99"/>
    <w:semiHidden/>
    <w:rsid w:val="007D6D4D"/>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7D6D4D"/>
    <w:pPr>
      <w:spacing w:after="120"/>
    </w:pPr>
    <w:rPr>
      <w:b/>
      <w:bCs/>
      <w:color w:val="FFFFFF"/>
      <w:sz w:val="32"/>
      <w:szCs w:val="32"/>
    </w:rPr>
  </w:style>
  <w:style w:type="paragraph" w:customStyle="1" w:styleId="Headline">
    <w:name w:val="Headline"/>
    <w:basedOn w:val="Normal"/>
    <w:next w:val="Normal"/>
    <w:link w:val="HeadlineChar"/>
    <w:qFormat/>
    <w:rsid w:val="007D6D4D"/>
    <w:rPr>
      <w:rFonts w:ascii="Segoe UI Semilight" w:hAnsi="Segoe UI Semilight" w:cs="Segoe UI Semilight"/>
      <w:b/>
      <w:bCs/>
      <w:color w:val="FFFFFF"/>
      <w:sz w:val="40"/>
      <w:szCs w:val="40"/>
    </w:rPr>
  </w:style>
  <w:style w:type="paragraph" w:customStyle="1" w:styleId="ExhibitTitle">
    <w:name w:val="Exhibit Title"/>
    <w:basedOn w:val="Normal"/>
    <w:qFormat/>
    <w:rsid w:val="007D6D4D"/>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7D6D4D"/>
    <w:pPr>
      <w:shd w:val="clear" w:color="auto" w:fill="D6E2FA"/>
      <w:spacing w:after="0"/>
    </w:pPr>
    <w:rPr>
      <w:color w:val="595959" w:themeColor="text1" w:themeTint="A6"/>
      <w:sz w:val="18"/>
    </w:rPr>
  </w:style>
  <w:style w:type="paragraph" w:customStyle="1" w:styleId="ExhibitSource">
    <w:name w:val="Exhibit Source"/>
    <w:next w:val="Normal"/>
    <w:qFormat/>
    <w:rsid w:val="007D6D4D"/>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7D6D4D"/>
    <w:pPr>
      <w:shd w:val="clear" w:color="auto" w:fill="ACB9CA" w:themeFill="text2" w:themeFillTint="66"/>
      <w:ind w:left="198" w:right="80"/>
      <w:contextualSpacing/>
    </w:pPr>
    <w:rPr>
      <w:color w:val="595959" w:themeColor="text1" w:themeTint="A6"/>
    </w:rPr>
  </w:style>
  <w:style w:type="paragraph" w:customStyle="1" w:styleId="Bullet">
    <w:name w:val="Bullet"/>
    <w:link w:val="BulletChar"/>
    <w:qFormat/>
    <w:rsid w:val="007D6D4D"/>
    <w:pPr>
      <w:numPr>
        <w:numId w:val="2"/>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7D6D4D"/>
    <w:rPr>
      <w:rFonts w:ascii="Segoe UI" w:hAnsi="Segoe UI" w:cs="Segoe UI"/>
      <w:b/>
      <w:bCs/>
      <w:noProof w:val="0"/>
      <w:color w:val="003469"/>
      <w:kern w:val="0"/>
      <w:sz w:val="20"/>
      <w:szCs w:val="20"/>
      <w:shd w:val="clear" w:color="auto" w:fill="F2F2F2" w:themeFill="background1" w:themeFillShade="F2"/>
      <w14:ligatures w14:val="none"/>
    </w:rPr>
  </w:style>
  <w:style w:type="paragraph" w:styleId="Quote">
    <w:name w:val="Quote"/>
    <w:basedOn w:val="Normal"/>
    <w:next w:val="Normal"/>
    <w:link w:val="QuoteChar"/>
    <w:uiPriority w:val="29"/>
    <w:qFormat/>
    <w:rsid w:val="007D6D4D"/>
    <w:pPr>
      <w:ind w:left="862" w:right="862"/>
      <w:jc w:val="center"/>
    </w:pPr>
    <w:rPr>
      <w:i/>
      <w:iCs/>
      <w:color w:val="404040" w:themeColor="text1" w:themeTint="BF"/>
    </w:rPr>
  </w:style>
  <w:style w:type="character" w:customStyle="1" w:styleId="QuoteChar">
    <w:name w:val="Quote Char"/>
    <w:basedOn w:val="DefaultParagraphFont"/>
    <w:link w:val="Quote"/>
    <w:uiPriority w:val="29"/>
    <w:rsid w:val="007D6D4D"/>
    <w:rPr>
      <w:rFonts w:ascii="Segoe UI" w:hAnsi="Segoe UI" w:cs="Segoe UI"/>
      <w:i/>
      <w:iCs/>
      <w:noProof w:val="0"/>
      <w:color w:val="404040" w:themeColor="text1" w:themeTint="BF"/>
      <w:kern w:val="0"/>
      <w:sz w:val="20"/>
      <w14:ligatures w14:val="none"/>
    </w:rPr>
  </w:style>
  <w:style w:type="paragraph" w:customStyle="1" w:styleId="TableHeader">
    <w:name w:val="Table Header"/>
    <w:basedOn w:val="TableData"/>
    <w:qFormat/>
    <w:rsid w:val="007D6D4D"/>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7D6D4D"/>
    <w:rPr>
      <w:rFonts w:ascii="Segoe UI" w:hAnsi="Segoe UI" w:cs="Segoe UI"/>
      <w:noProof w:val="0"/>
      <w:color w:val="000000" w:themeColor="text1"/>
    </w:rPr>
  </w:style>
  <w:style w:type="paragraph" w:customStyle="1" w:styleId="Summary">
    <w:name w:val="Summary"/>
    <w:basedOn w:val="Normal"/>
    <w:link w:val="SummaryChar"/>
    <w:qFormat/>
    <w:rsid w:val="007D6D4D"/>
    <w:pPr>
      <w:numPr>
        <w:numId w:val="1"/>
      </w:numPr>
      <w:ind w:left="1797" w:hanging="357"/>
    </w:pPr>
    <w:rPr>
      <w:kern w:val="2"/>
      <w:sz w:val="22"/>
      <w14:ligatures w14:val="standardContextual"/>
    </w:rPr>
  </w:style>
  <w:style w:type="paragraph" w:customStyle="1" w:styleId="TableData">
    <w:name w:val="Table Data"/>
    <w:link w:val="TableDataChar"/>
    <w:qFormat/>
    <w:rsid w:val="007D6D4D"/>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7D6D4D"/>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7D6D4D"/>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7D6D4D"/>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7D6D4D"/>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7D6D4D"/>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7D6D4D"/>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7D6D4D"/>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7D6D4D"/>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7D6D4D"/>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7D6D4D"/>
    <w:rPr>
      <w:color w:val="003469"/>
    </w:rPr>
  </w:style>
  <w:style w:type="character" w:customStyle="1" w:styleId="RepeatingFooterChar">
    <w:name w:val="Repeating Footer Char"/>
    <w:basedOn w:val="FooterChar"/>
    <w:link w:val="RepeatingFooter"/>
    <w:rsid w:val="007D6D4D"/>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7D6D4D"/>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7D6D4D"/>
    <w:rPr>
      <w:b/>
      <w:bCs/>
      <w:noProof w:val="0"/>
    </w:rPr>
  </w:style>
  <w:style w:type="character" w:customStyle="1" w:styleId="Italics">
    <w:name w:val="Italics"/>
    <w:uiPriority w:val="1"/>
    <w:qFormat/>
    <w:rsid w:val="007D6D4D"/>
    <w:rPr>
      <w:i/>
      <w:iCs/>
      <w:noProof w:val="0"/>
    </w:rPr>
  </w:style>
  <w:style w:type="table" w:customStyle="1" w:styleId="TableGridHeader">
    <w:name w:val="Table Grid Header"/>
    <w:basedOn w:val="TableNormal"/>
    <w:uiPriority w:val="99"/>
    <w:rsid w:val="007D6D4D"/>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image" Target="media/image11.png"/><Relationship Id="rId39" Type="http://schemas.openxmlformats.org/officeDocument/2006/relationships/fontTable" Target="fontTable.xml"/><Relationship Id="rId21" Type="http://schemas.openxmlformats.org/officeDocument/2006/relationships/hyperlink" Target="https://my.oxfordeconomics.com/reportaction/22cFAd249879422db400b1/Toc" TargetMode="External"/><Relationship Id="rId34" Type="http://schemas.openxmlformats.org/officeDocument/2006/relationships/image" Target="media/image19.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my.oxfordeconomics.com/reportaction/430EC4Ee329C49CcaEfAc8/Toc" TargetMode="External"/><Relationship Id="rId29" Type="http://schemas.openxmlformats.org/officeDocument/2006/relationships/image" Target="media/image14.sv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1.png"/><Relationship Id="rId40" Type="http://schemas.openxmlformats.org/officeDocument/2006/relationships/glossaryDocument" Target="glossary/document.xml"/><Relationship Id="rId5" Type="http://schemas.openxmlformats.org/officeDocument/2006/relationships/styles" Target="styles.xml"/><Relationship Id="rId15" Type="http://schemas.openxmlformats.org/officeDocument/2006/relationships/footer" Target="footer1.xml"/><Relationship Id="rId23" Type="http://schemas.openxmlformats.org/officeDocument/2006/relationships/image" Target="media/image8.svg"/><Relationship Id="rId28" Type="http://schemas.openxmlformats.org/officeDocument/2006/relationships/image" Target="media/image13.png"/><Relationship Id="rId36" Type="http://schemas.openxmlformats.org/officeDocument/2006/relationships/hyperlink" Target="https://my.oxfordeconomics.com/reports/e72EB461b29B45C79706eb" TargetMode="External"/><Relationship Id="rId10" Type="http://schemas.openxmlformats.org/officeDocument/2006/relationships/hyperlink" Target="https://www.ey.com/content/dam/ey-unified-site/ey-com/en-uk/newsroom/2024/07/ey-item-summer-forecast-07-2024.pdf" TargetMode="External"/><Relationship Id="rId19" Type="http://schemas.openxmlformats.org/officeDocument/2006/relationships/image" Target="media/image6.svg"/><Relationship Id="rId31" Type="http://schemas.openxmlformats.org/officeDocument/2006/relationships/image" Target="media/image16.sv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image" Target="media/image12.svg"/><Relationship Id="rId30" Type="http://schemas.openxmlformats.org/officeDocument/2006/relationships/image" Target="media/image15.png"/><Relationship Id="rId35" Type="http://schemas.openxmlformats.org/officeDocument/2006/relationships/image" Target="media/image20.sv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2.svg"/><Relationship Id="rId17" Type="http://schemas.openxmlformats.org/officeDocument/2006/relationships/footer" Target="footer2.xml"/><Relationship Id="rId25" Type="http://schemas.openxmlformats.org/officeDocument/2006/relationships/image" Target="media/image10.svg"/><Relationship Id="rId33" Type="http://schemas.openxmlformats.org/officeDocument/2006/relationships/image" Target="media/image18.svg"/><Relationship Id="rId38" Type="http://schemas.openxmlformats.org/officeDocument/2006/relationships/image" Target="media/image22.sv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B8EFA272-D0C2-4BB0-8011-E7F94750827B}"/>
      </w:docPartPr>
      <w:docPartBody>
        <w:p w:rsidR="00187D52" w:rsidRDefault="00187D52">
          <w:r w:rsidRPr="006C2966">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D52"/>
    <w:rsid w:val="00187D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3030a2609a0bfe461689b6bacd9a9f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83983b71c34b7d262d94b4ad995a0d1c"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09D9E6-BFE2-4325-9293-FB97C277F018}">
  <ds:schemaRefs>
    <ds:schemaRef ds:uri="http://schemas.microsoft.com/sharepoint/v3/contenttype/forms"/>
  </ds:schemaRefs>
</ds:datastoreItem>
</file>

<file path=customXml/itemProps2.xml><?xml version="1.0" encoding="utf-8"?>
<ds:datastoreItem xmlns:ds="http://schemas.openxmlformats.org/officeDocument/2006/customXml" ds:itemID="{15F3E3AD-D363-4A85-90F5-029CED3892DF}">
  <ds:schemaRefs>
    <ds:schemaRef ds:uri="http://purl.org/dc/terms/"/>
    <ds:schemaRef ds:uri="http://schemas.openxmlformats.org/package/2006/metadata/core-properties"/>
    <ds:schemaRef ds:uri="http://schemas.microsoft.com/office/infopath/2007/PartnerControls"/>
    <ds:schemaRef ds:uri="6c77b332-7df6-4eff-997f-266963d55fc4"/>
    <ds:schemaRef ds:uri="http://schemas.microsoft.com/office/2006/metadata/properties"/>
    <ds:schemaRef ds:uri="http://purl.org/dc/elements/1.1/"/>
    <ds:schemaRef ds:uri="http://schemas.microsoft.com/office/2006/documentManagement/types"/>
    <ds:schemaRef ds:uri="http://www.w3.org/XML/1998/namespace"/>
    <ds:schemaRef ds:uri="6ec33f61-c765-4e3b-9958-53c32fd1fd0b"/>
    <ds:schemaRef ds:uri="http://purl.org/dc/dcmitype/"/>
  </ds:schemaRefs>
</ds:datastoreItem>
</file>

<file path=customXml/itemProps3.xml><?xml version="1.0" encoding="utf-8"?>
<ds:datastoreItem xmlns:ds="http://schemas.openxmlformats.org/officeDocument/2006/customXml" ds:itemID="{F86BC645-D2A7-40FB-81C4-4A2536224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2036</Words>
  <Characters>10751</Characters>
  <Application>Microsoft Office Word</Application>
  <DocSecurity>0</DocSecurity>
  <Lines>155</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11</cp:revision>
  <dcterms:created xsi:type="dcterms:W3CDTF">2024-10-16T20:13:00Z</dcterms:created>
  <dcterms:modified xsi:type="dcterms:W3CDTF">2024-10-17T07:59:00Z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v0.8.0.8</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2024-10-17T07:44:34.000Z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v0.8.0.8</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EXHIBIT_FILEPATHS">
    <vt:lpwstr>Z:\UK Team\UK Research Briefing\20241017 RB UK Business investment - Charts.xlsx</vt:lpwstr>
  </property>
  <property fmtid="{D5CDD505-2E9C-101B-9397-08002B2CF9AE}" pid="15" name="OEP_CATEGORIES">
    <vt:lpwstr>AnalysisbyRegion-Europe-UnitedKingdom,Macro-ResearchBriefings-UnitedKingdom</vt:lpwstr>
  </property>
  <property fmtid="{D5CDD505-2E9C-101B-9397-08002B2CF9AE}" pid="16" name="OEP_TAGS">
    <vt:lpwstr>Key Themes:corporate debt,growth,productivity</vt:lpwstr>
  </property>
  <property fmtid="{D5CDD505-2E9C-101B-9397-08002B2CF9AE}" pid="17" name="ContentTypeId">
    <vt:lpwstr>0x01010009401BB7205AF745BAD4FA98BDE0B98F</vt:lpwstr>
  </property>
  <property fmtid="{D5CDD505-2E9C-101B-9397-08002B2CF9AE}" pid="18" name="OEP_PRODUCT_CODE">
    <vt:lpwstr>1b7E7eBb218149A2b23Cdb</vt:lpwstr>
  </property>
  <property fmtid="{D5CDD505-2E9C-101B-9397-08002B2CF9AE}" pid="19" name="OEP_PUBLISH_DATE">
    <vt:lpwstr/>
  </property>
</Properties>
</file>