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2833F" w14:textId="6502F459" w:rsidR="00D75CDE" w:rsidRDefault="005C25E2" w:rsidP="00D75CDE">
      <w:pPr>
        <w:pStyle w:val="Bullet"/>
      </w:pPr>
      <w:r>
        <w:t>T</w:t>
      </w:r>
      <w:r w:rsidR="0058537E">
        <w:t xml:space="preserve">he broad shape of today's UK Budget was largely as expected, </w:t>
      </w:r>
      <w:r>
        <w:t xml:space="preserve">but </w:t>
      </w:r>
      <w:r w:rsidR="00D75CDE">
        <w:t xml:space="preserve">the scale of the increases in </w:t>
      </w:r>
      <w:r w:rsidR="0058537E">
        <w:t xml:space="preserve">current spending, capital spending, and taxation </w:t>
      </w:r>
      <w:r w:rsidR="00D75CDE">
        <w:t>were</w:t>
      </w:r>
      <w:r w:rsidR="0058537E">
        <w:t xml:space="preserve"> larger than we had anticipated</w:t>
      </w:r>
      <w:r w:rsidR="00B2029A">
        <w:t>.</w:t>
      </w:r>
      <w:r w:rsidR="00D75CDE">
        <w:t xml:space="preserve"> </w:t>
      </w:r>
      <w:r w:rsidR="008745FF">
        <w:t xml:space="preserve">Fiscal policy will be tightened over </w:t>
      </w:r>
      <w:r w:rsidR="00F24613">
        <w:t>the next five years</w:t>
      </w:r>
      <w:r w:rsidR="00F81D91">
        <w:t xml:space="preserve"> </w:t>
      </w:r>
      <w:r>
        <w:t xml:space="preserve">by less </w:t>
      </w:r>
      <w:r w:rsidR="00F81D91">
        <w:t xml:space="preserve">than </w:t>
      </w:r>
      <w:r w:rsidR="008745FF">
        <w:t>the previous government planned</w:t>
      </w:r>
      <w:r w:rsidR="00F24613">
        <w:t>.</w:t>
      </w:r>
    </w:p>
    <w:p w14:paraId="14624550" w14:textId="4BBEEF2C" w:rsidR="00295DF8" w:rsidRDefault="005C25E2" w:rsidP="00295DF8">
      <w:pPr>
        <w:pStyle w:val="Bullet"/>
      </w:pPr>
      <w:r>
        <w:t>C</w:t>
      </w:r>
      <w:r w:rsidR="00295DF8">
        <w:t>hanges to the fiscal rules are a positive step in terms of encouraging investment</w:t>
      </w:r>
      <w:r>
        <w:t>,</w:t>
      </w:r>
      <w:r w:rsidR="00295DF8">
        <w:t xml:space="preserve"> and </w:t>
      </w:r>
      <w:r>
        <w:t xml:space="preserve">in our view </w:t>
      </w:r>
      <w:r w:rsidR="00295DF8">
        <w:t>could have a bigger impact on potential output than the Office for Budget Responsibility estimates. But the new investment plans are still low by international standards.</w:t>
      </w:r>
    </w:p>
    <w:p w14:paraId="6A6750D8" w14:textId="77777777" w:rsidR="00E553E0" w:rsidRDefault="00E553E0" w:rsidP="00E553E0">
      <w:pPr>
        <w:pStyle w:val="Bullet"/>
      </w:pPr>
      <w:r>
        <w:t>The OBR thinks today's measures will offer a solid boost to real GDP growth in the near-term. But we think the impact will be smaller, given how public sector output is measured and that some of the spending increase will fund higher wage settlements.</w:t>
      </w:r>
    </w:p>
    <w:p w14:paraId="437FB232" w14:textId="4F67131B" w:rsidR="00B2029A" w:rsidRDefault="005C25E2" w:rsidP="00D75CDE">
      <w:pPr>
        <w:pStyle w:val="Bullet"/>
      </w:pPr>
      <w:r>
        <w:t>On</w:t>
      </w:r>
      <w:r w:rsidR="00DC6650">
        <w:t xml:space="preserve"> </w:t>
      </w:r>
      <w:r w:rsidR="00C64E5C">
        <w:t xml:space="preserve">current </w:t>
      </w:r>
      <w:r w:rsidR="00DC6650">
        <w:t>spending</w:t>
      </w:r>
      <w:r>
        <w:t>, the new</w:t>
      </w:r>
      <w:r w:rsidR="00DC6650">
        <w:t xml:space="preserve"> plans look more credible. But t</w:t>
      </w:r>
      <w:r w:rsidR="00D75CDE">
        <w:t>he small margin for error against the borrowing rule leave</w:t>
      </w:r>
      <w:r w:rsidR="00A0358A">
        <w:t>s</w:t>
      </w:r>
      <w:r w:rsidR="00D75CDE">
        <w:t xml:space="preserve"> the government </w:t>
      </w:r>
      <w:r w:rsidR="00E553E0">
        <w:t xml:space="preserve">at risk of </w:t>
      </w:r>
      <w:r w:rsidR="00D75CDE">
        <w:t xml:space="preserve">needing to increase </w:t>
      </w:r>
      <w:r>
        <w:t xml:space="preserve">taxes </w:t>
      </w:r>
      <w:r w:rsidR="00D75CDE">
        <w:t>again</w:t>
      </w:r>
      <w:r w:rsidR="0059288E">
        <w:t xml:space="preserve"> in</w:t>
      </w:r>
      <w:r w:rsidR="00DC6650">
        <w:t xml:space="preserve"> the</w:t>
      </w:r>
      <w:r w:rsidR="0059288E">
        <w:t xml:space="preserve"> future</w:t>
      </w:r>
      <w:r w:rsidR="00D75CDE">
        <w:t>.</w:t>
      </w:r>
    </w:p>
    <w:p w14:paraId="4FFC40FB" w14:textId="17476D55" w:rsidR="00B2029A" w:rsidRDefault="00A4172D" w:rsidP="00B2029A">
      <w:r>
        <w:t xml:space="preserve">Chancellor Rachel Reeves had to walk a tightrope when presenting </w:t>
      </w:r>
      <w:r w:rsidR="005C25E2">
        <w:t xml:space="preserve">Labour's </w:t>
      </w:r>
      <w:r w:rsidR="00C30235">
        <w:t xml:space="preserve">first Budget </w:t>
      </w:r>
      <w:r w:rsidR="005C25E2">
        <w:t>in 14 years</w:t>
      </w:r>
      <w:r>
        <w:t xml:space="preserve"> today. She needed to </w:t>
      </w:r>
      <w:r w:rsidR="005C25E2">
        <w:t xml:space="preserve">boost </w:t>
      </w:r>
      <w:r>
        <w:t xml:space="preserve">day-to-day funding </w:t>
      </w:r>
      <w:r w:rsidR="005C25E2">
        <w:t>for</w:t>
      </w:r>
      <w:r>
        <w:t xml:space="preserve"> UK's public services and increase government investment levels to support economic growth and improve the country's decaying infrastructure</w:t>
      </w:r>
      <w:r w:rsidR="00B2029A">
        <w:t>.</w:t>
      </w:r>
      <w:r>
        <w:t xml:space="preserve"> But </w:t>
      </w:r>
      <w:r w:rsidR="005269DE">
        <w:t xml:space="preserve">the demands for extra spending had to be balanced with </w:t>
      </w:r>
      <w:r w:rsidR="005C25E2">
        <w:t xml:space="preserve">the </w:t>
      </w:r>
      <w:r w:rsidR="005269DE">
        <w:t xml:space="preserve">need to maintain fiscal credibility and address the UK's </w:t>
      </w:r>
      <w:r>
        <w:t>poor debt dynamics</w:t>
      </w:r>
      <w:r w:rsidR="005269DE">
        <w:t>.</w:t>
      </w:r>
    </w:p>
    <w:p w14:paraId="248210A1" w14:textId="6DAC838F" w:rsidR="002A4F6A" w:rsidRDefault="005269DE" w:rsidP="002A4F6A">
      <w:r>
        <w:t xml:space="preserve">The result was a large package of measures </w:t>
      </w:r>
      <w:r w:rsidR="005C25E2">
        <w:t xml:space="preserve">that </w:t>
      </w:r>
      <w:r w:rsidR="001659A0">
        <w:t>will result in substantial increases in current spending, capital spending, and taxation compared with the plans inherited from the previous government (</w:t>
      </w:r>
      <w:r w:rsidR="00666A58" w:rsidRPr="004D7780">
        <w:rPr>
          <w:b/>
          <w:color w:val="003469"/>
        </w:rPr>
        <w:fldChar w:fldCharType="begin"/>
      </w:r>
      <w:r w:rsidR="004D7780" w:rsidRPr="004D7780">
        <w:rPr>
          <w:b/>
          <w:color w:val="003469"/>
        </w:rPr>
        <w:instrText xml:space="preserve">REF _Ref181178078 \h \* Charformat </w:instrText>
      </w:r>
      <w:r w:rsidR="004D7780" w:rsidRPr="004D7780">
        <w:rPr>
          <w:b/>
          <w:color w:val="003469"/>
        </w:rPr>
      </w:r>
      <w:r w:rsidR="00666A58" w:rsidRPr="004D7780">
        <w:rPr>
          <w:b/>
          <w:color w:val="003469"/>
        </w:rPr>
        <w:fldChar w:fldCharType="separate"/>
      </w:r>
      <w:r w:rsidR="004D7780" w:rsidRPr="004D7780">
        <w:rPr>
          <w:b/>
          <w:color w:val="003469"/>
        </w:rPr>
        <w:t>Chart 1</w:t>
      </w:r>
      <w:r w:rsidR="00666A58" w:rsidRPr="004D7780">
        <w:rPr>
          <w:b/>
          <w:color w:val="003469"/>
        </w:rPr>
        <w:fldChar w:fldCharType="end"/>
      </w:r>
      <w:r w:rsidR="001659A0">
        <w:t xml:space="preserve">). </w:t>
      </w:r>
      <w:r w:rsidR="00C64F1A">
        <w:t>T</w:t>
      </w:r>
      <w:r w:rsidR="00B3278E">
        <w:t xml:space="preserve">oday's announcement </w:t>
      </w:r>
      <w:r w:rsidR="00A513F0">
        <w:t>wa</w:t>
      </w:r>
      <w:r w:rsidR="00B3278E">
        <w:t xml:space="preserve">s intended to set the course for </w:t>
      </w:r>
      <w:r w:rsidR="005C25E2">
        <w:t>Labour's</w:t>
      </w:r>
      <w:r w:rsidR="00B3278E">
        <w:t xml:space="preserve"> five-year parliamentary term</w:t>
      </w:r>
      <w:r w:rsidR="00F81D91">
        <w:t xml:space="preserve">. The </w:t>
      </w:r>
      <w:r w:rsidR="00C64F1A">
        <w:t xml:space="preserve">Chancellor's </w:t>
      </w:r>
      <w:r w:rsidR="005C25E2">
        <w:t xml:space="preserve">pledge </w:t>
      </w:r>
      <w:r w:rsidR="00C64F1A">
        <w:t>to only hold one major fiscal event each year</w:t>
      </w:r>
      <w:r w:rsidR="0063293F">
        <w:t xml:space="preserve"> and set spending plans for at least three years were</w:t>
      </w:r>
      <w:r w:rsidR="00C64F1A">
        <w:t xml:space="preserve"> also designed to promote stability. But with the multi-year review of departmental spending due in spring</w:t>
      </w:r>
      <w:r w:rsidR="0063293F">
        <w:t xml:space="preserve"> and</w:t>
      </w:r>
      <w:r w:rsidR="00C64F1A">
        <w:t xml:space="preserve"> </w:t>
      </w:r>
      <w:r w:rsidR="0063293F">
        <w:t>a</w:t>
      </w:r>
      <w:r w:rsidR="00C64F1A">
        <w:t xml:space="preserve"> </w:t>
      </w:r>
      <w:r w:rsidR="00041FCD">
        <w:t>wafer-thin</w:t>
      </w:r>
      <w:r w:rsidR="00C64F1A">
        <w:t xml:space="preserve"> margin for error against the </w:t>
      </w:r>
      <w:r w:rsidR="0060224B">
        <w:t>borrowing</w:t>
      </w:r>
      <w:r w:rsidR="00C64F1A">
        <w:t xml:space="preserve"> rule, the plan will almost certainly need to be tweaked as the parliament progresses.</w:t>
      </w:r>
    </w:p>
    <w:p w14:paraId="42D42E76" w14:textId="5260041A" w:rsidR="00B2029A" w:rsidRDefault="00B2029A" w:rsidP="002A4F6A">
      <w:pPr>
        <w:pStyle w:val="ExhibitTitle"/>
        <w:jc w:val="center"/>
      </w:pPr>
      <w:bookmarkStart w:id="0" w:name="_Ref181178078"/>
      <w:r>
        <w:t xml:space="preserve">Chart </w:t>
      </w:r>
      <w:r>
        <w:fldChar w:fldCharType="begin"/>
      </w:r>
      <w:r w:rsidR="002A4F6A">
        <w:instrText>SEQ CHART</w:instrText>
      </w:r>
      <w:r>
        <w:fldChar w:fldCharType="separate"/>
      </w:r>
      <w:r w:rsidR="004D7780">
        <w:rPr>
          <w:noProof/>
        </w:rPr>
        <w:t>1</w:t>
      </w:r>
      <w:r>
        <w:fldChar w:fldCharType="end"/>
      </w:r>
      <w:bookmarkEnd w:id="0"/>
      <w:r>
        <w:t xml:space="preserve">: </w:t>
      </w:r>
      <w:r w:rsidR="00F50EB3">
        <w:t>The Chancellor announced a net loosening of policy of nearly £40bn a year</w:t>
      </w:r>
    </w:p>
    <w:p w14:paraId="4D7A019B" w14:textId="7B4E3236" w:rsidR="002A4F6A" w:rsidRDefault="002A4F6A" w:rsidP="002A4F6A">
      <w:pPr>
        <w:spacing w:after="0"/>
        <w:jc w:val="center"/>
      </w:pPr>
      <w:r>
        <w:rPr>
          <w:noProof/>
        </w:rPr>
        <w:drawing>
          <wp:inline distT="0" distB="0" distL="0" distR="0" wp14:anchorId="01E93C21" wp14:editId="35BB1AAF">
            <wp:extent cx="4006964" cy="3136016"/>
            <wp:effectExtent l="0" t="0" r="0" b="7620"/>
            <wp:docPr id="7370098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09870" name=""/>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b="1889"/>
                    <a:stretch>
                      <a:fillRect/>
                    </a:stretch>
                  </pic:blipFill>
                  <pic:spPr>
                    <a:xfrm>
                      <a:off x="0" y="0"/>
                      <a:ext cx="4006964" cy="3136016"/>
                    </a:xfrm>
                    <a:prstGeom prst="rect">
                      <a:avLst/>
                    </a:prstGeom>
                  </pic:spPr>
                </pic:pic>
              </a:graphicData>
            </a:graphic>
          </wp:inline>
        </w:drawing>
      </w:r>
    </w:p>
    <w:p w14:paraId="21276461" w14:textId="74F9DD02" w:rsidR="00B2029A" w:rsidRDefault="002A4F6A" w:rsidP="002A4F6A">
      <w:pPr>
        <w:pStyle w:val="ExhibitSource"/>
        <w:jc w:val="center"/>
      </w:pPr>
      <w:r>
        <w:t>Source: HM Treasury</w:t>
      </w:r>
    </w:p>
    <w:p w14:paraId="44C18205" w14:textId="224A8D9C" w:rsidR="00B2029A" w:rsidRDefault="00B2029A" w:rsidP="00B2029A">
      <w:pPr>
        <w:pStyle w:val="ExhibitSource"/>
        <w:jc w:val="center"/>
        <w:sectPr w:rsidR="00B2029A" w:rsidSect="002A4F6A">
          <w:headerReference w:type="even" r:id="rId13"/>
          <w:headerReference w:type="default" r:id="rId14"/>
          <w:footerReference w:type="default" r:id="rId15"/>
          <w:headerReference w:type="first" r:id="rId16"/>
          <w:footerReference w:type="first" r:id="rId17"/>
          <w:pgSz w:w="11906" w:h="16838"/>
          <w:pgMar w:top="2665" w:right="1276" w:bottom="838" w:left="1134" w:header="708" w:footer="300" w:gutter="0"/>
          <w:cols w:space="708"/>
          <w:titlePg/>
          <w:docGrid w:linePitch="360"/>
        </w:sectPr>
      </w:pPr>
    </w:p>
    <w:p w14:paraId="304A1C65" w14:textId="08FE7702" w:rsidR="00204828" w:rsidRDefault="00204828" w:rsidP="0065697E">
      <w:pPr>
        <w:pStyle w:val="Heading3"/>
      </w:pPr>
      <w:r>
        <w:lastRenderedPageBreak/>
        <w:t>Looser fiscal rules are more growth-friendly</w:t>
      </w:r>
    </w:p>
    <w:p w14:paraId="789C449D" w14:textId="036114B7" w:rsidR="009A0687" w:rsidRDefault="000F6218" w:rsidP="00B2029A">
      <w:r>
        <w:t>The government's approach was framed by two new fiscal rules. The new borrowing rule</w:t>
      </w:r>
      <w:r w:rsidR="003B61D8">
        <w:t xml:space="preserve"> – </w:t>
      </w:r>
      <w:r w:rsidR="001C6588">
        <w:t xml:space="preserve">which the Chancellor </w:t>
      </w:r>
      <w:r w:rsidR="003B61D8">
        <w:t xml:space="preserve">branded as the </w:t>
      </w:r>
      <w:r w:rsidR="001C6588">
        <w:t>'</w:t>
      </w:r>
      <w:r w:rsidR="003B61D8">
        <w:t>stability rule</w:t>
      </w:r>
      <w:r w:rsidR="001C6588">
        <w:t>'</w:t>
      </w:r>
      <w:r w:rsidR="003B61D8">
        <w:t xml:space="preserve"> –</w:t>
      </w:r>
      <w:r>
        <w:t xml:space="preserve"> was part of Labour's election manifesto. The government will </w:t>
      </w:r>
      <w:r w:rsidRPr="000F6218">
        <w:t>target a balanced current budget (i.e., day-to-day spending matched to government revenue), rather than setting a limit for the broader public sector net borrowing measure</w:t>
      </w:r>
      <w:r>
        <w:t>.</w:t>
      </w:r>
      <w:r w:rsidR="00B85267">
        <w:t xml:space="preserve"> </w:t>
      </w:r>
    </w:p>
    <w:p w14:paraId="2D1729D7" w14:textId="734CD3DD" w:rsidR="009A0687" w:rsidRDefault="00F81D91" w:rsidP="00B2029A">
      <w:r>
        <w:t>Before the election</w:t>
      </w:r>
      <w:r w:rsidR="00B85267">
        <w:t xml:space="preserve">, the Chancellor had </w:t>
      </w:r>
      <w:r>
        <w:t>hinted</w:t>
      </w:r>
      <w:r w:rsidR="00B85267">
        <w:t xml:space="preserve"> she would keep the </w:t>
      </w:r>
      <w:r w:rsidR="00B85267" w:rsidRPr="002D55A7">
        <w:t>deeply flawed debt rule</w:t>
      </w:r>
      <w:r w:rsidR="00B85267">
        <w:t xml:space="preserve"> inherited from her predecessor. But she subsequently changed tack, arguing that </w:t>
      </w:r>
      <w:r w:rsidR="00AB69EE">
        <w:t xml:space="preserve">the rule needed to take account of the benefits of investment as well as the costs. We set out the various options in </w:t>
      </w:r>
      <w:hyperlink r:id="rId18" w:history="1">
        <w:r w:rsidR="00AB69EE" w:rsidRPr="005759B0">
          <w:rPr>
            <w:rStyle w:val="Hyperlink"/>
          </w:rPr>
          <w:t>a recent note</w:t>
        </w:r>
      </w:hyperlink>
      <w:r w:rsidR="00AB69EE">
        <w:t xml:space="preserve">, and today the Chancellor announced </w:t>
      </w:r>
      <w:r w:rsidR="005759B0">
        <w:t>that she will target a falling ratio of public sector net financial liabilities to GDP</w:t>
      </w:r>
      <w:r w:rsidR="00D828B2">
        <w:t xml:space="preserve">, which the government is </w:t>
      </w:r>
      <w:r>
        <w:t>now</w:t>
      </w:r>
      <w:r w:rsidR="00D828B2">
        <w:t xml:space="preserve"> referring to as net financial debt</w:t>
      </w:r>
      <w:r w:rsidR="005759B0">
        <w:t>.</w:t>
      </w:r>
    </w:p>
    <w:p w14:paraId="1614AD4E" w14:textId="4712F495" w:rsidR="00204828" w:rsidRDefault="00C0297E" w:rsidP="00B2029A">
      <w:r>
        <w:t>This is a broader measure</w:t>
      </w:r>
      <w:r w:rsidR="00191329">
        <w:t xml:space="preserve"> than public sector net debt</w:t>
      </w:r>
      <w:r>
        <w:t xml:space="preserve"> that includes illiquid financial assets (e.g. student loans to be repaid) and some other financial liabilities (including funded public sector pension liabilities).</w:t>
      </w:r>
      <w:r w:rsidR="002D55A7">
        <w:t xml:space="preserve"> </w:t>
      </w:r>
      <w:r>
        <w:t xml:space="preserve">The Office for Budget Responsibility's new forecasts show that the change </w:t>
      </w:r>
      <w:r w:rsidR="00E553E0">
        <w:t xml:space="preserve">in the </w:t>
      </w:r>
      <w:r>
        <w:t>debt measure has increased the headroom by £</w:t>
      </w:r>
      <w:r w:rsidR="007447ED">
        <w:t>2</w:t>
      </w:r>
      <w:r w:rsidR="00C64E5C">
        <w:t>2</w:t>
      </w:r>
      <w:r>
        <w:t>bn (</w:t>
      </w:r>
      <w:r w:rsidR="00AC403F">
        <w:t>0.</w:t>
      </w:r>
      <w:r w:rsidR="00C64E5C">
        <w:t>6</w:t>
      </w:r>
      <w:r>
        <w:t>% of GDP</w:t>
      </w:r>
      <w:r w:rsidR="00E553E0">
        <w:t xml:space="preserve">; </w:t>
      </w:r>
      <w:r w:rsidR="004D7780" w:rsidRPr="004D7780">
        <w:rPr>
          <w:b/>
          <w:color w:val="003469"/>
        </w:rPr>
        <w:fldChar w:fldCharType="begin"/>
      </w:r>
      <w:r w:rsidR="004D7780" w:rsidRPr="004D7780">
        <w:rPr>
          <w:b/>
          <w:color w:val="003469"/>
        </w:rPr>
        <w:instrText xml:space="preserve">REF _Ref181203077 \h \* Charformat </w:instrText>
      </w:r>
      <w:r w:rsidR="004D7780" w:rsidRPr="004D7780">
        <w:rPr>
          <w:b/>
          <w:color w:val="003469"/>
        </w:rPr>
      </w:r>
      <w:r w:rsidR="004D7780" w:rsidRPr="004D7780">
        <w:rPr>
          <w:b/>
          <w:color w:val="003469"/>
        </w:rPr>
        <w:fldChar w:fldCharType="separate"/>
      </w:r>
      <w:r w:rsidR="004D7780" w:rsidRPr="004D7780">
        <w:rPr>
          <w:b/>
          <w:color w:val="003469"/>
        </w:rPr>
        <w:t>Chart 2</w:t>
      </w:r>
      <w:r w:rsidR="004D7780" w:rsidRPr="004D7780">
        <w:rPr>
          <w:b/>
          <w:color w:val="003469"/>
        </w:rPr>
        <w:fldChar w:fldCharType="end"/>
      </w:r>
      <w:r w:rsidR="005759B0">
        <w:t>).</w:t>
      </w:r>
    </w:p>
    <w:p w14:paraId="08F8C0EB" w14:textId="68877A3F" w:rsidR="00B2029A" w:rsidRDefault="00B2029A" w:rsidP="0065697E">
      <w:pPr>
        <w:pStyle w:val="ExhibitTitle"/>
      </w:pPr>
      <w:bookmarkStart w:id="1" w:name="_Ref181203077"/>
      <w:r>
        <w:t xml:space="preserve">Chart </w:t>
      </w:r>
      <w:r>
        <w:fldChar w:fldCharType="begin"/>
      </w:r>
      <w:r w:rsidR="00C64E5C">
        <w:instrText>SEQ CHART</w:instrText>
      </w:r>
      <w:r>
        <w:fldChar w:fldCharType="separate"/>
      </w:r>
      <w:r w:rsidR="004D7780">
        <w:rPr>
          <w:noProof/>
        </w:rPr>
        <w:t>2</w:t>
      </w:r>
      <w:r>
        <w:fldChar w:fldCharType="end"/>
      </w:r>
      <w:bookmarkEnd w:id="1"/>
      <w:r>
        <w:t xml:space="preserve">: </w:t>
      </w:r>
      <w:r w:rsidR="002D55A7">
        <w:t xml:space="preserve">The new debt rule offers more </w:t>
      </w:r>
      <w:r w:rsidR="00E553E0">
        <w:t xml:space="preserve">scope </w:t>
      </w:r>
      <w:r w:rsidR="002D55A7">
        <w:t>for investment</w:t>
      </w:r>
    </w:p>
    <w:p w14:paraId="15C2E3C1" w14:textId="7D8858BA" w:rsidR="00C64E5C" w:rsidRDefault="00C64E5C" w:rsidP="0065697E">
      <w:pPr>
        <w:spacing w:after="0"/>
        <w:rPr>
          <w:noProof/>
        </w:rPr>
      </w:pPr>
      <w:r>
        <w:rPr>
          <w:noProof/>
        </w:rPr>
        <w:drawing>
          <wp:inline distT="0" distB="0" distL="0" distR="0" wp14:anchorId="72C0E076" wp14:editId="7D6AE2FA">
            <wp:extent cx="3250933" cy="2548068"/>
            <wp:effectExtent l="0" t="0" r="6985" b="5080"/>
            <wp:docPr id="1031480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8051" nam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rcRect b="1886"/>
                    <a:stretch>
                      <a:fillRect/>
                    </a:stretch>
                  </pic:blipFill>
                  <pic:spPr>
                    <a:xfrm>
                      <a:off x="0" y="0"/>
                      <a:ext cx="3250933" cy="2548068"/>
                    </a:xfrm>
                    <a:prstGeom prst="rect">
                      <a:avLst/>
                    </a:prstGeom>
                  </pic:spPr>
                </pic:pic>
              </a:graphicData>
            </a:graphic>
          </wp:inline>
        </w:drawing>
      </w:r>
    </w:p>
    <w:p w14:paraId="5BB6558E" w14:textId="645D8DCF" w:rsidR="00B2029A" w:rsidRDefault="00C64E5C" w:rsidP="0065697E">
      <w:pPr>
        <w:pStyle w:val="ExhibitSource"/>
      </w:pPr>
      <w:r>
        <w:t>Source: Office for Budget Responsibility</w:t>
      </w:r>
    </w:p>
    <w:p w14:paraId="42850E27" w14:textId="1433851E" w:rsidR="008E4B5C" w:rsidRDefault="008E4B5C" w:rsidP="008E4B5C">
      <w:r>
        <w:t xml:space="preserve">The rules </w:t>
      </w:r>
      <w:r w:rsidR="007F0E77">
        <w:t xml:space="preserve">are currently </w:t>
      </w:r>
      <w:r w:rsidR="00D60431">
        <w:t>evaluated</w:t>
      </w:r>
      <w:r>
        <w:t xml:space="preserve"> </w:t>
      </w:r>
      <w:r w:rsidR="007F0E77">
        <w:t>for</w:t>
      </w:r>
      <w:r>
        <w:t xml:space="preserve"> 2029-2030</w:t>
      </w:r>
      <w:r w:rsidR="00F81D91">
        <w:t>, the same five-year horizon used by her predecessor</w:t>
      </w:r>
      <w:r>
        <w:t xml:space="preserve">. But when that year becomes the third year of the forecast, the rules will be assessed on a rolling three-year basis. The shorter time horizon is something that </w:t>
      </w:r>
      <w:hyperlink r:id="rId21" w:history="1">
        <w:r w:rsidRPr="002D55A7">
          <w:rPr>
            <w:rStyle w:val="Hyperlink"/>
          </w:rPr>
          <w:t>we've previously advocated</w:t>
        </w:r>
      </w:hyperlink>
      <w:r>
        <w:t xml:space="preserve"> and should help to reinforce credibility in the government's fiscal plans.</w:t>
      </w:r>
    </w:p>
    <w:p w14:paraId="7305A2C1" w14:textId="78A5EE92" w:rsidR="003E0AB0" w:rsidRDefault="003E0AB0" w:rsidP="00B2029A">
      <w:r>
        <w:t xml:space="preserve">The extra headroom </w:t>
      </w:r>
      <w:r w:rsidR="00E553E0">
        <w:t xml:space="preserve">has </w:t>
      </w:r>
      <w:r>
        <w:t>allowed the Chancellor to ramp up government investment by £</w:t>
      </w:r>
      <w:r w:rsidR="007447ED">
        <w:t>23</w:t>
      </w:r>
      <w:r>
        <w:t>bn (</w:t>
      </w:r>
      <w:r w:rsidR="007447ED">
        <w:t>0.7</w:t>
      </w:r>
      <w:r>
        <w:t xml:space="preserve">% of GDP) in 2029-2030, compared with the previous plans. </w:t>
      </w:r>
      <w:r w:rsidR="007E482F">
        <w:t xml:space="preserve">But </w:t>
      </w:r>
      <w:r w:rsidR="00DA401A">
        <w:t>those</w:t>
      </w:r>
      <w:r w:rsidR="007E482F">
        <w:t xml:space="preserve"> plans </w:t>
      </w:r>
      <w:r w:rsidR="00DA401A">
        <w:t xml:space="preserve">had </w:t>
      </w:r>
      <w:r w:rsidR="007E482F">
        <w:t>involved investment dropping to a 13-year low as a share of GDP (</w:t>
      </w:r>
      <w:r w:rsidR="004D7780" w:rsidRPr="004D7780">
        <w:rPr>
          <w:b/>
          <w:color w:val="003469"/>
        </w:rPr>
        <w:fldChar w:fldCharType="begin"/>
      </w:r>
      <w:r w:rsidR="004D7780" w:rsidRPr="004D7780">
        <w:rPr>
          <w:b/>
          <w:color w:val="003469"/>
        </w:rPr>
        <w:instrText xml:space="preserve">REF _Ref181203078 \h \* Charformat </w:instrText>
      </w:r>
      <w:r w:rsidR="004D7780" w:rsidRPr="004D7780">
        <w:rPr>
          <w:b/>
          <w:color w:val="003469"/>
        </w:rPr>
      </w:r>
      <w:r w:rsidR="004D7780" w:rsidRPr="004D7780">
        <w:rPr>
          <w:b/>
          <w:color w:val="003469"/>
        </w:rPr>
        <w:fldChar w:fldCharType="separate"/>
      </w:r>
      <w:r w:rsidR="004D7780" w:rsidRPr="004D7780">
        <w:rPr>
          <w:b/>
          <w:color w:val="003469"/>
        </w:rPr>
        <w:t>Chart 3</w:t>
      </w:r>
      <w:r w:rsidR="004D7780" w:rsidRPr="004D7780">
        <w:rPr>
          <w:b/>
          <w:color w:val="003469"/>
        </w:rPr>
        <w:fldChar w:fldCharType="end"/>
      </w:r>
      <w:r w:rsidR="007E482F">
        <w:t xml:space="preserve">). </w:t>
      </w:r>
      <w:r w:rsidR="00C82CF9">
        <w:t>T</w:t>
      </w:r>
      <w:r w:rsidR="0050090F">
        <w:t xml:space="preserve">he new plans </w:t>
      </w:r>
      <w:r w:rsidR="009B5CEA">
        <w:t xml:space="preserve">show a much smaller drop in the ratio of </w:t>
      </w:r>
      <w:r w:rsidR="0050090F">
        <w:t xml:space="preserve">investment </w:t>
      </w:r>
      <w:r w:rsidR="009B5CEA">
        <w:t>to GDP</w:t>
      </w:r>
      <w:r w:rsidR="00B81A70">
        <w:t xml:space="preserve">, keeping the level above the average of the past 20 years. However, </w:t>
      </w:r>
      <w:r w:rsidR="009B5CEA">
        <w:t>capital spending will still be relatively low by international standards.</w:t>
      </w:r>
    </w:p>
    <w:p w14:paraId="749A25D3" w14:textId="61324045" w:rsidR="00B2029A" w:rsidRDefault="00B2029A" w:rsidP="0065697E">
      <w:pPr>
        <w:pStyle w:val="ExhibitTitle"/>
      </w:pPr>
      <w:bookmarkStart w:id="2" w:name="_Ref181203078"/>
      <w:r>
        <w:lastRenderedPageBreak/>
        <w:t xml:space="preserve">Chart </w:t>
      </w:r>
      <w:r>
        <w:fldChar w:fldCharType="begin"/>
      </w:r>
      <w:r w:rsidR="00801898">
        <w:instrText>SEQ CHART</w:instrText>
      </w:r>
      <w:r>
        <w:fldChar w:fldCharType="separate"/>
      </w:r>
      <w:r w:rsidR="004D7780">
        <w:rPr>
          <w:noProof/>
        </w:rPr>
        <w:t>3</w:t>
      </w:r>
      <w:r>
        <w:fldChar w:fldCharType="end"/>
      </w:r>
      <w:bookmarkEnd w:id="2"/>
      <w:r>
        <w:t xml:space="preserve">: </w:t>
      </w:r>
      <w:r w:rsidR="009A0687">
        <w:t>I</w:t>
      </w:r>
      <w:r w:rsidR="00141D61">
        <w:t xml:space="preserve">nvestment </w:t>
      </w:r>
      <w:r w:rsidR="009A0687">
        <w:t>is now planned to stabilise close to current levels</w:t>
      </w:r>
    </w:p>
    <w:p w14:paraId="44C8D018" w14:textId="5168DA78" w:rsidR="00801898" w:rsidRDefault="00801898" w:rsidP="0065697E">
      <w:pPr>
        <w:spacing w:after="0"/>
      </w:pPr>
      <w:r>
        <w:rPr>
          <w:noProof/>
        </w:rPr>
        <w:drawing>
          <wp:inline distT="0" distB="0" distL="0" distR="0" wp14:anchorId="3E9211EC" wp14:editId="7AC0FA44">
            <wp:extent cx="3250933" cy="2548068"/>
            <wp:effectExtent l="0" t="0" r="6985" b="5080"/>
            <wp:docPr id="116254490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44904" name=""/>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rcRect b="1886"/>
                    <a:stretch>
                      <a:fillRect/>
                    </a:stretch>
                  </pic:blipFill>
                  <pic:spPr>
                    <a:xfrm>
                      <a:off x="0" y="0"/>
                      <a:ext cx="3250933" cy="2548068"/>
                    </a:xfrm>
                    <a:prstGeom prst="rect">
                      <a:avLst/>
                    </a:prstGeom>
                  </pic:spPr>
                </pic:pic>
              </a:graphicData>
            </a:graphic>
          </wp:inline>
        </w:drawing>
      </w:r>
    </w:p>
    <w:p w14:paraId="1904151F" w14:textId="395864E0" w:rsidR="00B2029A" w:rsidRDefault="00801898" w:rsidP="0065697E">
      <w:pPr>
        <w:pStyle w:val="ExhibitSource"/>
      </w:pPr>
      <w:r>
        <w:t>Sources: Oxford Economics, Office for Budget Responsibility</w:t>
      </w:r>
    </w:p>
    <w:p w14:paraId="334FED5C" w14:textId="5E68C82E" w:rsidR="00E553E0" w:rsidRDefault="00B81A70" w:rsidP="00B81A70">
      <w:r>
        <w:t xml:space="preserve">Higher public investment should offer a modest boost to potential output growth. Indeed, our modelling suggests that the </w:t>
      </w:r>
      <w:hyperlink r:id="rId24" w:history="1">
        <w:r w:rsidRPr="00C63CAF">
          <w:rPr>
            <w:rStyle w:val="Hyperlink"/>
          </w:rPr>
          <w:t>OBR's recent paper</w:t>
        </w:r>
      </w:hyperlink>
      <w:r>
        <w:t xml:space="preserve"> on the impact of higher public investment on potential output might be too pessimistic</w:t>
      </w:r>
      <w:r w:rsidR="00E553E0">
        <w:t>.</w:t>
      </w:r>
      <w:r>
        <w:t xml:space="preserve"> </w:t>
      </w:r>
      <w:hyperlink r:id="rId25" w:anchor="r::625AA23922EE45Fe9Bf454:UKAPlanforGrowth-pro:Whyhaspotentialgrowt:5.Liftpublicinvestme" w:history="1">
        <w:r w:rsidR="00E553E0">
          <w:rPr>
            <w:rStyle w:val="Hyperlink"/>
          </w:rPr>
          <w:t>A</w:t>
        </w:r>
        <w:r w:rsidRPr="00D15240">
          <w:rPr>
            <w:rStyle w:val="Hyperlink"/>
          </w:rPr>
          <w:t>cademic literature</w:t>
        </w:r>
      </w:hyperlink>
      <w:r>
        <w:t xml:space="preserve"> also points to higher returns. </w:t>
      </w:r>
    </w:p>
    <w:p w14:paraId="78D1DCF7" w14:textId="0E99E4A5" w:rsidR="00B81A70" w:rsidRDefault="00B81A70" w:rsidP="00B81A70">
      <w:r>
        <w:t xml:space="preserve">But the extent to which higher capital spending boosts the growth outlook will also depend on how the extra funding is allocated. Initially, plans appear to </w:t>
      </w:r>
      <w:r w:rsidR="00E553E0">
        <w:t xml:space="preserve">focus </w:t>
      </w:r>
      <w:r>
        <w:t>on fixing problems</w:t>
      </w:r>
      <w:r w:rsidR="00141D61">
        <w:t xml:space="preserve"> </w:t>
      </w:r>
      <w:r w:rsidR="00E553E0">
        <w:t xml:space="preserve">in </w:t>
      </w:r>
      <w:r w:rsidR="00141D61">
        <w:t>existing infrastructure</w:t>
      </w:r>
      <w:r>
        <w:t>, such as crumbling school buildings</w:t>
      </w:r>
      <w:r w:rsidR="00A515DF">
        <w:t>.</w:t>
      </w:r>
      <w:r w:rsidR="00141D61">
        <w:t xml:space="preserve"> Longer-term ambitions around green energy and new transport infrastructure </w:t>
      </w:r>
      <w:r w:rsidR="00E553E0">
        <w:t>could</w:t>
      </w:r>
      <w:r w:rsidR="00141D61">
        <w:t xml:space="preserve"> have a more material impact on the long-term growth outlook</w:t>
      </w:r>
      <w:r w:rsidR="00E553E0">
        <w:t>,</w:t>
      </w:r>
      <w:r w:rsidR="00141D61">
        <w:t xml:space="preserve"> but mostly lack detail at this stage.</w:t>
      </w:r>
    </w:p>
    <w:p w14:paraId="41E65CDA" w14:textId="0918D9BC" w:rsidR="00C82CF9" w:rsidRDefault="00804683" w:rsidP="0065697E">
      <w:pPr>
        <w:pStyle w:val="Heading3"/>
      </w:pPr>
      <w:r>
        <w:t>C</w:t>
      </w:r>
      <w:r w:rsidR="00154481">
        <w:t>ompanies</w:t>
      </w:r>
      <w:r>
        <w:t xml:space="preserve"> bear the brunt of tax rises</w:t>
      </w:r>
    </w:p>
    <w:p w14:paraId="4915ECDA" w14:textId="405207D6" w:rsidR="00B2029A" w:rsidRDefault="000B52D9" w:rsidP="00B2029A">
      <w:r>
        <w:t>Th</w:t>
      </w:r>
      <w:r w:rsidR="007C2406">
        <w:t xml:space="preserve">e OBR's pre-policy measures forecast </w:t>
      </w:r>
      <w:r>
        <w:t xml:space="preserve">offered slightly more headroom </w:t>
      </w:r>
      <w:r w:rsidR="007C2406">
        <w:t>against the new stability rule</w:t>
      </w:r>
      <w:r>
        <w:t xml:space="preserve"> than before, reflecting an upward revision to its earnings forecast</w:t>
      </w:r>
      <w:r w:rsidR="007C2406">
        <w:t xml:space="preserve">. </w:t>
      </w:r>
      <w:r>
        <w:t>But the change was small, and a</w:t>
      </w:r>
      <w:r w:rsidR="007C2406">
        <w:t xml:space="preserve">ny increase in current spending had to be </w:t>
      </w:r>
      <w:r>
        <w:t xml:space="preserve">largely </w:t>
      </w:r>
      <w:r w:rsidR="007C2406">
        <w:t>financed by higher taxation</w:t>
      </w:r>
      <w:r w:rsidR="00B2029A">
        <w:t>.</w:t>
      </w:r>
      <w:r w:rsidR="007C2406">
        <w:t xml:space="preserve"> The increase in tax was much higher than we had anticipated, with policy measures summing to £</w:t>
      </w:r>
      <w:r w:rsidR="00C71EAC">
        <w:t>41</w:t>
      </w:r>
      <w:r w:rsidR="007C2406">
        <w:t>bn (</w:t>
      </w:r>
      <w:r w:rsidR="00C71EAC">
        <w:t>1.2</w:t>
      </w:r>
      <w:r w:rsidR="007C2406">
        <w:t xml:space="preserve">% of GDP) in 2029-2030. </w:t>
      </w:r>
      <w:r w:rsidR="003942EC">
        <w:t xml:space="preserve">Labour's manifesto had ruled out increasing most of the main </w:t>
      </w:r>
      <w:r w:rsidR="000B742E">
        <w:t xml:space="preserve">taxes </w:t>
      </w:r>
      <w:r w:rsidR="00E553E0">
        <w:t xml:space="preserve">– </w:t>
      </w:r>
      <w:r w:rsidR="003942EC">
        <w:t xml:space="preserve">sticking to that approach </w:t>
      </w:r>
      <w:r w:rsidR="00E553E0">
        <w:t xml:space="preserve">has </w:t>
      </w:r>
      <w:r w:rsidR="003942EC">
        <w:t xml:space="preserve">meant that the burden of tax rises fell heavily on </w:t>
      </w:r>
      <w:r w:rsidR="00E553E0">
        <w:t>businesses</w:t>
      </w:r>
      <w:r w:rsidR="003942EC">
        <w:t>.</w:t>
      </w:r>
    </w:p>
    <w:p w14:paraId="52017B3F" w14:textId="5E623EB8" w:rsidR="006A576A" w:rsidRDefault="003942EC" w:rsidP="006A576A">
      <w:r>
        <w:t>Nearly two-thirds of the increase in tax will come from higher national insurance contributions</w:t>
      </w:r>
      <w:r w:rsidR="002D4F91" w:rsidRPr="002D4F91">
        <w:t xml:space="preserve"> </w:t>
      </w:r>
      <w:r w:rsidR="002D4F91">
        <w:t>from employers</w:t>
      </w:r>
      <w:r>
        <w:t>. The main rate of employers' NICs was increased by 1.2ppts to 15%, while the threshold at which companies must start paying was slashed</w:t>
      </w:r>
      <w:r w:rsidR="005B5E99">
        <w:t xml:space="preserve"> to £5,000 from £9,100.</w:t>
      </w:r>
      <w:r w:rsidR="006A576A" w:rsidRPr="006A576A">
        <w:t xml:space="preserve"> </w:t>
      </w:r>
      <w:r w:rsidR="002D4F91">
        <w:t>T</w:t>
      </w:r>
      <w:r w:rsidR="006A576A">
        <w:t>he increase in employers' NICs was large partly to fund another freeze in fuel duty and to avoid extending the freeze in income tax and employee NICs thresholds, which already runs to 2027-2028.</w:t>
      </w:r>
    </w:p>
    <w:p w14:paraId="180C5E69" w14:textId="447A21CB" w:rsidR="00B472B5" w:rsidRDefault="00B472B5" w:rsidP="00B2029A">
      <w:r>
        <w:t>While th</w:t>
      </w:r>
      <w:r w:rsidR="006A576A">
        <w:t>e increase in NICs</w:t>
      </w:r>
      <w:r w:rsidR="00615B2C">
        <w:t xml:space="preserve"> is technically consistent with the government's </w:t>
      </w:r>
      <w:r w:rsidR="002D4F91">
        <w:t xml:space="preserve">promise </w:t>
      </w:r>
      <w:r w:rsidR="00615B2C">
        <w:t xml:space="preserve">to avoid increasing taxes on workers, the impact of higher employment costs will ultimately fall </w:t>
      </w:r>
      <w:r w:rsidR="002D4F91">
        <w:t xml:space="preserve">mostly </w:t>
      </w:r>
      <w:r w:rsidR="00615B2C">
        <w:t xml:space="preserve">on the workforce. We've run a </w:t>
      </w:r>
      <w:r w:rsidR="005F6C1F">
        <w:t xml:space="preserve">scenario on our </w:t>
      </w:r>
      <w:hyperlink r:id="rId26" w:history="1">
        <w:r w:rsidR="005F6C1F" w:rsidRPr="005F6C1F">
          <w:rPr>
            <w:rStyle w:val="Hyperlink"/>
          </w:rPr>
          <w:t>Global Economic Model</w:t>
        </w:r>
      </w:hyperlink>
      <w:r w:rsidR="005F6C1F">
        <w:t xml:space="preserve"> </w:t>
      </w:r>
      <w:r w:rsidR="002D4F91">
        <w:t>that</w:t>
      </w:r>
      <w:r w:rsidR="001E3C81">
        <w:t xml:space="preserve"> suggests the </w:t>
      </w:r>
      <w:r w:rsidR="00AA616E">
        <w:t>increase in employers</w:t>
      </w:r>
      <w:r w:rsidR="002D55A7">
        <w:t>'</w:t>
      </w:r>
      <w:r w:rsidR="00AA616E">
        <w:t xml:space="preserve"> NICs</w:t>
      </w:r>
      <w:r w:rsidR="001E3C81">
        <w:t xml:space="preserve"> will </w:t>
      </w:r>
      <w:r w:rsidR="00372D99">
        <w:t>increase</w:t>
      </w:r>
      <w:r w:rsidR="001E3C81">
        <w:t xml:space="preserve"> the level of </w:t>
      </w:r>
      <w:r w:rsidR="00372D99">
        <w:t>unemployment</w:t>
      </w:r>
      <w:r w:rsidR="001E3C81">
        <w:t xml:space="preserve"> by 0.2ppts after two years, with </w:t>
      </w:r>
      <w:r w:rsidR="00372D99">
        <w:t>GDP</w:t>
      </w:r>
      <w:r w:rsidR="001E3C81">
        <w:t xml:space="preserve"> and earnings being slightly lower.</w:t>
      </w:r>
    </w:p>
    <w:p w14:paraId="6892A21E" w14:textId="1C6F5206" w:rsidR="00367F46" w:rsidRDefault="006526C1" w:rsidP="00B2029A">
      <w:r>
        <w:t xml:space="preserve">The next biggest revenue raiser was £6.5bn from measures to tackle tax avoidance and reforms that will enable HMRC to collect a higher share of the revenue that it's owed. These revenues are highly uncertain and look an obvious source of slippage. </w:t>
      </w:r>
      <w:r w:rsidR="00367F46">
        <w:t xml:space="preserve">Other </w:t>
      </w:r>
      <w:r w:rsidR="00BE7A71">
        <w:t xml:space="preserve">announcements included an increase in </w:t>
      </w:r>
      <w:r>
        <w:t xml:space="preserve">the main rates of </w:t>
      </w:r>
      <w:r w:rsidR="00BE7A71">
        <w:t>capital gains tax</w:t>
      </w:r>
      <w:r>
        <w:t xml:space="preserve">, reforms to inheritance tax, and the government following through on its manifesto commitment to abolish the </w:t>
      </w:r>
      <w:r w:rsidR="002D4F91">
        <w:t>'</w:t>
      </w:r>
      <w:r>
        <w:t>non-</w:t>
      </w:r>
      <w:r w:rsidR="002D4F91">
        <w:t xml:space="preserve">dom' </w:t>
      </w:r>
      <w:r>
        <w:t>regime.</w:t>
      </w:r>
    </w:p>
    <w:p w14:paraId="3E8ACBC5" w14:textId="29AB1B48" w:rsidR="00367F46" w:rsidRDefault="00367F46" w:rsidP="0065697E">
      <w:pPr>
        <w:pStyle w:val="Heading3"/>
      </w:pPr>
      <w:r>
        <w:t xml:space="preserve">Current spending boosted but </w:t>
      </w:r>
      <w:r w:rsidR="009A680B">
        <w:t>many departmental budgets</w:t>
      </w:r>
      <w:r>
        <w:t xml:space="preserve"> will remain tight</w:t>
      </w:r>
    </w:p>
    <w:p w14:paraId="7674012A" w14:textId="7483DFF9" w:rsidR="000112A3" w:rsidRDefault="00A24B39" w:rsidP="00B2029A">
      <w:r>
        <w:t>The Chancellor opted to increase current spending by £51bn (1.5% of GDP) in 2029-2030, leaving a margin for error of just under £10bn against the new borrowing rule.</w:t>
      </w:r>
      <w:r w:rsidR="007A4A7C">
        <w:t xml:space="preserve"> A large chunk of the extra funding is the </w:t>
      </w:r>
      <w:r w:rsidR="007A4A7C">
        <w:lastRenderedPageBreak/>
        <w:t>recurring element of the overspend identified by the Chancellor's review in July. The NHS will receive much of the remainder of the extra funding, while there was also extra money for defence and education. Departmental spending will now increase by an average of 1.5% a year in real terms, up from the previous</w:t>
      </w:r>
      <w:r w:rsidR="005C2B56">
        <w:t>ly</w:t>
      </w:r>
      <w:r w:rsidR="007A4A7C">
        <w:t xml:space="preserve"> planned 0.9%. But this will still mean that settlements are very tight outside of the protected departments. </w:t>
      </w:r>
    </w:p>
    <w:p w14:paraId="0FFFAE54" w14:textId="1A4AC809" w:rsidR="00367F46" w:rsidRDefault="000112A3" w:rsidP="00B2029A">
      <w:r>
        <w:t>T</w:t>
      </w:r>
      <w:r w:rsidR="007A4A7C">
        <w:t xml:space="preserve">he government will likely hope that the spending totals it has set today will </w:t>
      </w:r>
      <w:r w:rsidR="002D4F91">
        <w:t>be maintained</w:t>
      </w:r>
      <w:r>
        <w:t xml:space="preserve">. But </w:t>
      </w:r>
      <w:r w:rsidR="00445FE1">
        <w:t xml:space="preserve">there are risks of </w:t>
      </w:r>
      <w:r w:rsidR="002D4F91">
        <w:t xml:space="preserve">spending </w:t>
      </w:r>
      <w:r w:rsidR="00445FE1">
        <w:t xml:space="preserve">slippage in </w:t>
      </w:r>
      <w:r w:rsidR="002D4F91">
        <w:t>future</w:t>
      </w:r>
      <w:r w:rsidR="00445FE1">
        <w:t xml:space="preserve"> years, or </w:t>
      </w:r>
      <w:r w:rsidR="00445FE1" w:rsidRPr="00445FE1">
        <w:t>that either a lower tax take or lower potential growth will reduce the OBR's revenue forecast</w:t>
      </w:r>
      <w:r w:rsidR="00445FE1">
        <w:t>.</w:t>
      </w:r>
      <w:r>
        <w:t xml:space="preserve"> Given the Chancellor has left such a small margin for error </w:t>
      </w:r>
      <w:r w:rsidR="00602640">
        <w:t>–</w:t>
      </w:r>
      <w:r>
        <w:t xml:space="preserve"> similar to the very low levels typically left by her predecessor – this could mean that Reeves is forced to implement more tax increases</w:t>
      </w:r>
      <w:r w:rsidR="00445FE1">
        <w:t xml:space="preserve"> in </w:t>
      </w:r>
      <w:r w:rsidR="002D4F91">
        <w:t xml:space="preserve">subsequent </w:t>
      </w:r>
      <w:r w:rsidR="00445FE1">
        <w:t>years</w:t>
      </w:r>
      <w:r>
        <w:t>.</w:t>
      </w:r>
    </w:p>
    <w:p w14:paraId="53651052" w14:textId="7C8B9D9B" w:rsidR="000112A3" w:rsidRDefault="00320DAB" w:rsidP="0065697E">
      <w:pPr>
        <w:pStyle w:val="Heading3"/>
      </w:pPr>
      <w:r>
        <w:t xml:space="preserve">Growth and implications </w:t>
      </w:r>
      <w:r w:rsidR="002D4F91">
        <w:t xml:space="preserve">for the BoE </w:t>
      </w:r>
      <w:r w:rsidR="00887D79">
        <w:t>are not clear cut</w:t>
      </w:r>
    </w:p>
    <w:p w14:paraId="598FBD4B" w14:textId="602E033C" w:rsidR="006E3BC8" w:rsidRDefault="00CD31DC" w:rsidP="00B2029A">
      <w:r>
        <w:t xml:space="preserve">The OBR concluded that today's measures will provide a net </w:t>
      </w:r>
      <w:r w:rsidR="002D4F91">
        <w:t xml:space="preserve">GDP </w:t>
      </w:r>
      <w:r>
        <w:t>boost of around 0.5ppts in 2025-2026 compared with the previous plans, with that support gradually withering away to zero in five years' time as the economy comes up against capacity constraints</w:t>
      </w:r>
      <w:r w:rsidR="006E3BC8">
        <w:t xml:space="preserve">. But in absolute terms, policy </w:t>
      </w:r>
      <w:r w:rsidR="002D4F91">
        <w:t xml:space="preserve">will </w:t>
      </w:r>
      <w:r w:rsidR="006E3BC8">
        <w:t xml:space="preserve">still be tightened over the next five years </w:t>
      </w:r>
      <w:r w:rsidR="00C60329">
        <w:t>(</w:t>
      </w:r>
      <w:r w:rsidR="004D7780" w:rsidRPr="004D7780">
        <w:rPr>
          <w:b/>
          <w:color w:val="003469"/>
        </w:rPr>
        <w:fldChar w:fldCharType="begin"/>
      </w:r>
      <w:r w:rsidR="004D7780" w:rsidRPr="004D7780">
        <w:rPr>
          <w:b/>
          <w:color w:val="003469"/>
        </w:rPr>
        <w:instrText xml:space="preserve">REF _Ref181203079 \h \* Charformat </w:instrText>
      </w:r>
      <w:r w:rsidR="004D7780" w:rsidRPr="004D7780">
        <w:rPr>
          <w:b/>
          <w:color w:val="003469"/>
        </w:rPr>
      </w:r>
      <w:r w:rsidR="004D7780" w:rsidRPr="004D7780">
        <w:rPr>
          <w:b/>
          <w:color w:val="003469"/>
        </w:rPr>
        <w:fldChar w:fldCharType="separate"/>
      </w:r>
      <w:r w:rsidR="004D7780" w:rsidRPr="004D7780">
        <w:rPr>
          <w:b/>
          <w:color w:val="003469"/>
        </w:rPr>
        <w:t>Chart 4</w:t>
      </w:r>
      <w:r w:rsidR="004D7780" w:rsidRPr="004D7780">
        <w:rPr>
          <w:b/>
          <w:color w:val="003469"/>
        </w:rPr>
        <w:fldChar w:fldCharType="end"/>
      </w:r>
      <w:r w:rsidR="00C60329">
        <w:t>)</w:t>
      </w:r>
      <w:r>
        <w:t>.</w:t>
      </w:r>
    </w:p>
    <w:p w14:paraId="55BAFCE7" w14:textId="2D725625" w:rsidR="00320DAB" w:rsidRDefault="00CD31DC" w:rsidP="00B2029A">
      <w:r>
        <w:t xml:space="preserve">Our initial view is that the OBR </w:t>
      </w:r>
      <w:r w:rsidR="00C60329">
        <w:t xml:space="preserve">is too optimistic about the extent to which output will be boosted </w:t>
      </w:r>
      <w:r w:rsidR="005C2B56">
        <w:t>next</w:t>
      </w:r>
      <w:r w:rsidR="00C60329">
        <w:t xml:space="preserve"> year. Much of the increase comes from higher government consumption, but higher public sector wages account for </w:t>
      </w:r>
      <w:r w:rsidR="007F0E77">
        <w:t xml:space="preserve">some </w:t>
      </w:r>
      <w:r w:rsidR="00C60329">
        <w:t>of the increase in spending. The way that public sector output is measured also leaves us sceptical that output will be boosted</w:t>
      </w:r>
      <w:r w:rsidR="002D4F91">
        <w:t xml:space="preserve"> to the extent</w:t>
      </w:r>
      <w:r w:rsidR="002D4F91" w:rsidRPr="002D4F91">
        <w:t xml:space="preserve"> </w:t>
      </w:r>
      <w:r w:rsidR="002D4F91">
        <w:t>expected</w:t>
      </w:r>
      <w:r w:rsidR="00C60329">
        <w:t>.</w:t>
      </w:r>
    </w:p>
    <w:p w14:paraId="2272935F" w14:textId="12C2C8A8" w:rsidR="0015456E" w:rsidRDefault="0015456E" w:rsidP="0065697E">
      <w:pPr>
        <w:pStyle w:val="ExhibitTitle"/>
      </w:pPr>
      <w:bookmarkStart w:id="3" w:name="_Ref181203079"/>
      <w:r>
        <w:t xml:space="preserve">Chart </w:t>
      </w:r>
      <w:r>
        <w:fldChar w:fldCharType="begin"/>
      </w:r>
      <w:r w:rsidR="004D7780">
        <w:instrText>SEQ CHART</w:instrText>
      </w:r>
      <w:r>
        <w:fldChar w:fldCharType="separate"/>
      </w:r>
      <w:r w:rsidR="004D7780">
        <w:rPr>
          <w:noProof/>
        </w:rPr>
        <w:t>4</w:t>
      </w:r>
      <w:r>
        <w:fldChar w:fldCharType="end"/>
      </w:r>
      <w:bookmarkEnd w:id="3"/>
      <w:r>
        <w:t xml:space="preserve">: </w:t>
      </w:r>
      <w:r w:rsidR="00E5610A">
        <w:t xml:space="preserve">The OBR </w:t>
      </w:r>
      <w:r w:rsidR="002D4F91">
        <w:t xml:space="preserve">estimates </w:t>
      </w:r>
      <w:r w:rsidR="006E3BC8">
        <w:t>today's package</w:t>
      </w:r>
      <w:r w:rsidR="004C3CE4">
        <w:t xml:space="preserve"> will significantly lessen the squeeze this year</w:t>
      </w:r>
    </w:p>
    <w:p w14:paraId="31C0F98E" w14:textId="524998BE" w:rsidR="00E5054C" w:rsidRDefault="00E5054C" w:rsidP="0065697E">
      <w:pPr>
        <w:spacing w:after="0"/>
      </w:pPr>
      <w:r>
        <w:rPr>
          <w:noProof/>
        </w:rPr>
        <w:drawing>
          <wp:inline distT="0" distB="0" distL="0" distR="0" wp14:anchorId="6C7580F8" wp14:editId="4093957A">
            <wp:extent cx="3250933" cy="2548068"/>
            <wp:effectExtent l="0" t="0" r="6985" b="5080"/>
            <wp:docPr id="81516828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68283" name=""/>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rcRect b="1886"/>
                    <a:stretch>
                      <a:fillRect/>
                    </a:stretch>
                  </pic:blipFill>
                  <pic:spPr>
                    <a:xfrm>
                      <a:off x="0" y="0"/>
                      <a:ext cx="3250933" cy="2548068"/>
                    </a:xfrm>
                    <a:prstGeom prst="rect">
                      <a:avLst/>
                    </a:prstGeom>
                  </pic:spPr>
                </pic:pic>
              </a:graphicData>
            </a:graphic>
          </wp:inline>
        </w:drawing>
      </w:r>
    </w:p>
    <w:p w14:paraId="2AD06BE1" w14:textId="536052E7" w:rsidR="0015456E" w:rsidRDefault="00E5054C" w:rsidP="0065697E">
      <w:pPr>
        <w:pStyle w:val="ExhibitSource"/>
      </w:pPr>
      <w:r>
        <w:t>Source: Office for Budget Responsibility</w:t>
      </w:r>
    </w:p>
    <w:p w14:paraId="6622299E" w14:textId="5E131A3A" w:rsidR="002D4F91" w:rsidRDefault="00B2009B" w:rsidP="00B2029A">
      <w:r>
        <w:t xml:space="preserve">It's unlikely that the Bank of England will be able to fully take on board today's decisions in the forecasts it will present in next week's Monetary Policy Report. But </w:t>
      </w:r>
      <w:r w:rsidR="002D4F91">
        <w:t>the bank's</w:t>
      </w:r>
      <w:r w:rsidR="002D4F91" w:rsidRPr="00602640">
        <w:t xml:space="preserve"> </w:t>
      </w:r>
      <w:r w:rsidR="00602640" w:rsidRPr="00602640">
        <w:t xml:space="preserve">forecast will probably include a rough estimate of the effects of Budget measures, and the </w:t>
      </w:r>
      <w:r w:rsidR="0016441E">
        <w:t xml:space="preserve">members of </w:t>
      </w:r>
      <w:r>
        <w:t xml:space="preserve">the Monetary Policy Committee </w:t>
      </w:r>
      <w:r w:rsidR="00E5610A">
        <w:t>will</w:t>
      </w:r>
      <w:r>
        <w:t xml:space="preserve"> </w:t>
      </w:r>
      <w:r w:rsidR="0016441E">
        <w:t>incorporate the Budget decisions into their thinking.</w:t>
      </w:r>
      <w:r w:rsidR="00E5610A">
        <w:t xml:space="preserve"> </w:t>
      </w:r>
    </w:p>
    <w:p w14:paraId="7300D31D" w14:textId="4F828C82" w:rsidR="00154481" w:rsidRDefault="002D4F91" w:rsidP="00B2029A">
      <w:r>
        <w:t>While t</w:t>
      </w:r>
      <w:r w:rsidR="00E5610A">
        <w:t xml:space="preserve">here's nothing in today's announcements </w:t>
      </w:r>
      <w:r>
        <w:t>to</w:t>
      </w:r>
      <w:r w:rsidR="00E5610A">
        <w:t xml:space="preserve"> throw a November </w:t>
      </w:r>
      <w:r w:rsidR="00602640">
        <w:t xml:space="preserve">25bps </w:t>
      </w:r>
      <w:r w:rsidR="00E5610A">
        <w:t>rate cut off course</w:t>
      </w:r>
      <w:r>
        <w:t>,</w:t>
      </w:r>
      <w:r w:rsidR="00E5610A">
        <w:t xml:space="preserve"> the implications for subsequent meetings are more ambiguous. If the MPC agree</w:t>
      </w:r>
      <w:r>
        <w:t>s</w:t>
      </w:r>
      <w:r w:rsidR="00E5610A">
        <w:t xml:space="preserve"> with the OBR's verdict that GDP growth will be higher next year, this may make it harder to build a narrative that would justify faster rate cuts</w:t>
      </w:r>
      <w:r w:rsidR="00602640">
        <w:t xml:space="preserve"> </w:t>
      </w:r>
      <w:r w:rsidR="00602640" w:rsidRPr="00602640">
        <w:t>over the coming year</w:t>
      </w:r>
      <w:r w:rsidR="00883ACB">
        <w:t xml:space="preserve">. However, the MPC could still conclude that </w:t>
      </w:r>
      <w:r w:rsidR="00F60FAD">
        <w:t>the growth/inflation trade</w:t>
      </w:r>
      <w:r>
        <w:t>-</w:t>
      </w:r>
      <w:r w:rsidR="00F60FAD">
        <w:t xml:space="preserve">off has </w:t>
      </w:r>
      <w:r w:rsidR="00602640">
        <w:t>improved</w:t>
      </w:r>
      <w:r w:rsidR="00F60FAD">
        <w:t>, and</w:t>
      </w:r>
      <w:r w:rsidR="00602640">
        <w:t xml:space="preserve"> hence</w:t>
      </w:r>
      <w:r w:rsidR="00F60FAD">
        <w:t xml:space="preserve"> </w:t>
      </w:r>
      <w:r w:rsidR="00602640" w:rsidRPr="00602640">
        <w:t xml:space="preserve">the improving inflation outlook will allow </w:t>
      </w:r>
      <w:r w:rsidR="00602640">
        <w:t xml:space="preserve">faster </w:t>
      </w:r>
      <w:r w:rsidR="00F60FAD">
        <w:t>monetary loosening.</w:t>
      </w:r>
    </w:p>
    <w:sectPr w:rsidR="00154481" w:rsidSect="002A4F6A">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27586" w14:textId="77777777" w:rsidR="00B2029A" w:rsidRDefault="00B2029A" w:rsidP="00B2029A">
      <w:pPr>
        <w:spacing w:before="0" w:after="0"/>
      </w:pPr>
      <w:r>
        <w:separator/>
      </w:r>
    </w:p>
  </w:endnote>
  <w:endnote w:type="continuationSeparator" w:id="0">
    <w:p w14:paraId="64C09FD0" w14:textId="77777777" w:rsidR="00B2029A" w:rsidRDefault="00B2029A" w:rsidP="00B2029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C7065" w14:textId="3B06A807" w:rsidR="00B2029A" w:rsidRPr="00B2029A" w:rsidRDefault="00B2029A" w:rsidP="00B2029A">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437E0" w14:textId="17AAF95D" w:rsidR="00B2029A" w:rsidRDefault="00B2029A" w:rsidP="00B2029A">
    <w:pPr>
      <w:pStyle w:val="Author"/>
    </w:pPr>
    <w:r>
      <w:t>Andrew Goodwin</w:t>
    </w:r>
    <w:r w:rsidR="0065697E">
      <w:t xml:space="preserve"> - </w:t>
    </w:r>
    <w:r>
      <w:t>Chief UK Economist</w:t>
    </w:r>
    <w:r w:rsidR="0065697E">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755BD" w14:textId="77777777" w:rsidR="00B2029A" w:rsidRDefault="00B2029A" w:rsidP="00B2029A">
      <w:pPr>
        <w:spacing w:before="0" w:after="0"/>
      </w:pPr>
      <w:r>
        <w:separator/>
      </w:r>
    </w:p>
  </w:footnote>
  <w:footnote w:type="continuationSeparator" w:id="0">
    <w:p w14:paraId="1AC51CE7" w14:textId="77777777" w:rsidR="00B2029A" w:rsidRDefault="00B2029A" w:rsidP="00B2029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E6662" w14:textId="77777777" w:rsidR="00B2029A" w:rsidRDefault="00B2029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B26C5" w14:textId="3E922FA5" w:rsidR="00B2029A" w:rsidRDefault="00B2029A" w:rsidP="00B2029A">
    <w:pPr>
      <w:pStyle w:val="Headline"/>
      <w:spacing w:before="120"/>
      <w:ind w:right="-1000"/>
    </w:pPr>
    <w:r w:rsidRPr="00B2029A">
      <w:rPr>
        <w:noProof/>
      </w:rPr>
      <w:drawing>
        <wp:anchor distT="0" distB="0" distL="114300" distR="114300" simplePos="0" relativeHeight="251658239" behindDoc="1" locked="1" layoutInCell="1" allowOverlap="1" wp14:anchorId="745CF175" wp14:editId="257D0CB7">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917904" w:rsidRPr="00917904">
      <w:t>New fiscal rules create room for looser policy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803C2" w14:textId="530F72A3" w:rsidR="00B2029A" w:rsidRDefault="00B2029A" w:rsidP="00B2029A">
    <w:r w:rsidRPr="00B2029A">
      <w:rPr>
        <w:noProof/>
      </w:rPr>
      <w:drawing>
        <wp:anchor distT="0" distB="0" distL="114300" distR="114300" simplePos="0" relativeHeight="251659264" behindDoc="1" locked="1" layoutInCell="1" allowOverlap="1" wp14:anchorId="12ADB28E" wp14:editId="3F541205">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40873595"/>
      <w:lock w:val="sdtLocked"/>
      <w:placeholder>
        <w:docPart w:val="DefaultPlaceholder_-1854013437"/>
      </w:placeholder>
      <w:date w:fullDate="2024-10-30T00:00:00Z">
        <w:dateFormat w:val="d MMMM yyyy"/>
        <w:lid w:val="en-GB"/>
        <w:storeMappedDataAs w:val="dateTime"/>
        <w:calendar w:val="gregorian"/>
      </w:date>
    </w:sdtPr>
    <w:sdtEndPr/>
    <w:sdtContent>
      <w:p w14:paraId="1B7AED67" w14:textId="4849850F" w:rsidR="00B2029A" w:rsidRDefault="00B2029A" w:rsidP="00B2029A">
        <w:pPr>
          <w:pStyle w:val="PublishDate"/>
          <w:framePr w:w="2835" w:h="340" w:hRule="exact" w:hSpace="180" w:wrap="around" w:vAnchor="page" w:hAnchor="page" w:x="7801" w:y="601" w:anchorLock="1"/>
        </w:pPr>
        <w:r>
          <w:t>30 October 2024</w:t>
        </w:r>
      </w:p>
    </w:sdtContent>
  </w:sdt>
  <w:p w14:paraId="6F3A8150" w14:textId="3580BD08" w:rsidR="00B2029A" w:rsidRDefault="00B2029A" w:rsidP="00B2029A">
    <w:pPr>
      <w:pStyle w:val="ProductDescription"/>
      <w:framePr w:w="11339" w:h="1474" w:hRule="exact" w:hSpace="180" w:wrap="around" w:vAnchor="page" w:hAnchor="page" w:x="401" w:y="1141" w:anchorLock="1"/>
      <w:spacing w:after="200"/>
    </w:pPr>
    <w:r>
      <w:t>Research Briefing | UK</w:t>
    </w:r>
  </w:p>
  <w:p w14:paraId="4C23CD01" w14:textId="04F9929F" w:rsidR="00B2029A" w:rsidRDefault="00917904" w:rsidP="00B2029A">
    <w:pPr>
      <w:pStyle w:val="Headline"/>
      <w:framePr w:w="11339" w:h="1474" w:hRule="exact" w:hSpace="180" w:wrap="around" w:vAnchor="page" w:hAnchor="page" w:x="401" w:y="1141" w:anchorLock="1"/>
      <w:spacing w:line="200" w:lineRule="auto"/>
    </w:pPr>
    <w:r>
      <w:t>New fiscal rules create room for looser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lvlOverride w:ilvl="0">
      <w:startOverride w:val="1"/>
    </w:lvlOverride>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29A"/>
    <w:rsid w:val="00003BA7"/>
    <w:rsid w:val="000112A3"/>
    <w:rsid w:val="00022761"/>
    <w:rsid w:val="00041FCD"/>
    <w:rsid w:val="000B52D9"/>
    <w:rsid w:val="000B742E"/>
    <w:rsid w:val="000C0ADF"/>
    <w:rsid w:val="000D3E43"/>
    <w:rsid w:val="000E2BD3"/>
    <w:rsid w:val="000F3F52"/>
    <w:rsid w:val="000F6218"/>
    <w:rsid w:val="001018E9"/>
    <w:rsid w:val="00120D7A"/>
    <w:rsid w:val="00124E58"/>
    <w:rsid w:val="00141D61"/>
    <w:rsid w:val="00147369"/>
    <w:rsid w:val="001478B3"/>
    <w:rsid w:val="00154481"/>
    <w:rsid w:val="0015456E"/>
    <w:rsid w:val="00160F71"/>
    <w:rsid w:val="0016316B"/>
    <w:rsid w:val="0016441E"/>
    <w:rsid w:val="001659A0"/>
    <w:rsid w:val="0017078A"/>
    <w:rsid w:val="001758DD"/>
    <w:rsid w:val="00191329"/>
    <w:rsid w:val="00192CDF"/>
    <w:rsid w:val="001A5775"/>
    <w:rsid w:val="001A6993"/>
    <w:rsid w:val="001A749F"/>
    <w:rsid w:val="001B2B67"/>
    <w:rsid w:val="001B2C32"/>
    <w:rsid w:val="001C6588"/>
    <w:rsid w:val="001D05CE"/>
    <w:rsid w:val="001D7057"/>
    <w:rsid w:val="001E0785"/>
    <w:rsid w:val="001E0C4A"/>
    <w:rsid w:val="001E3C81"/>
    <w:rsid w:val="001F3317"/>
    <w:rsid w:val="00204828"/>
    <w:rsid w:val="00236D4D"/>
    <w:rsid w:val="00242E5E"/>
    <w:rsid w:val="002615F6"/>
    <w:rsid w:val="00262D94"/>
    <w:rsid w:val="00263E48"/>
    <w:rsid w:val="002745D6"/>
    <w:rsid w:val="00282A8A"/>
    <w:rsid w:val="00286754"/>
    <w:rsid w:val="0029566B"/>
    <w:rsid w:val="00295DF8"/>
    <w:rsid w:val="002A4F6A"/>
    <w:rsid w:val="002D0DC9"/>
    <w:rsid w:val="002D4F91"/>
    <w:rsid w:val="002D55A7"/>
    <w:rsid w:val="002F3580"/>
    <w:rsid w:val="003017D9"/>
    <w:rsid w:val="0031169C"/>
    <w:rsid w:val="00316CBE"/>
    <w:rsid w:val="00320DAB"/>
    <w:rsid w:val="003326A7"/>
    <w:rsid w:val="00367F46"/>
    <w:rsid w:val="00370974"/>
    <w:rsid w:val="00372D99"/>
    <w:rsid w:val="00374E02"/>
    <w:rsid w:val="003942EC"/>
    <w:rsid w:val="003B0CAB"/>
    <w:rsid w:val="003B61D8"/>
    <w:rsid w:val="003B715A"/>
    <w:rsid w:val="003E0AB0"/>
    <w:rsid w:val="003E7788"/>
    <w:rsid w:val="003E7F3C"/>
    <w:rsid w:val="003F0F4E"/>
    <w:rsid w:val="0040359C"/>
    <w:rsid w:val="00405A12"/>
    <w:rsid w:val="00405D65"/>
    <w:rsid w:val="004258C9"/>
    <w:rsid w:val="004458BB"/>
    <w:rsid w:val="00445FE1"/>
    <w:rsid w:val="004602D9"/>
    <w:rsid w:val="0046292D"/>
    <w:rsid w:val="004677EA"/>
    <w:rsid w:val="004827E3"/>
    <w:rsid w:val="00495DE7"/>
    <w:rsid w:val="004A2A92"/>
    <w:rsid w:val="004B4F66"/>
    <w:rsid w:val="004C3CE4"/>
    <w:rsid w:val="004C7923"/>
    <w:rsid w:val="004D473F"/>
    <w:rsid w:val="004D5B83"/>
    <w:rsid w:val="004D650E"/>
    <w:rsid w:val="004D7780"/>
    <w:rsid w:val="0050090F"/>
    <w:rsid w:val="005176F2"/>
    <w:rsid w:val="005269DE"/>
    <w:rsid w:val="00535C71"/>
    <w:rsid w:val="005414BA"/>
    <w:rsid w:val="00541B5A"/>
    <w:rsid w:val="0054280C"/>
    <w:rsid w:val="005473C6"/>
    <w:rsid w:val="005478F1"/>
    <w:rsid w:val="005621C0"/>
    <w:rsid w:val="00563FEB"/>
    <w:rsid w:val="005759B0"/>
    <w:rsid w:val="00576CB8"/>
    <w:rsid w:val="0058537E"/>
    <w:rsid w:val="00592138"/>
    <w:rsid w:val="0059288E"/>
    <w:rsid w:val="005B5E99"/>
    <w:rsid w:val="005C25E2"/>
    <w:rsid w:val="005C2B56"/>
    <w:rsid w:val="005E4139"/>
    <w:rsid w:val="005F0616"/>
    <w:rsid w:val="005F6C1F"/>
    <w:rsid w:val="0060224B"/>
    <w:rsid w:val="00602640"/>
    <w:rsid w:val="006125A3"/>
    <w:rsid w:val="00615B2C"/>
    <w:rsid w:val="006166EE"/>
    <w:rsid w:val="0063293F"/>
    <w:rsid w:val="006526C1"/>
    <w:rsid w:val="0065697E"/>
    <w:rsid w:val="00666A58"/>
    <w:rsid w:val="00671564"/>
    <w:rsid w:val="006739BF"/>
    <w:rsid w:val="0067595A"/>
    <w:rsid w:val="006A1630"/>
    <w:rsid w:val="006A576A"/>
    <w:rsid w:val="006A676D"/>
    <w:rsid w:val="006B76A5"/>
    <w:rsid w:val="006C070D"/>
    <w:rsid w:val="006C7C06"/>
    <w:rsid w:val="006E3BC8"/>
    <w:rsid w:val="006F60F1"/>
    <w:rsid w:val="00701584"/>
    <w:rsid w:val="007447ED"/>
    <w:rsid w:val="00760BBD"/>
    <w:rsid w:val="007723AE"/>
    <w:rsid w:val="007A0F18"/>
    <w:rsid w:val="007A4A7C"/>
    <w:rsid w:val="007B57CD"/>
    <w:rsid w:val="007C17AB"/>
    <w:rsid w:val="007C2406"/>
    <w:rsid w:val="007E482F"/>
    <w:rsid w:val="007F0E77"/>
    <w:rsid w:val="007F5D5D"/>
    <w:rsid w:val="00801898"/>
    <w:rsid w:val="00804683"/>
    <w:rsid w:val="00847933"/>
    <w:rsid w:val="00855D68"/>
    <w:rsid w:val="0086090E"/>
    <w:rsid w:val="00867D62"/>
    <w:rsid w:val="008745FF"/>
    <w:rsid w:val="00874B7C"/>
    <w:rsid w:val="00877CFA"/>
    <w:rsid w:val="00883ACB"/>
    <w:rsid w:val="0088455B"/>
    <w:rsid w:val="00887D79"/>
    <w:rsid w:val="008D4F08"/>
    <w:rsid w:val="008E11F0"/>
    <w:rsid w:val="008E4B5C"/>
    <w:rsid w:val="008E721D"/>
    <w:rsid w:val="008F1A70"/>
    <w:rsid w:val="00917904"/>
    <w:rsid w:val="00920D15"/>
    <w:rsid w:val="00933B30"/>
    <w:rsid w:val="00934914"/>
    <w:rsid w:val="009634AC"/>
    <w:rsid w:val="00963AA5"/>
    <w:rsid w:val="00995E6B"/>
    <w:rsid w:val="009A0687"/>
    <w:rsid w:val="009A3FA0"/>
    <w:rsid w:val="009A5EAA"/>
    <w:rsid w:val="009A680B"/>
    <w:rsid w:val="009B5CEA"/>
    <w:rsid w:val="009B723B"/>
    <w:rsid w:val="009C7C16"/>
    <w:rsid w:val="009D07C1"/>
    <w:rsid w:val="009E07F1"/>
    <w:rsid w:val="009E3F34"/>
    <w:rsid w:val="009E5F70"/>
    <w:rsid w:val="009F37D1"/>
    <w:rsid w:val="009F3F01"/>
    <w:rsid w:val="00A0358A"/>
    <w:rsid w:val="00A24B39"/>
    <w:rsid w:val="00A25234"/>
    <w:rsid w:val="00A332D4"/>
    <w:rsid w:val="00A4172D"/>
    <w:rsid w:val="00A50835"/>
    <w:rsid w:val="00A513F0"/>
    <w:rsid w:val="00A515DF"/>
    <w:rsid w:val="00A52669"/>
    <w:rsid w:val="00A54347"/>
    <w:rsid w:val="00A576A0"/>
    <w:rsid w:val="00A63323"/>
    <w:rsid w:val="00A66B32"/>
    <w:rsid w:val="00A77085"/>
    <w:rsid w:val="00A9430E"/>
    <w:rsid w:val="00AA0811"/>
    <w:rsid w:val="00AA616E"/>
    <w:rsid w:val="00AB24B7"/>
    <w:rsid w:val="00AB69EE"/>
    <w:rsid w:val="00AB6B99"/>
    <w:rsid w:val="00AC403F"/>
    <w:rsid w:val="00AD07ED"/>
    <w:rsid w:val="00AE76E6"/>
    <w:rsid w:val="00B04E07"/>
    <w:rsid w:val="00B16B5A"/>
    <w:rsid w:val="00B2009B"/>
    <w:rsid w:val="00B2029A"/>
    <w:rsid w:val="00B26098"/>
    <w:rsid w:val="00B3278E"/>
    <w:rsid w:val="00B472B5"/>
    <w:rsid w:val="00B7343B"/>
    <w:rsid w:val="00B81A70"/>
    <w:rsid w:val="00B846EA"/>
    <w:rsid w:val="00B85267"/>
    <w:rsid w:val="00B910EA"/>
    <w:rsid w:val="00BB6195"/>
    <w:rsid w:val="00BE1485"/>
    <w:rsid w:val="00BE7A71"/>
    <w:rsid w:val="00BF6A2A"/>
    <w:rsid w:val="00C0297E"/>
    <w:rsid w:val="00C17065"/>
    <w:rsid w:val="00C30235"/>
    <w:rsid w:val="00C60329"/>
    <w:rsid w:val="00C63CAF"/>
    <w:rsid w:val="00C64E5C"/>
    <w:rsid w:val="00C64F1A"/>
    <w:rsid w:val="00C65A69"/>
    <w:rsid w:val="00C71EAC"/>
    <w:rsid w:val="00C72052"/>
    <w:rsid w:val="00C75153"/>
    <w:rsid w:val="00C76458"/>
    <w:rsid w:val="00C82CF9"/>
    <w:rsid w:val="00C84AD7"/>
    <w:rsid w:val="00C90D41"/>
    <w:rsid w:val="00C93538"/>
    <w:rsid w:val="00C9768F"/>
    <w:rsid w:val="00CA4BF3"/>
    <w:rsid w:val="00CB23EC"/>
    <w:rsid w:val="00CB7716"/>
    <w:rsid w:val="00CC3321"/>
    <w:rsid w:val="00CD31DC"/>
    <w:rsid w:val="00CE3160"/>
    <w:rsid w:val="00D01AEE"/>
    <w:rsid w:val="00D15240"/>
    <w:rsid w:val="00D2481D"/>
    <w:rsid w:val="00D27B3B"/>
    <w:rsid w:val="00D379EC"/>
    <w:rsid w:val="00D44219"/>
    <w:rsid w:val="00D60431"/>
    <w:rsid w:val="00D645EE"/>
    <w:rsid w:val="00D67BC7"/>
    <w:rsid w:val="00D75CDE"/>
    <w:rsid w:val="00D82250"/>
    <w:rsid w:val="00D828B2"/>
    <w:rsid w:val="00DA401A"/>
    <w:rsid w:val="00DB0BE6"/>
    <w:rsid w:val="00DC3B6C"/>
    <w:rsid w:val="00DC6650"/>
    <w:rsid w:val="00DE568D"/>
    <w:rsid w:val="00DF68CB"/>
    <w:rsid w:val="00DF73F9"/>
    <w:rsid w:val="00E10235"/>
    <w:rsid w:val="00E213A8"/>
    <w:rsid w:val="00E23560"/>
    <w:rsid w:val="00E5054C"/>
    <w:rsid w:val="00E553E0"/>
    <w:rsid w:val="00E5610A"/>
    <w:rsid w:val="00EA0803"/>
    <w:rsid w:val="00EA2025"/>
    <w:rsid w:val="00ED615F"/>
    <w:rsid w:val="00ED6FF0"/>
    <w:rsid w:val="00F24613"/>
    <w:rsid w:val="00F2643F"/>
    <w:rsid w:val="00F50EB3"/>
    <w:rsid w:val="00F52C66"/>
    <w:rsid w:val="00F60FAD"/>
    <w:rsid w:val="00F72F2A"/>
    <w:rsid w:val="00F81D91"/>
    <w:rsid w:val="00FC1EA7"/>
    <w:rsid w:val="00FE0EF6"/>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8E86D74"/>
  <w15:chartTrackingRefBased/>
  <w15:docId w15:val="{57CD85B9-7AD3-4FA3-B500-9884E5CD0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29A"/>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B2029A"/>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B2029A"/>
    <w:pPr>
      <w:outlineLvl w:val="1"/>
    </w:pPr>
    <w:rPr>
      <w:sz w:val="28"/>
    </w:rPr>
  </w:style>
  <w:style w:type="paragraph" w:styleId="Heading3">
    <w:name w:val="heading 3"/>
    <w:basedOn w:val="Normal"/>
    <w:next w:val="Normal"/>
    <w:link w:val="Heading3Char"/>
    <w:uiPriority w:val="9"/>
    <w:unhideWhenUsed/>
    <w:qFormat/>
    <w:rsid w:val="00B2029A"/>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B2029A"/>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B2029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B2029A"/>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2029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2029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2029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B2029A"/>
    <w:pPr>
      <w:tabs>
        <w:tab w:val="center" w:pos="4320"/>
        <w:tab w:val="right" w:pos="8640"/>
      </w:tabs>
    </w:pPr>
  </w:style>
  <w:style w:type="character" w:customStyle="1" w:styleId="HeaderChar">
    <w:name w:val="Header Char"/>
    <w:basedOn w:val="DefaultParagraphFont"/>
    <w:link w:val="Header"/>
    <w:uiPriority w:val="99"/>
    <w:rsid w:val="00B2029A"/>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B2029A"/>
    <w:pPr>
      <w:tabs>
        <w:tab w:val="center" w:pos="4320"/>
        <w:tab w:val="right" w:pos="8640"/>
      </w:tabs>
    </w:pPr>
  </w:style>
  <w:style w:type="character" w:customStyle="1" w:styleId="FooterChar">
    <w:name w:val="Footer Char"/>
    <w:basedOn w:val="DefaultParagraphFont"/>
    <w:link w:val="Footer"/>
    <w:uiPriority w:val="99"/>
    <w:rsid w:val="00B2029A"/>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B2029A"/>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B2029A"/>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B2029A"/>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B2029A"/>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B2029A"/>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B2029A"/>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B2029A"/>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B2029A"/>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B2029A"/>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B2029A"/>
    <w:rPr>
      <w:noProof w:val="0"/>
    </w:rPr>
  </w:style>
  <w:style w:type="character" w:styleId="Hyperlink">
    <w:name w:val="Hyperlink"/>
    <w:basedOn w:val="DefaultParagraphFont"/>
    <w:uiPriority w:val="99"/>
    <w:unhideWhenUsed/>
    <w:rsid w:val="00B2029A"/>
    <w:rPr>
      <w:noProof w:val="0"/>
      <w:color w:val="0563C1" w:themeColor="hyperlink"/>
      <w:u w:val="single"/>
    </w:rPr>
  </w:style>
  <w:style w:type="paragraph" w:styleId="ListParagraph">
    <w:name w:val="List Paragraph"/>
    <w:next w:val="Normal"/>
    <w:link w:val="ListParagraphChar"/>
    <w:uiPriority w:val="34"/>
    <w:locked/>
    <w:rsid w:val="00B2029A"/>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B2029A"/>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B2029A"/>
    <w:pPr>
      <w:spacing w:after="120"/>
    </w:pPr>
    <w:rPr>
      <w:b/>
      <w:bCs/>
      <w:color w:val="FFFFFF"/>
      <w:sz w:val="32"/>
      <w:szCs w:val="32"/>
    </w:rPr>
  </w:style>
  <w:style w:type="paragraph" w:customStyle="1" w:styleId="Headline">
    <w:name w:val="Headline"/>
    <w:basedOn w:val="Normal"/>
    <w:next w:val="Normal"/>
    <w:link w:val="HeadlineChar"/>
    <w:qFormat/>
    <w:rsid w:val="00B2029A"/>
    <w:rPr>
      <w:rFonts w:ascii="Segoe UI Semilight" w:hAnsi="Segoe UI Semilight" w:cs="Segoe UI Semilight"/>
      <w:b/>
      <w:bCs/>
      <w:color w:val="FFFFFF"/>
      <w:sz w:val="40"/>
      <w:szCs w:val="40"/>
    </w:rPr>
  </w:style>
  <w:style w:type="paragraph" w:customStyle="1" w:styleId="ExhibitTitle">
    <w:name w:val="Exhibit Title"/>
    <w:basedOn w:val="Normal"/>
    <w:qFormat/>
    <w:rsid w:val="00B2029A"/>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B2029A"/>
    <w:pPr>
      <w:shd w:val="clear" w:color="auto" w:fill="D6E2FA"/>
      <w:spacing w:after="0"/>
    </w:pPr>
    <w:rPr>
      <w:color w:val="595959" w:themeColor="text1" w:themeTint="A6"/>
      <w:sz w:val="18"/>
    </w:rPr>
  </w:style>
  <w:style w:type="paragraph" w:customStyle="1" w:styleId="ExhibitSource">
    <w:name w:val="Exhibit Source"/>
    <w:next w:val="Normal"/>
    <w:qFormat/>
    <w:rsid w:val="00B2029A"/>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B2029A"/>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B2029A"/>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B2029A"/>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B2029A"/>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2029A"/>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B2029A"/>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B2029A"/>
    <w:rPr>
      <w:rFonts w:ascii="Segoe UI" w:hAnsi="Segoe UI" w:cs="Segoe UI"/>
      <w:noProof w:val="0"/>
      <w:color w:val="000000" w:themeColor="text1"/>
    </w:rPr>
  </w:style>
  <w:style w:type="paragraph" w:customStyle="1" w:styleId="Summary">
    <w:name w:val="Summary"/>
    <w:basedOn w:val="Normal"/>
    <w:link w:val="SummaryChar"/>
    <w:qFormat/>
    <w:rsid w:val="00B2029A"/>
    <w:pPr>
      <w:numPr>
        <w:numId w:val="1"/>
      </w:numPr>
      <w:ind w:left="1797" w:hanging="357"/>
    </w:pPr>
    <w:rPr>
      <w:kern w:val="2"/>
      <w:sz w:val="22"/>
      <w14:ligatures w14:val="standardContextual"/>
    </w:rPr>
  </w:style>
  <w:style w:type="paragraph" w:customStyle="1" w:styleId="TableData">
    <w:name w:val="Table Data"/>
    <w:link w:val="TableDataChar"/>
    <w:qFormat/>
    <w:rsid w:val="00B2029A"/>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B2029A"/>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B2029A"/>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B2029A"/>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B2029A"/>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B2029A"/>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B2029A"/>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B2029A"/>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B2029A"/>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B2029A"/>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B2029A"/>
    <w:rPr>
      <w:color w:val="003469"/>
    </w:rPr>
  </w:style>
  <w:style w:type="character" w:customStyle="1" w:styleId="RepeatingFooterChar">
    <w:name w:val="Repeating Footer Char"/>
    <w:basedOn w:val="FooterChar"/>
    <w:link w:val="RepeatingFooter"/>
    <w:rsid w:val="00B2029A"/>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B2029A"/>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B2029A"/>
    <w:rPr>
      <w:b/>
      <w:bCs/>
      <w:noProof w:val="0"/>
    </w:rPr>
  </w:style>
  <w:style w:type="character" w:customStyle="1" w:styleId="Italics">
    <w:name w:val="Italics"/>
    <w:uiPriority w:val="1"/>
    <w:qFormat/>
    <w:rsid w:val="00B2029A"/>
    <w:rPr>
      <w:i/>
      <w:iCs/>
      <w:noProof w:val="0"/>
    </w:rPr>
  </w:style>
  <w:style w:type="table" w:customStyle="1" w:styleId="TableGridHeader">
    <w:name w:val="Table Grid Header"/>
    <w:basedOn w:val="TableNormal"/>
    <w:uiPriority w:val="99"/>
    <w:rsid w:val="00B2029A"/>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my.oxfordeconomics.com/reports/c2511f2fe36441Fe8E6798" TargetMode="External"/><Relationship Id="rId26" Type="http://schemas.openxmlformats.org/officeDocument/2006/relationships/hyperlink" Target="https://www.oxfordeconomics.com/service/subscription-services/macro/global-economic-model/" TargetMode="External"/><Relationship Id="rId3" Type="http://schemas.openxmlformats.org/officeDocument/2006/relationships/customXml" Target="../customXml/item3.xml"/><Relationship Id="rId21" Type="http://schemas.openxmlformats.org/officeDocument/2006/relationships/hyperlink" Target="https://my.oxfordeconomics.com/reportaction/93633b6d67E24d1cb194ae/Toc"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2.xml"/><Relationship Id="rId25" Type="http://schemas.openxmlformats.org/officeDocument/2006/relationships/hyperlink" Target="https://my.oxfordeconomics.com/reports/625AA23922EE45Fe9Bf454/UKAPlanforGrowth-pro"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6.sv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obr.uk/docs/dlm_uploads/Public-investment-and-potential-output_August-2024.pdf"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8.svg"/><Relationship Id="rId28" Type="http://schemas.openxmlformats.org/officeDocument/2006/relationships/image" Target="media/image10.sv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138CF923-D864-460A-946C-9E9FCB922FE7}"/>
      </w:docPartPr>
      <w:docPartBody>
        <w:p w:rsidR="00E11BAF" w:rsidRDefault="00E11BAF">
          <w:r w:rsidRPr="006000E7">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BAF"/>
    <w:rsid w:val="00E11B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D9210E-EDE9-4C47-B32C-DE987CF105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DDD6A7-4B45-4EDA-85E5-63F909BB7CFE}">
  <ds:schemaRefs>
    <ds:schemaRef ds:uri="http://schemas.openxmlformats.org/officeDocument/2006/bibliography"/>
  </ds:schemaRefs>
</ds:datastoreItem>
</file>

<file path=customXml/itemProps3.xml><?xml version="1.0" encoding="utf-8"?>
<ds:datastoreItem xmlns:ds="http://schemas.openxmlformats.org/officeDocument/2006/customXml" ds:itemID="{0A8F867A-F540-46F0-BBAA-EDA8F48F6F8D}">
  <ds:schemaRefs>
    <ds:schemaRef ds:uri="http://purl.org/dc/elements/1.1/"/>
    <ds:schemaRef ds:uri="http://purl.org/dc/dcmitype/"/>
    <ds:schemaRef ds:uri="6ec33f61-c765-4e3b-9958-53c32fd1fd0b"/>
    <ds:schemaRef ds:uri="6c77b332-7df6-4eff-997f-266963d55fc4"/>
    <ds:schemaRef ds:uri="http://purl.org/dc/terms/"/>
    <ds:schemaRef ds:uri="http://schemas.microsoft.com/office/infopath/2007/PartnerControls"/>
    <ds:schemaRef ds:uri="http://www.w3.org/XML/1998/namespace"/>
    <ds:schemaRef ds:uri="http://schemas.microsoft.com/office/2006/documentManagement/types"/>
    <ds:schemaRef ds:uri="http://schemas.openxmlformats.org/package/2006/metadata/core-properties"/>
    <ds:schemaRef ds:uri="http://schemas.microsoft.com/office/2006/metadata/properties"/>
  </ds:schemaRefs>
</ds:datastoreItem>
</file>

<file path=customXml/itemProps4.xml><?xml version="1.0" encoding="utf-8"?>
<ds:datastoreItem xmlns:ds="http://schemas.openxmlformats.org/officeDocument/2006/customXml" ds:itemID="{EFA77644-5A5F-47C1-B189-435695BF7F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1773</Words>
  <Characters>9167</Characters>
  <Application>Microsoft Office Word</Application>
  <DocSecurity>0</DocSecurity>
  <Lines>127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13</cp:revision>
  <dcterms:created xsi:type="dcterms:W3CDTF">2024-10-30T17:41:00Z</dcterms:created>
  <dcterms:modified xsi:type="dcterms:W3CDTF">2024-10-30T18:02:00Z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v0.8.0.8</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2024-10-30T17:50:59.000Z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v0.8.0.8</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Themes:fiscal policy,forecast,monetary policy</vt:lpwstr>
  </property>
  <property fmtid="{D5CDD505-2E9C-101B-9397-08002B2CF9AE}" pid="16" name="OEP_EXHIBIT_FILEPATHS">
    <vt:lpwstr>Z:\UK Team\UK Research Briefing\20241030 RB UK Budget reaction - Charts.xlsx</vt:lpwstr>
  </property>
  <property fmtid="{D5CDD505-2E9C-101B-9397-08002B2CF9AE}" pid="17" name="ContentTypeId">
    <vt:lpwstr>0x01010009401BB7205AF745BAD4FA98BDE0B98F</vt:lpwstr>
  </property>
  <property fmtid="{D5CDD505-2E9C-101B-9397-08002B2CF9AE}" pid="18" name="OEP_PRODUCT_CODE">
    <vt:lpwstr>6558E9Db95634cBc81c2d2</vt:lpwstr>
  </property>
  <property fmtid="{D5CDD505-2E9C-101B-9397-08002B2CF9AE}" pid="19" name="OEP_PUBLISH_DATE">
    <vt:lpwstr/>
  </property>
</Properties>
</file>