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C9C5E" w14:textId="7F6B13A3" w:rsidR="006F33C6" w:rsidRDefault="006F33C6" w:rsidP="00531A7F">
      <w:pPr>
        <w:pStyle w:val="Bullet"/>
      </w:pPr>
      <w:r>
        <w:t>Following</w:t>
      </w:r>
      <w:r w:rsidR="007B2D41">
        <w:t xml:space="preserve"> Wednesday's UK Budget, gilt yields </w:t>
      </w:r>
      <w:r>
        <w:t xml:space="preserve">have </w:t>
      </w:r>
      <w:r w:rsidR="007B2D41">
        <w:t>ris</w:t>
      </w:r>
      <w:r>
        <w:t>en</w:t>
      </w:r>
      <w:r w:rsidR="007B2D41">
        <w:t xml:space="preserve"> sharply</w:t>
      </w:r>
      <w:r>
        <w:t xml:space="preserve"> as</w:t>
      </w:r>
      <w:r w:rsidR="007B2D41">
        <w:t xml:space="preserve"> </w:t>
      </w:r>
      <w:r>
        <w:t>financial m</w:t>
      </w:r>
      <w:r w:rsidR="00531A7F">
        <w:t>arket</w:t>
      </w:r>
      <w:r>
        <w:t>s</w:t>
      </w:r>
      <w:r w:rsidR="00531A7F">
        <w:t xml:space="preserve"> </w:t>
      </w:r>
      <w:r>
        <w:t xml:space="preserve">appear </w:t>
      </w:r>
      <w:r w:rsidR="00531A7F">
        <w:t>concern</w:t>
      </w:r>
      <w:r>
        <w:t>ed</w:t>
      </w:r>
      <w:r w:rsidR="00531A7F">
        <w:t xml:space="preserve"> </w:t>
      </w:r>
      <w:r>
        <w:t>over</w:t>
      </w:r>
      <w:r w:rsidR="00531A7F">
        <w:t xml:space="preserve"> the </w:t>
      </w:r>
      <w:r w:rsidR="003A4EAD">
        <w:t>scale</w:t>
      </w:r>
      <w:r w:rsidR="00531A7F">
        <w:t xml:space="preserve"> of the </w:t>
      </w:r>
      <w:r w:rsidR="003A4EAD">
        <w:t xml:space="preserve">extra </w:t>
      </w:r>
      <w:r w:rsidR="00531A7F">
        <w:t>borrowing</w:t>
      </w:r>
      <w:r>
        <w:t>,</w:t>
      </w:r>
      <w:r w:rsidR="00531A7F">
        <w:t xml:space="preserve"> </w:t>
      </w:r>
      <w:r>
        <w:t>that some of it will</w:t>
      </w:r>
      <w:r w:rsidR="00531A7F">
        <w:t xml:space="preserve"> fund current spending rather than investment, and </w:t>
      </w:r>
      <w:r>
        <w:t>the narrow</w:t>
      </w:r>
      <w:r w:rsidR="00531A7F">
        <w:t xml:space="preserve"> headroom</w:t>
      </w:r>
      <w:r>
        <w:t xml:space="preserve"> it leaves</w:t>
      </w:r>
      <w:r w:rsidR="00531A7F">
        <w:t>.</w:t>
      </w:r>
      <w:r w:rsidR="00531A7F" w:rsidRPr="00531A7F">
        <w:t xml:space="preserve"> </w:t>
      </w:r>
    </w:p>
    <w:p w14:paraId="2C9D3B93" w14:textId="07E41937" w:rsidR="007B2D41" w:rsidRDefault="00531A7F" w:rsidP="007B2D41">
      <w:pPr>
        <w:pStyle w:val="Bullet"/>
      </w:pPr>
      <w:r w:rsidRPr="00531A7F">
        <w:t xml:space="preserve">These </w:t>
      </w:r>
      <w:r w:rsidR="006F33C6">
        <w:t xml:space="preserve">valid </w:t>
      </w:r>
      <w:r w:rsidRPr="00531A7F">
        <w:t>concerns suggest spreads may remain elevated</w:t>
      </w:r>
      <w:r w:rsidR="006F33C6">
        <w:t>, b</w:t>
      </w:r>
      <w:r w:rsidR="00A34FB1">
        <w:t xml:space="preserve">ut we don’t </w:t>
      </w:r>
      <w:r w:rsidR="000A72A4">
        <w:t xml:space="preserve">expect </w:t>
      </w:r>
      <w:r w:rsidR="006F33C6">
        <w:t>them to</w:t>
      </w:r>
      <w:r w:rsidR="00A34FB1">
        <w:t xml:space="preserve"> widen</w:t>
      </w:r>
      <w:r w:rsidR="007B2D41">
        <w:t xml:space="preserve">. </w:t>
      </w:r>
      <w:r w:rsidR="00033F4E">
        <w:t>T</w:t>
      </w:r>
      <w:r w:rsidR="00033F4E" w:rsidRPr="00033F4E">
        <w:t xml:space="preserve">he government </w:t>
      </w:r>
      <w:r w:rsidR="006F33C6">
        <w:t xml:space="preserve">will </w:t>
      </w:r>
      <w:r w:rsidR="00033F4E" w:rsidRPr="00033F4E">
        <w:t>still tighten fiscal policy and has replaced implausibly tight spending assumptions with tax hikes</w:t>
      </w:r>
      <w:r w:rsidR="00021BC0">
        <w:t>, which w</w:t>
      </w:r>
      <w:r w:rsidR="00033F4E" w:rsidRPr="00033F4E">
        <w:t xml:space="preserve">e think </w:t>
      </w:r>
      <w:r w:rsidR="00EB7050">
        <w:t>is</w:t>
      </w:r>
      <w:r w:rsidR="00033F4E" w:rsidRPr="00033F4E">
        <w:t xml:space="preserve"> a more credible </w:t>
      </w:r>
      <w:r w:rsidR="00033F4E">
        <w:t>plan.</w:t>
      </w:r>
      <w:r w:rsidR="00EB7050">
        <w:t xml:space="preserve"> Shorter timeframes for the fiscal rules should bolster </w:t>
      </w:r>
      <w:r w:rsidR="007E32B7">
        <w:t xml:space="preserve">that </w:t>
      </w:r>
      <w:r w:rsidR="00EB7050">
        <w:t>credibility.</w:t>
      </w:r>
    </w:p>
    <w:p w14:paraId="67388A16" w14:textId="501B470E" w:rsidR="00C92407" w:rsidRDefault="007E32B7" w:rsidP="007B2D41">
      <w:pPr>
        <w:pStyle w:val="Bullet"/>
      </w:pPr>
      <w:r>
        <w:t>R</w:t>
      </w:r>
      <w:r w:rsidR="00EC2D9B">
        <w:t xml:space="preserve">epricing at the shorter end of the curve </w:t>
      </w:r>
      <w:r>
        <w:t>means</w:t>
      </w:r>
      <w:r w:rsidR="00EC2D9B">
        <w:t xml:space="preserve"> markets </w:t>
      </w:r>
      <w:r>
        <w:t xml:space="preserve">now </w:t>
      </w:r>
      <w:r w:rsidR="00EC2D9B">
        <w:t xml:space="preserve">expect fewer </w:t>
      </w:r>
      <w:r>
        <w:t>r</w:t>
      </w:r>
      <w:r w:rsidR="00EC2D9B">
        <w:t xml:space="preserve">ate cuts next year. This is a response to the Office for Budget Responsibility's view that the package will offer a sizeable boost to growth </w:t>
      </w:r>
      <w:r w:rsidR="008C692A">
        <w:t>next year. Bu</w:t>
      </w:r>
      <w:r w:rsidR="00EC2D9B">
        <w:t>t we think the OBR is too optimistic</w:t>
      </w:r>
      <w:r w:rsidR="008C692A">
        <w:t xml:space="preserve"> on the growth impact</w:t>
      </w:r>
      <w:r w:rsidR="00EC2D9B">
        <w:t>.</w:t>
      </w:r>
    </w:p>
    <w:p w14:paraId="6CCEAF38" w14:textId="4575262F" w:rsidR="00E8448E" w:rsidRDefault="00E8448E" w:rsidP="007B2D41">
      <w:r>
        <w:t>Despite the</w:t>
      </w:r>
      <w:r w:rsidR="007E32B7">
        <w:t xml:space="preserve"> UK</w:t>
      </w:r>
      <w:r>
        <w:t xml:space="preserve"> government</w:t>
      </w:r>
      <w:r w:rsidR="007E32B7">
        <w:t>'s efforts</w:t>
      </w:r>
      <w:r>
        <w:t xml:space="preserve"> to </w:t>
      </w:r>
      <w:r w:rsidR="007E32B7">
        <w:t>prepare the ground</w:t>
      </w:r>
      <w:r>
        <w:t xml:space="preserve"> over the past few months, financial markets reacted badly to </w:t>
      </w:r>
      <w:hyperlink r:id="rId10" w:history="1">
        <w:r w:rsidRPr="00023F36">
          <w:rPr>
            <w:rStyle w:val="Hyperlink"/>
          </w:rPr>
          <w:t>Wednesday's Budget</w:t>
        </w:r>
      </w:hyperlink>
      <w:r>
        <w:t xml:space="preserve">. </w:t>
      </w:r>
      <w:r w:rsidR="009334CF">
        <w:t>O</w:t>
      </w:r>
      <w:r>
        <w:t xml:space="preserve">n </w:t>
      </w:r>
      <w:r w:rsidR="009334CF">
        <w:t>Thursday afternoon</w:t>
      </w:r>
      <w:r>
        <w:t xml:space="preserve">, the 10-year gilt yield </w:t>
      </w:r>
      <w:r w:rsidR="0067266C">
        <w:t>spiked</w:t>
      </w:r>
      <w:r>
        <w:t xml:space="preserve"> </w:t>
      </w:r>
      <w:r w:rsidR="009334CF">
        <w:t xml:space="preserve">35bps </w:t>
      </w:r>
      <w:r w:rsidR="007E32B7">
        <w:t>higher than</w:t>
      </w:r>
      <w:r w:rsidR="009334CF">
        <w:t xml:space="preserve"> when Chancellor Rachel Reeves began her Budget speech. Yields have remained very volatile over the past day, </w:t>
      </w:r>
      <w:r w:rsidR="00E34DC8">
        <w:t xml:space="preserve">and </w:t>
      </w:r>
      <w:r w:rsidR="009334CF">
        <w:t xml:space="preserve">on Friday afternoon </w:t>
      </w:r>
      <w:r w:rsidR="00006970">
        <w:t xml:space="preserve">10-year yields </w:t>
      </w:r>
      <w:r w:rsidR="009334CF">
        <w:t xml:space="preserve">were still around </w:t>
      </w:r>
      <w:r w:rsidR="00E34DC8">
        <w:t>3</w:t>
      </w:r>
      <w:r w:rsidR="009334CF">
        <w:t>0bps higher</w:t>
      </w:r>
      <w:r w:rsidR="00847C7F">
        <w:t>.</w:t>
      </w:r>
      <w:r w:rsidR="009334CF">
        <w:t xml:space="preserve"> </w:t>
      </w:r>
      <w:r w:rsidR="00847C7F">
        <w:t xml:space="preserve">Spreads have widened against US Treasuries and particularly German bunds. </w:t>
      </w:r>
      <w:r w:rsidR="008D2E42">
        <w:t>(</w:t>
      </w:r>
      <w:r w:rsidR="00250FD1" w:rsidRPr="00250FD1">
        <w:rPr>
          <w:b/>
          <w:color w:val="003469"/>
        </w:rPr>
        <w:fldChar w:fldCharType="begin"/>
      </w:r>
      <w:r w:rsidR="00250FD1" w:rsidRPr="00250FD1">
        <w:rPr>
          <w:b/>
          <w:color w:val="003469"/>
        </w:rPr>
        <w:instrText xml:space="preserve">REF _Ref181370238 \h \* Charformat </w:instrText>
      </w:r>
      <w:r w:rsidR="00250FD1" w:rsidRPr="00250FD1">
        <w:rPr>
          <w:b/>
          <w:color w:val="003469"/>
        </w:rPr>
      </w:r>
      <w:r w:rsidR="00250FD1" w:rsidRPr="00250FD1">
        <w:rPr>
          <w:b/>
          <w:color w:val="003469"/>
        </w:rPr>
        <w:fldChar w:fldCharType="separate"/>
      </w:r>
      <w:r w:rsidR="00981C57" w:rsidRPr="00981C57">
        <w:rPr>
          <w:b/>
          <w:color w:val="003469"/>
        </w:rPr>
        <w:t>Chart 1</w:t>
      </w:r>
      <w:r w:rsidR="00250FD1" w:rsidRPr="00250FD1">
        <w:rPr>
          <w:b/>
          <w:color w:val="003469"/>
        </w:rPr>
        <w:fldChar w:fldCharType="end"/>
      </w:r>
      <w:r w:rsidR="008D2E42">
        <w:t>)</w:t>
      </w:r>
      <w:r w:rsidR="007B2D41">
        <w:t>.</w:t>
      </w:r>
    </w:p>
    <w:p w14:paraId="6D9A4C75" w14:textId="51E71EC1" w:rsidR="00E8448E" w:rsidRDefault="00264573" w:rsidP="00E8448E">
      <w:r>
        <w:t xml:space="preserve">Though </w:t>
      </w:r>
      <w:r w:rsidR="007E32B7">
        <w:t xml:space="preserve">the market's allergic reaction is </w:t>
      </w:r>
      <w:r>
        <w:t xml:space="preserve">unwelcome </w:t>
      </w:r>
      <w:r w:rsidR="007E32B7">
        <w:t>for</w:t>
      </w:r>
      <w:r>
        <w:t xml:space="preserve"> the </w:t>
      </w:r>
      <w:r w:rsidR="007E32B7">
        <w:t>new Labour government</w:t>
      </w:r>
      <w:r>
        <w:t xml:space="preserve">, the </w:t>
      </w:r>
      <w:r w:rsidR="007E32B7">
        <w:t>response</w:t>
      </w:r>
      <w:r>
        <w:t xml:space="preserve"> has been much more muted than after the</w:t>
      </w:r>
      <w:r w:rsidR="0027176B" w:rsidRPr="0027176B">
        <w:t xml:space="preserve"> </w:t>
      </w:r>
      <w:r w:rsidR="007E32B7">
        <w:t xml:space="preserve">Conservative's </w:t>
      </w:r>
      <w:r w:rsidR="0027176B" w:rsidRPr="0027176B">
        <w:t xml:space="preserve">mini-Budget </w:t>
      </w:r>
      <w:r w:rsidR="00EB7050">
        <w:t>of</w:t>
      </w:r>
      <w:r w:rsidR="0027176B" w:rsidRPr="0027176B">
        <w:t xml:space="preserve"> September 2022</w:t>
      </w:r>
      <w:r w:rsidR="0027176B">
        <w:t xml:space="preserve">. </w:t>
      </w:r>
      <w:r w:rsidR="0025790A">
        <w:t>Then,</w:t>
      </w:r>
      <w:r w:rsidR="00FA4AB0">
        <w:t xml:space="preserve"> 10-year gilt yields </w:t>
      </w:r>
      <w:r w:rsidR="007E32B7">
        <w:t xml:space="preserve">spiked </w:t>
      </w:r>
      <w:r w:rsidR="00FA4AB0">
        <w:t xml:space="preserve">50bps </w:t>
      </w:r>
      <w:r w:rsidR="00DC1271">
        <w:t>in</w:t>
      </w:r>
      <w:r w:rsidR="00FA4AB0">
        <w:t xml:space="preserve"> the two days after the Budget and </w:t>
      </w:r>
      <w:r w:rsidR="007E32B7">
        <w:t>were up</w:t>
      </w:r>
      <w:r w:rsidR="00FA4AB0">
        <w:t xml:space="preserve"> 90bps</w:t>
      </w:r>
      <w:r w:rsidR="00DC1271">
        <w:t xml:space="preserve"> after</w:t>
      </w:r>
      <w:r w:rsidR="00FA4AB0">
        <w:t xml:space="preserve"> a week. </w:t>
      </w:r>
      <w:r w:rsidR="007E32B7">
        <w:t xml:space="preserve">What's </w:t>
      </w:r>
      <w:r w:rsidR="00C92407">
        <w:t xml:space="preserve">more, the </w:t>
      </w:r>
      <w:r w:rsidR="00065C3D">
        <w:t xml:space="preserve">rising yields in the </w:t>
      </w:r>
      <w:r w:rsidR="00C92407">
        <w:t xml:space="preserve">2022 episode </w:t>
      </w:r>
      <w:r w:rsidR="00065C3D">
        <w:t>were</w:t>
      </w:r>
      <w:r w:rsidR="00C92407">
        <w:t xml:space="preserve"> accompanied by a sharp depreciation in sterling</w:t>
      </w:r>
      <w:r w:rsidR="0025790A">
        <w:t xml:space="preserve">. This time, the initial fall in the value of sterling </w:t>
      </w:r>
      <w:r w:rsidR="00065C3D">
        <w:t xml:space="preserve">has been </w:t>
      </w:r>
      <w:r w:rsidR="00C92407">
        <w:t>much smaller</w:t>
      </w:r>
      <w:r w:rsidR="0025790A">
        <w:t xml:space="preserve"> and </w:t>
      </w:r>
      <w:r w:rsidR="00065C3D">
        <w:t>ha</w:t>
      </w:r>
      <w:r w:rsidR="00892FE7">
        <w:t>d</w:t>
      </w:r>
      <w:r w:rsidR="00065C3D">
        <w:t xml:space="preserve"> </w:t>
      </w:r>
      <w:r w:rsidR="0025790A">
        <w:t>mostly reversed by Friday afternoon</w:t>
      </w:r>
      <w:r w:rsidR="00C92407">
        <w:t>.</w:t>
      </w:r>
    </w:p>
    <w:p w14:paraId="3DD61785" w14:textId="695D83D9" w:rsidR="007B2D41" w:rsidRDefault="007B2D41" w:rsidP="00E8448E">
      <w:pPr>
        <w:pStyle w:val="ExhibitTitle"/>
        <w:jc w:val="center"/>
      </w:pPr>
      <w:bookmarkStart w:id="0" w:name="_Ref181370238"/>
      <w:r>
        <w:t xml:space="preserve">Chart </w:t>
      </w:r>
      <w:r>
        <w:fldChar w:fldCharType="begin"/>
      </w:r>
      <w:r w:rsidR="00250FD1">
        <w:instrText>SEQ CHART</w:instrText>
      </w:r>
      <w:r>
        <w:fldChar w:fldCharType="separate"/>
      </w:r>
      <w:r w:rsidR="00981C57">
        <w:rPr>
          <w:noProof/>
        </w:rPr>
        <w:t>1</w:t>
      </w:r>
      <w:r>
        <w:fldChar w:fldCharType="end"/>
      </w:r>
      <w:bookmarkEnd w:id="0"/>
      <w:r>
        <w:t xml:space="preserve">: </w:t>
      </w:r>
      <w:r w:rsidR="00BD3D30">
        <w:t>Gilt yields have risen sharply since the Chancellor presented her Budget</w:t>
      </w:r>
    </w:p>
    <w:p w14:paraId="524BBD05" w14:textId="7D238BD7" w:rsidR="00E8448E" w:rsidRDefault="00E8448E" w:rsidP="00E8448E">
      <w:pPr>
        <w:spacing w:after="0"/>
        <w:jc w:val="center"/>
      </w:pPr>
      <w:r>
        <w:rPr>
          <w:noProof/>
        </w:rPr>
        <w:drawing>
          <wp:inline distT="0" distB="0" distL="0" distR="0" wp14:anchorId="57B8B2F6" wp14:editId="557D25BC">
            <wp:extent cx="4006964" cy="3140642"/>
            <wp:effectExtent l="0" t="0" r="0" b="3175"/>
            <wp:docPr id="7538312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1252" name=""/>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b="1886"/>
                    <a:stretch>
                      <a:fillRect/>
                    </a:stretch>
                  </pic:blipFill>
                  <pic:spPr>
                    <a:xfrm>
                      <a:off x="0" y="0"/>
                      <a:ext cx="4006964" cy="3140642"/>
                    </a:xfrm>
                    <a:prstGeom prst="rect">
                      <a:avLst/>
                    </a:prstGeom>
                  </pic:spPr>
                </pic:pic>
              </a:graphicData>
            </a:graphic>
          </wp:inline>
        </w:drawing>
      </w:r>
    </w:p>
    <w:p w14:paraId="70C2695A" w14:textId="12347759" w:rsidR="007B2D41" w:rsidRDefault="00E8448E" w:rsidP="00E8448E">
      <w:pPr>
        <w:pStyle w:val="ExhibitSource"/>
        <w:jc w:val="center"/>
      </w:pPr>
      <w:r>
        <w:t>Source: Haver Analytics</w:t>
      </w:r>
    </w:p>
    <w:p w14:paraId="6F8510FD" w14:textId="2A71F4A0" w:rsidR="007B2D41" w:rsidRDefault="007B2D41" w:rsidP="007B2D41">
      <w:pPr>
        <w:pStyle w:val="ExhibitSource"/>
        <w:jc w:val="center"/>
        <w:sectPr w:rsidR="007B2D41" w:rsidSect="00E8448E">
          <w:headerReference w:type="even" r:id="rId13"/>
          <w:headerReference w:type="default" r:id="rId14"/>
          <w:footerReference w:type="default" r:id="rId15"/>
          <w:headerReference w:type="first" r:id="rId16"/>
          <w:footerReference w:type="first" r:id="rId17"/>
          <w:pgSz w:w="11906" w:h="16838"/>
          <w:pgMar w:top="2665" w:right="1276" w:bottom="838" w:left="1134" w:header="708" w:footer="300" w:gutter="0"/>
          <w:cols w:space="708"/>
          <w:titlePg/>
          <w:docGrid w:linePitch="360"/>
        </w:sectPr>
      </w:pPr>
    </w:p>
    <w:p w14:paraId="43292F3D" w14:textId="27B916DA" w:rsidR="007B2D41" w:rsidRDefault="00065C3D" w:rsidP="007B2D41">
      <w:r>
        <w:lastRenderedPageBreak/>
        <w:t xml:space="preserve">Some </w:t>
      </w:r>
      <w:r w:rsidR="00BE0205">
        <w:t>of the market reaction reflects the expected impact on monetary policy</w:t>
      </w:r>
      <w:r w:rsidR="007B2D41">
        <w:t>.</w:t>
      </w:r>
      <w:r w:rsidR="00BE0205">
        <w:t xml:space="preserve"> The Office for Budget Responsibility </w:t>
      </w:r>
      <w:r>
        <w:t xml:space="preserve">estimates </w:t>
      </w:r>
      <w:r w:rsidR="00BE0205">
        <w:t>that higher current spending will provide a substantial boost to GDP growth in 2025-2026</w:t>
      </w:r>
      <w:r w:rsidR="00B5234C">
        <w:t>. Markets have taken this at face value and assume it will be offset by tighter monetary policy. As of market close on October 31, market expectations for Bank Rate at the end of 2025 were 25bps higher than they were before the Budget (</w:t>
      </w:r>
      <w:r w:rsidR="00250FD1" w:rsidRPr="00250FD1">
        <w:rPr>
          <w:b/>
          <w:color w:val="003469"/>
        </w:rPr>
        <w:fldChar w:fldCharType="begin"/>
      </w:r>
      <w:r w:rsidR="00250FD1" w:rsidRPr="00250FD1">
        <w:rPr>
          <w:b/>
          <w:color w:val="003469"/>
        </w:rPr>
        <w:instrText xml:space="preserve">REF _Ref181370239 \h \* Charformat </w:instrText>
      </w:r>
      <w:r w:rsidR="00250FD1" w:rsidRPr="00250FD1">
        <w:rPr>
          <w:b/>
          <w:color w:val="003469"/>
        </w:rPr>
      </w:r>
      <w:r w:rsidR="00250FD1" w:rsidRPr="00250FD1">
        <w:rPr>
          <w:b/>
          <w:color w:val="003469"/>
        </w:rPr>
        <w:fldChar w:fldCharType="separate"/>
      </w:r>
      <w:r w:rsidR="00981C57" w:rsidRPr="00981C57">
        <w:rPr>
          <w:b/>
          <w:color w:val="003469"/>
        </w:rPr>
        <w:t>Chart 2</w:t>
      </w:r>
      <w:r w:rsidR="00250FD1" w:rsidRPr="00250FD1">
        <w:rPr>
          <w:b/>
          <w:color w:val="003469"/>
        </w:rPr>
        <w:fldChar w:fldCharType="end"/>
      </w:r>
      <w:r w:rsidR="00B5234C">
        <w:t>).</w:t>
      </w:r>
    </w:p>
    <w:p w14:paraId="58F41574" w14:textId="72A44B0E" w:rsidR="007B2D41" w:rsidRDefault="007B2D41" w:rsidP="00E24F6B">
      <w:pPr>
        <w:pStyle w:val="ExhibitTitle"/>
      </w:pPr>
      <w:bookmarkStart w:id="1" w:name="_Ref181370239"/>
      <w:r>
        <w:t xml:space="preserve">Chart </w:t>
      </w:r>
      <w:r>
        <w:fldChar w:fldCharType="begin"/>
      </w:r>
      <w:r w:rsidR="00981C57">
        <w:instrText>SEQ CHART</w:instrText>
      </w:r>
      <w:r>
        <w:fldChar w:fldCharType="separate"/>
      </w:r>
      <w:r w:rsidR="00981C57">
        <w:rPr>
          <w:noProof/>
        </w:rPr>
        <w:t>2</w:t>
      </w:r>
      <w:r>
        <w:fldChar w:fldCharType="end"/>
      </w:r>
      <w:bookmarkEnd w:id="1"/>
      <w:r>
        <w:t xml:space="preserve">: </w:t>
      </w:r>
      <w:r w:rsidR="00AC338F">
        <w:t>Markets think looser fiscal policy will mean fewer Bank Rate cuts</w:t>
      </w:r>
    </w:p>
    <w:p w14:paraId="6EFA3B06" w14:textId="62FD51A9" w:rsidR="00981C57" w:rsidRDefault="00981C57" w:rsidP="00E24F6B">
      <w:pPr>
        <w:spacing w:after="0"/>
        <w:rPr>
          <w:noProof/>
        </w:rPr>
      </w:pPr>
      <w:r>
        <w:rPr>
          <w:noProof/>
        </w:rPr>
        <w:drawing>
          <wp:inline distT="0" distB="0" distL="0" distR="0" wp14:anchorId="2B32B7D5" wp14:editId="326CBD7A">
            <wp:extent cx="3250933" cy="2548068"/>
            <wp:effectExtent l="0" t="0" r="6985" b="5080"/>
            <wp:docPr id="8819362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36219" name=""/>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rcRect b="1886"/>
                    <a:stretch>
                      <a:fillRect/>
                    </a:stretch>
                  </pic:blipFill>
                  <pic:spPr>
                    <a:xfrm>
                      <a:off x="0" y="0"/>
                      <a:ext cx="3250933" cy="2548068"/>
                    </a:xfrm>
                    <a:prstGeom prst="rect">
                      <a:avLst/>
                    </a:prstGeom>
                  </pic:spPr>
                </pic:pic>
              </a:graphicData>
            </a:graphic>
          </wp:inline>
        </w:drawing>
      </w:r>
    </w:p>
    <w:p w14:paraId="6DD16BBE" w14:textId="729FA3B0" w:rsidR="007B2D41" w:rsidRDefault="00981C57" w:rsidP="00E24F6B">
      <w:pPr>
        <w:pStyle w:val="ExhibitSource"/>
      </w:pPr>
      <w:r>
        <w:t>Sources: Oxford Economics, Haver Analytics</w:t>
      </w:r>
    </w:p>
    <w:p w14:paraId="1345814A" w14:textId="5E9B4C82" w:rsidR="00065C3D" w:rsidRDefault="00065C3D" w:rsidP="007B2D41">
      <w:r>
        <w:t>In our view, however,</w:t>
      </w:r>
      <w:r w:rsidR="0005248F">
        <w:t xml:space="preserve"> the OBR is too optimistic about the extent to which higher current spending will boost GDP. </w:t>
      </w:r>
      <w:r w:rsidR="0005248F" w:rsidRPr="0005248F">
        <w:t xml:space="preserve">Much of the increase comes from higher </w:t>
      </w:r>
      <w:r w:rsidR="00671973">
        <w:t xml:space="preserve">real </w:t>
      </w:r>
      <w:r w:rsidR="0005248F" w:rsidRPr="0005248F">
        <w:t xml:space="preserve">government consumption, but higher public sector wages </w:t>
      </w:r>
      <w:r>
        <w:t xml:space="preserve">also </w:t>
      </w:r>
      <w:r w:rsidR="0005248F" w:rsidRPr="0005248F">
        <w:t>account</w:t>
      </w:r>
      <w:r>
        <w:t>s</w:t>
      </w:r>
      <w:r w:rsidR="0005248F" w:rsidRPr="0005248F">
        <w:t xml:space="preserve"> for some of the increase. The way that public sector output is measured also </w:t>
      </w:r>
      <w:r>
        <w:t>makes</w:t>
      </w:r>
      <w:r w:rsidR="0005248F" w:rsidRPr="0005248F">
        <w:t xml:space="preserve"> us sceptical that output will be boosted to the extent expected</w:t>
      </w:r>
      <w:r w:rsidR="0005248F">
        <w:t xml:space="preserve">. </w:t>
      </w:r>
    </w:p>
    <w:p w14:paraId="77802679" w14:textId="7D684616" w:rsidR="0005248F" w:rsidRDefault="0005248F" w:rsidP="007B2D41">
      <w:r>
        <w:t>Furthermore, recent OBR forecasts for real government consumption have tended to prove over-optimistic</w:t>
      </w:r>
      <w:r w:rsidR="00EC7E38">
        <w:t xml:space="preserve">, </w:t>
      </w:r>
      <w:r w:rsidR="00BE3ADC">
        <w:t>with</w:t>
      </w:r>
      <w:r w:rsidR="00EC7E38">
        <w:t xml:space="preserve"> the starting point for the subsequent forecast typically lower than had been </w:t>
      </w:r>
      <w:r w:rsidR="00EE67B1">
        <w:t>projected</w:t>
      </w:r>
      <w:r>
        <w:t xml:space="preserve"> (</w:t>
      </w:r>
      <w:r w:rsidR="00250FD1" w:rsidRPr="00250FD1">
        <w:rPr>
          <w:b/>
          <w:color w:val="003469"/>
        </w:rPr>
        <w:fldChar w:fldCharType="begin"/>
      </w:r>
      <w:r w:rsidR="00250FD1" w:rsidRPr="00250FD1">
        <w:rPr>
          <w:b/>
          <w:color w:val="003469"/>
        </w:rPr>
        <w:instrText xml:space="preserve">REF _Ref181370240 \h \* Charformat </w:instrText>
      </w:r>
      <w:r w:rsidR="00250FD1" w:rsidRPr="00250FD1">
        <w:rPr>
          <w:b/>
          <w:color w:val="003469"/>
        </w:rPr>
      </w:r>
      <w:r w:rsidR="00250FD1" w:rsidRPr="00250FD1">
        <w:rPr>
          <w:b/>
          <w:color w:val="003469"/>
        </w:rPr>
        <w:fldChar w:fldCharType="separate"/>
      </w:r>
      <w:r w:rsidR="00981C57" w:rsidRPr="00981C57">
        <w:rPr>
          <w:b/>
          <w:color w:val="003469"/>
        </w:rPr>
        <w:t>Chart 3</w:t>
      </w:r>
      <w:r w:rsidR="00250FD1" w:rsidRPr="00250FD1">
        <w:rPr>
          <w:b/>
          <w:color w:val="003469"/>
        </w:rPr>
        <w:fldChar w:fldCharType="end"/>
      </w:r>
      <w:r>
        <w:t xml:space="preserve">). </w:t>
      </w:r>
      <w:r w:rsidR="00E43376">
        <w:t>We expect the boost to GDP growth to be much smaller and largely offset by the impact of higher employers' national insurance contributions.</w:t>
      </w:r>
    </w:p>
    <w:p w14:paraId="03EEC970" w14:textId="0622671F" w:rsidR="007B2D41" w:rsidRDefault="007B2D41" w:rsidP="00E24F6B">
      <w:pPr>
        <w:pStyle w:val="ExhibitTitle"/>
      </w:pPr>
      <w:bookmarkStart w:id="2" w:name="_Ref181370240"/>
      <w:r>
        <w:t xml:space="preserve">Chart </w:t>
      </w:r>
      <w:r>
        <w:fldChar w:fldCharType="begin"/>
      </w:r>
      <w:r w:rsidR="00250FD1">
        <w:instrText>SEQ CHART</w:instrText>
      </w:r>
      <w:r>
        <w:fldChar w:fldCharType="separate"/>
      </w:r>
      <w:r w:rsidR="00981C57">
        <w:rPr>
          <w:noProof/>
        </w:rPr>
        <w:t>3</w:t>
      </w:r>
      <w:r>
        <w:fldChar w:fldCharType="end"/>
      </w:r>
      <w:bookmarkEnd w:id="2"/>
      <w:r>
        <w:t xml:space="preserve">: </w:t>
      </w:r>
      <w:r w:rsidR="00EC7E38">
        <w:t>The OBR's recent forecasts for government consumption have proven too optimistic</w:t>
      </w:r>
    </w:p>
    <w:p w14:paraId="3C8877E2" w14:textId="76C4A237" w:rsidR="0005248F" w:rsidRDefault="0005248F" w:rsidP="00E24F6B">
      <w:pPr>
        <w:spacing w:after="0"/>
      </w:pPr>
      <w:r>
        <w:rPr>
          <w:noProof/>
        </w:rPr>
        <w:drawing>
          <wp:inline distT="0" distB="0" distL="0" distR="0" wp14:anchorId="709019C1" wp14:editId="75801F43">
            <wp:extent cx="3250933" cy="2548068"/>
            <wp:effectExtent l="0" t="0" r="6985" b="5080"/>
            <wp:docPr id="149294003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40039" name=""/>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rcRect b="1886"/>
                    <a:stretch>
                      <a:fillRect/>
                    </a:stretch>
                  </pic:blipFill>
                  <pic:spPr>
                    <a:xfrm>
                      <a:off x="0" y="0"/>
                      <a:ext cx="3250933" cy="2548068"/>
                    </a:xfrm>
                    <a:prstGeom prst="rect">
                      <a:avLst/>
                    </a:prstGeom>
                  </pic:spPr>
                </pic:pic>
              </a:graphicData>
            </a:graphic>
          </wp:inline>
        </w:drawing>
      </w:r>
    </w:p>
    <w:p w14:paraId="1199395C" w14:textId="66F36148" w:rsidR="007B2D41" w:rsidRDefault="0005248F" w:rsidP="00E24F6B">
      <w:pPr>
        <w:pStyle w:val="ExhibitSource"/>
      </w:pPr>
      <w:r>
        <w:t>Source: Oxford Economics calculations using forecasts from Office for Budget Responsibility</w:t>
      </w:r>
    </w:p>
    <w:p w14:paraId="020C19A0" w14:textId="418AF6DA" w:rsidR="001F4EBE" w:rsidRDefault="00065C3D" w:rsidP="007B2D41">
      <w:r>
        <w:t xml:space="preserve">Consequently, </w:t>
      </w:r>
      <w:hyperlink r:id="rId22" w:history="1">
        <w:r>
          <w:rPr>
            <w:rStyle w:val="Hyperlink"/>
          </w:rPr>
          <w:t>w</w:t>
        </w:r>
        <w:r w:rsidR="001F4EBE" w:rsidRPr="001F4EBE">
          <w:rPr>
            <w:rStyle w:val="Hyperlink"/>
          </w:rPr>
          <w:t>e still expect the Monetary Policy Committee to cut Bank Rate by 25bps next week</w:t>
        </w:r>
      </w:hyperlink>
      <w:r w:rsidR="001F4EBE">
        <w:t>, and to cut rates significantly during 2025.</w:t>
      </w:r>
    </w:p>
    <w:p w14:paraId="711B1602" w14:textId="629FAB2A" w:rsidR="00B53646" w:rsidRDefault="00B53646" w:rsidP="007B2D41">
      <w:r>
        <w:lastRenderedPageBreak/>
        <w:t xml:space="preserve">We attribute the </w:t>
      </w:r>
      <w:r w:rsidR="00E65A64">
        <w:t xml:space="preserve">rest </w:t>
      </w:r>
      <w:r>
        <w:t xml:space="preserve">of the increase in yields to </w:t>
      </w:r>
      <w:r w:rsidR="00532DDB">
        <w:t xml:space="preserve">several </w:t>
      </w:r>
      <w:r>
        <w:t>aspects of the Budget that</w:t>
      </w:r>
      <w:r w:rsidR="00065C3D">
        <w:t xml:space="preserve"> have</w:t>
      </w:r>
      <w:r>
        <w:t xml:space="preserve"> </w:t>
      </w:r>
      <w:r w:rsidR="00065C3D">
        <w:t xml:space="preserve">made </w:t>
      </w:r>
      <w:r>
        <w:t xml:space="preserve">markets </w:t>
      </w:r>
      <w:r w:rsidR="00065C3D">
        <w:t>more cautious</w:t>
      </w:r>
      <w:r>
        <w:t>:</w:t>
      </w:r>
    </w:p>
    <w:p w14:paraId="1CC85ECC" w14:textId="31CFF7C6" w:rsidR="007B2D41" w:rsidRDefault="00B53646" w:rsidP="00B53646">
      <w:pPr>
        <w:pStyle w:val="BodyBullet"/>
      </w:pPr>
      <w:r w:rsidRPr="00B53646">
        <w:rPr>
          <w:b/>
          <w:color w:val="003469"/>
        </w:rPr>
        <w:t>Size of the package</w:t>
      </w:r>
      <w:r w:rsidR="007B2D41" w:rsidRPr="00B53646">
        <w:rPr>
          <w:b/>
          <w:color w:val="003469"/>
        </w:rPr>
        <w:t>.</w:t>
      </w:r>
      <w:r>
        <w:t xml:space="preserve"> </w:t>
      </w:r>
      <w:r w:rsidR="00350231">
        <w:t>T</w:t>
      </w:r>
      <w:r>
        <w:t xml:space="preserve">he government's </w:t>
      </w:r>
      <w:r w:rsidR="00065C3D">
        <w:t xml:space="preserve">messaging </w:t>
      </w:r>
      <w:r>
        <w:t xml:space="preserve">had </w:t>
      </w:r>
      <w:r w:rsidR="00350231">
        <w:t xml:space="preserve">led markets to </w:t>
      </w:r>
      <w:r w:rsidR="00065C3D">
        <w:t xml:space="preserve">believe </w:t>
      </w:r>
      <w:r w:rsidR="00350231">
        <w:t xml:space="preserve">the Chancellor </w:t>
      </w:r>
      <w:r w:rsidR="00065C3D">
        <w:t>would</w:t>
      </w:r>
      <w:r w:rsidR="00350231">
        <w:t xml:space="preserve"> adopt looser fiscal rules and borrow more. But media speculation had centred on a smaller package, with the extra borrowing </w:t>
      </w:r>
      <w:r w:rsidR="00065C3D">
        <w:t xml:space="preserve">expected to be </w:t>
      </w:r>
      <w:r w:rsidR="00350231">
        <w:t xml:space="preserve">closer to £20bn a year rather than the £30bn-£40bn </w:t>
      </w:r>
      <w:r w:rsidR="00ED1EA6">
        <w:t xml:space="preserve">a year </w:t>
      </w:r>
      <w:r w:rsidR="00350231">
        <w:t>increases that were announced.</w:t>
      </w:r>
    </w:p>
    <w:p w14:paraId="60189178" w14:textId="64890859" w:rsidR="00350231" w:rsidRDefault="00350231" w:rsidP="00B53646">
      <w:pPr>
        <w:pStyle w:val="BodyBullet"/>
      </w:pPr>
      <w:r w:rsidRPr="00350231">
        <w:rPr>
          <w:b/>
          <w:color w:val="003469"/>
        </w:rPr>
        <w:t>Borrowing to fund current spending.</w:t>
      </w:r>
      <w:r>
        <w:t xml:space="preserve"> Pre-Budget </w:t>
      </w:r>
      <w:r w:rsidR="00532DDB">
        <w:t xml:space="preserve">statements </w:t>
      </w:r>
      <w:r>
        <w:t xml:space="preserve">and the Chancellor's speech </w:t>
      </w:r>
      <w:r w:rsidR="00532DDB">
        <w:t>focused on</w:t>
      </w:r>
      <w:r>
        <w:t xml:space="preserve"> the case for borrowing more to increase government investment. But </w:t>
      </w:r>
      <w:r w:rsidR="00532DDB">
        <w:t>close analysis</w:t>
      </w:r>
      <w:r>
        <w:t xml:space="preserve"> </w:t>
      </w:r>
      <w:r w:rsidR="00532DDB">
        <w:t xml:space="preserve">of </w:t>
      </w:r>
      <w:r>
        <w:t xml:space="preserve">the Budget documents </w:t>
      </w:r>
      <w:r w:rsidR="00532DDB">
        <w:t xml:space="preserve">makes </w:t>
      </w:r>
      <w:r>
        <w:t xml:space="preserve">it clear that a third of the extra borrowing </w:t>
      </w:r>
      <w:r w:rsidR="00532DDB">
        <w:t xml:space="preserve">is </w:t>
      </w:r>
      <w:r>
        <w:t>to fund higher day-to-day spending.</w:t>
      </w:r>
    </w:p>
    <w:p w14:paraId="05096A7D" w14:textId="48F1BB05" w:rsidR="00532DDB" w:rsidRDefault="007C1F2A" w:rsidP="00B53646">
      <w:pPr>
        <w:pStyle w:val="BodyBullet"/>
      </w:pPr>
      <w:r w:rsidRPr="007C1F2A">
        <w:rPr>
          <w:b/>
          <w:color w:val="003469"/>
        </w:rPr>
        <w:t>Lack of headroom against future shocks.</w:t>
      </w:r>
      <w:r>
        <w:t xml:space="preserve"> Having adopted looser fiscal rules, we expected the Chancellor to try to mitigate any market concerns about fiscal profligacy by leaving much greater headroom. But in the event, Reeves left </w:t>
      </w:r>
      <w:r w:rsidR="00A95817">
        <w:t>just a £10bn margin for error against the borrowing rule</w:t>
      </w:r>
      <w:r w:rsidR="00532DDB">
        <w:t xml:space="preserve"> –</w:t>
      </w:r>
      <w:r w:rsidR="00A95817">
        <w:t xml:space="preserve"> a </w:t>
      </w:r>
      <w:r w:rsidR="00532DDB">
        <w:t xml:space="preserve">tight </w:t>
      </w:r>
      <w:r w:rsidR="00A95817">
        <w:t xml:space="preserve">leeway </w:t>
      </w:r>
      <w:r w:rsidR="00532DDB">
        <w:t>similar to</w:t>
      </w:r>
      <w:r w:rsidR="00A95817">
        <w:t xml:space="preserve"> recent Conservative Budgets. </w:t>
      </w:r>
    </w:p>
    <w:p w14:paraId="5DB87461" w14:textId="7F52F3ED" w:rsidR="00350231" w:rsidRDefault="00532DDB" w:rsidP="00B53646">
      <w:pPr>
        <w:pStyle w:val="BodyBullet"/>
      </w:pPr>
      <w:r w:rsidRPr="00021BC0">
        <w:rPr>
          <w:b/>
          <w:color w:val="003469"/>
        </w:rPr>
        <w:t>P</w:t>
      </w:r>
      <w:r w:rsidR="00A95817" w:rsidRPr="00021BC0">
        <w:rPr>
          <w:b/>
          <w:color w:val="003469"/>
        </w:rPr>
        <w:t>lenty of scope for borrowing to overshoot.</w:t>
      </w:r>
      <w:r w:rsidR="00A95817">
        <w:t xml:space="preserve"> The revenues to be generated by several of the tax increases are </w:t>
      </w:r>
      <w:r>
        <w:t>far from guaranteed</w:t>
      </w:r>
      <w:r w:rsidR="00A95817">
        <w:t xml:space="preserve">. The OBR's potential output forecasts </w:t>
      </w:r>
      <w:r>
        <w:t xml:space="preserve">are still </w:t>
      </w:r>
      <w:r w:rsidR="00A95817">
        <w:t>relatively bullish. And it will be very challenging to turn the departmental spending totals after 2025-2026 into concrete department-by-department plans when the government publishes next year's spending review</w:t>
      </w:r>
      <w:r>
        <w:t>.</w:t>
      </w:r>
      <w:r w:rsidR="00A95817">
        <w:t xml:space="preserve"> OBR calculations suggest the totals will mean real terms spending for unprotected departments</w:t>
      </w:r>
      <w:r>
        <w:t xml:space="preserve"> will fall</w:t>
      </w:r>
      <w:r w:rsidR="00A95817">
        <w:t>.</w:t>
      </w:r>
    </w:p>
    <w:p w14:paraId="007D91F6" w14:textId="60A4060C" w:rsidR="00A95817" w:rsidRDefault="0040550A" w:rsidP="00A95817">
      <w:r>
        <w:t xml:space="preserve">These valid concerns suggest that </w:t>
      </w:r>
      <w:r w:rsidR="00392AAE">
        <w:t xml:space="preserve">bond spreads </w:t>
      </w:r>
      <w:r w:rsidR="00531A7F" w:rsidRPr="00531A7F">
        <w:t>may remain elevated</w:t>
      </w:r>
      <w:r w:rsidR="00532DDB">
        <w:t xml:space="preserve"> for a while</w:t>
      </w:r>
      <w:r w:rsidR="00392AAE">
        <w:t xml:space="preserve">. But we </w:t>
      </w:r>
      <w:r w:rsidR="00532DDB">
        <w:t xml:space="preserve">believe </w:t>
      </w:r>
      <w:r w:rsidR="00392AAE">
        <w:t xml:space="preserve">the current situation </w:t>
      </w:r>
      <w:r w:rsidR="00532DDB">
        <w:t>is</w:t>
      </w:r>
      <w:r w:rsidR="00392AAE">
        <w:t xml:space="preserve"> very different to 2022, when the </w:t>
      </w:r>
      <w:r w:rsidR="00532DDB">
        <w:t xml:space="preserve">Conservative </w:t>
      </w:r>
      <w:r w:rsidR="00392AAE">
        <w:t xml:space="preserve">government announced large tax cuts funded by extra borrowing </w:t>
      </w:r>
      <w:r w:rsidR="00532DDB">
        <w:t>that</w:t>
      </w:r>
      <w:r w:rsidR="00392AAE">
        <w:t xml:space="preserve"> would have had little obvious impact on the UK's supply potential and were not backed by any </w:t>
      </w:r>
      <w:r w:rsidR="006205BF">
        <w:t>modelling from the OBR.</w:t>
      </w:r>
    </w:p>
    <w:p w14:paraId="13402328" w14:textId="5C65CC7D" w:rsidR="006205BF" w:rsidRDefault="006205BF" w:rsidP="00A95817">
      <w:r>
        <w:t xml:space="preserve">This time around, the government </w:t>
      </w:r>
      <w:r w:rsidR="00DD19B8">
        <w:t xml:space="preserve">has </w:t>
      </w:r>
      <w:r>
        <w:t>committed to a significant</w:t>
      </w:r>
      <w:r w:rsidR="00AA752F">
        <w:t xml:space="preserve"> multi-year</w:t>
      </w:r>
      <w:r>
        <w:t xml:space="preserve"> fiscal consolidation (</w:t>
      </w:r>
      <w:r w:rsidR="00250FD1" w:rsidRPr="00250FD1">
        <w:rPr>
          <w:b/>
          <w:color w:val="003469"/>
        </w:rPr>
        <w:fldChar w:fldCharType="begin"/>
      </w:r>
      <w:r w:rsidR="00250FD1" w:rsidRPr="00250FD1">
        <w:rPr>
          <w:b/>
          <w:color w:val="003469"/>
        </w:rPr>
        <w:instrText xml:space="preserve">REF _Ref181370241 \h \* Charformat </w:instrText>
      </w:r>
      <w:r w:rsidR="00250FD1" w:rsidRPr="00250FD1">
        <w:rPr>
          <w:b/>
          <w:color w:val="003469"/>
        </w:rPr>
      </w:r>
      <w:r w:rsidR="00250FD1" w:rsidRPr="00250FD1">
        <w:rPr>
          <w:b/>
          <w:color w:val="003469"/>
        </w:rPr>
        <w:fldChar w:fldCharType="separate"/>
      </w:r>
      <w:r w:rsidR="00981C57" w:rsidRPr="00981C57">
        <w:rPr>
          <w:b/>
          <w:color w:val="003469"/>
        </w:rPr>
        <w:t>Chart 4</w:t>
      </w:r>
      <w:r w:rsidR="00250FD1" w:rsidRPr="00250FD1">
        <w:rPr>
          <w:b/>
          <w:color w:val="003469"/>
        </w:rPr>
        <w:fldChar w:fldCharType="end"/>
      </w:r>
      <w:r>
        <w:t xml:space="preserve">). </w:t>
      </w:r>
      <w:r w:rsidR="00DD19B8">
        <w:t>In addition</w:t>
      </w:r>
      <w:r>
        <w:t xml:space="preserve">, though policy will be tightened by less than previous plans had implied, the consolidation looks more credible because implausible and unspecified spending cuts have been replaced by more concrete tax increases. </w:t>
      </w:r>
      <w:r w:rsidR="000063E2">
        <w:t xml:space="preserve">The planned switch to a rolling three-year horizon for judging the fiscal rules </w:t>
      </w:r>
      <w:r w:rsidR="00293505">
        <w:t xml:space="preserve">– something that </w:t>
      </w:r>
      <w:hyperlink r:id="rId23" w:history="1">
        <w:r w:rsidR="00293505" w:rsidRPr="00293505">
          <w:rPr>
            <w:rStyle w:val="Hyperlink"/>
          </w:rPr>
          <w:t>we've called for</w:t>
        </w:r>
      </w:hyperlink>
      <w:r w:rsidR="00293505">
        <w:t xml:space="preserve"> over the past few years – </w:t>
      </w:r>
      <w:r w:rsidR="000063E2">
        <w:t xml:space="preserve">should also reinforce the </w:t>
      </w:r>
      <w:r w:rsidR="00DD19B8">
        <w:t xml:space="preserve">credibility of the </w:t>
      </w:r>
      <w:r w:rsidR="000063E2">
        <w:t>government's fiscal plans.</w:t>
      </w:r>
    </w:p>
    <w:p w14:paraId="38F703E8" w14:textId="29DC7C6D" w:rsidR="006205BF" w:rsidRDefault="006205BF" w:rsidP="00E24F6B">
      <w:pPr>
        <w:pStyle w:val="ExhibitTitle"/>
      </w:pPr>
      <w:bookmarkStart w:id="3" w:name="_Ref181370241"/>
      <w:r>
        <w:t xml:space="preserve">Chart </w:t>
      </w:r>
      <w:r>
        <w:fldChar w:fldCharType="begin"/>
      </w:r>
      <w:r w:rsidR="00250FD1">
        <w:instrText>SEQ CHART</w:instrText>
      </w:r>
      <w:r>
        <w:fldChar w:fldCharType="separate"/>
      </w:r>
      <w:r w:rsidR="00981C57">
        <w:rPr>
          <w:noProof/>
        </w:rPr>
        <w:t>4</w:t>
      </w:r>
      <w:r>
        <w:fldChar w:fldCharType="end"/>
      </w:r>
      <w:bookmarkEnd w:id="3"/>
      <w:r>
        <w:t xml:space="preserve">: </w:t>
      </w:r>
      <w:r w:rsidR="000063E2">
        <w:t>The government plan</w:t>
      </w:r>
      <w:r w:rsidR="00DD19B8">
        <w:t>s</w:t>
      </w:r>
      <w:r w:rsidR="000063E2">
        <w:t xml:space="preserve"> </w:t>
      </w:r>
      <w:r w:rsidR="00DD19B8">
        <w:t xml:space="preserve">to </w:t>
      </w:r>
      <w:r w:rsidR="000063E2">
        <w:t xml:space="preserve">tighten fiscal policy </w:t>
      </w:r>
      <w:r w:rsidR="00DD19B8">
        <w:t>significantly</w:t>
      </w:r>
    </w:p>
    <w:p w14:paraId="642AC9D8" w14:textId="6722CB38" w:rsidR="006205BF" w:rsidRDefault="006205BF" w:rsidP="00E24F6B">
      <w:pPr>
        <w:spacing w:after="0"/>
      </w:pPr>
      <w:r>
        <w:rPr>
          <w:noProof/>
        </w:rPr>
        <w:drawing>
          <wp:inline distT="0" distB="0" distL="0" distR="0" wp14:anchorId="3CDB08A6" wp14:editId="57B9BC58">
            <wp:extent cx="3250933" cy="2548068"/>
            <wp:effectExtent l="0" t="0" r="6985" b="5080"/>
            <wp:docPr id="187505156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51564" name=""/>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rcRect b="1886"/>
                    <a:stretch>
                      <a:fillRect/>
                    </a:stretch>
                  </pic:blipFill>
                  <pic:spPr>
                    <a:xfrm>
                      <a:off x="0" y="0"/>
                      <a:ext cx="3250933" cy="2548068"/>
                    </a:xfrm>
                    <a:prstGeom prst="rect">
                      <a:avLst/>
                    </a:prstGeom>
                  </pic:spPr>
                </pic:pic>
              </a:graphicData>
            </a:graphic>
          </wp:inline>
        </w:drawing>
      </w:r>
    </w:p>
    <w:p w14:paraId="2573DF18" w14:textId="13126A24" w:rsidR="006205BF" w:rsidRDefault="006205BF" w:rsidP="00E24F6B">
      <w:pPr>
        <w:pStyle w:val="ExhibitSource"/>
      </w:pPr>
      <w:r>
        <w:t>Source: Office for Budget Responsibility</w:t>
      </w:r>
    </w:p>
    <w:p w14:paraId="4D42D327" w14:textId="501F2BE7" w:rsidR="006205BF" w:rsidRDefault="000716C1" w:rsidP="00A95817">
      <w:r>
        <w:t xml:space="preserve">In media interviews over the past day, </w:t>
      </w:r>
      <w:r w:rsidR="00DD19B8">
        <w:t>Reeves</w:t>
      </w:r>
      <w:r>
        <w:t xml:space="preserve"> has reiterated the importance of fiscal stability. If she makes clear that this includes addressing any slippage against borrowing forecasts with </w:t>
      </w:r>
      <w:r w:rsidR="00DD19B8">
        <w:t>more</w:t>
      </w:r>
      <w:r>
        <w:t xml:space="preserve"> tax hikes</w:t>
      </w:r>
      <w:r w:rsidR="00DD19B8">
        <w:t>,</w:t>
      </w:r>
      <w:r>
        <w:t xml:space="preserve"> that would provide some reassurance</w:t>
      </w:r>
      <w:r w:rsidR="000B72B6">
        <w:t xml:space="preserve"> </w:t>
      </w:r>
      <w:r w:rsidR="00DD19B8">
        <w:t xml:space="preserve">to markets </w:t>
      </w:r>
      <w:r w:rsidR="000B72B6">
        <w:t xml:space="preserve">and </w:t>
      </w:r>
      <w:r w:rsidR="00DD19B8">
        <w:t>defuse</w:t>
      </w:r>
      <w:r w:rsidR="000B72B6">
        <w:t xml:space="preserve"> </w:t>
      </w:r>
      <w:r w:rsidR="00DD19B8">
        <w:t>the impetus for spreads to</w:t>
      </w:r>
      <w:r w:rsidR="000B72B6">
        <w:t xml:space="preserve"> widen</w:t>
      </w:r>
      <w:r>
        <w:t>.</w:t>
      </w:r>
    </w:p>
    <w:sectPr w:rsidR="006205BF" w:rsidSect="00E8448E">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B3D5B" w14:textId="77777777" w:rsidR="007B2D41" w:rsidRDefault="007B2D41" w:rsidP="007B2D41">
      <w:pPr>
        <w:spacing w:before="0" w:after="0"/>
      </w:pPr>
      <w:r>
        <w:separator/>
      </w:r>
    </w:p>
  </w:endnote>
  <w:endnote w:type="continuationSeparator" w:id="0">
    <w:p w14:paraId="31AF77A3" w14:textId="77777777" w:rsidR="007B2D41" w:rsidRDefault="007B2D41" w:rsidP="007B2D4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976E3" w14:textId="5732CBE3" w:rsidR="007B2D41" w:rsidRPr="007B2D41" w:rsidRDefault="007B2D41" w:rsidP="007B2D41">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9CAF6" w14:textId="1E8BC804" w:rsidR="007B2D41" w:rsidRDefault="007B2D41" w:rsidP="007B2D41">
    <w:pPr>
      <w:pStyle w:val="Author"/>
    </w:pPr>
    <w:r>
      <w:t>Andrew Goodwin</w:t>
    </w:r>
    <w:r w:rsidR="00E24F6B">
      <w:t xml:space="preserve"> - </w:t>
    </w:r>
    <w:r>
      <w:t>Chief UK Economist</w:t>
    </w:r>
    <w:r w:rsidR="00E24F6B">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44C02" w14:textId="77777777" w:rsidR="007B2D41" w:rsidRDefault="007B2D41" w:rsidP="007B2D41">
      <w:pPr>
        <w:spacing w:before="0" w:after="0"/>
      </w:pPr>
      <w:r>
        <w:separator/>
      </w:r>
    </w:p>
  </w:footnote>
  <w:footnote w:type="continuationSeparator" w:id="0">
    <w:p w14:paraId="49D8F754" w14:textId="77777777" w:rsidR="007B2D41" w:rsidRDefault="007B2D41" w:rsidP="007B2D4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A6C12" w14:textId="77777777" w:rsidR="007B2D41" w:rsidRDefault="007B2D41">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92711" w14:textId="74838B67" w:rsidR="007B2D41" w:rsidRDefault="007B2D41" w:rsidP="007B2D41">
    <w:pPr>
      <w:pStyle w:val="Headline"/>
      <w:spacing w:before="120"/>
      <w:ind w:right="-1000"/>
    </w:pPr>
    <w:r w:rsidRPr="007B2D41">
      <w:rPr>
        <w:noProof/>
      </w:rPr>
      <w:drawing>
        <wp:anchor distT="0" distB="0" distL="114300" distR="114300" simplePos="0" relativeHeight="251658239" behindDoc="1" locked="1" layoutInCell="1" allowOverlap="1" wp14:anchorId="5585AF34" wp14:editId="1D721F88">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021BC0" w:rsidRPr="00021BC0">
      <w:t>Markets have soured on the Budget, but calm should return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1E367" w14:textId="2E005E68" w:rsidR="007B2D41" w:rsidRDefault="007B2D41" w:rsidP="007B2D41">
    <w:r w:rsidRPr="007B2D41">
      <w:rPr>
        <w:noProof/>
      </w:rPr>
      <w:drawing>
        <wp:anchor distT="0" distB="0" distL="114300" distR="114300" simplePos="0" relativeHeight="251659264" behindDoc="1" locked="1" layoutInCell="1" allowOverlap="1" wp14:anchorId="5F3291B9" wp14:editId="77D067C5">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201055687"/>
      <w:lock w:val="sdtLocked"/>
      <w:placeholder>
        <w:docPart w:val="DefaultPlaceholder_-1854013437"/>
      </w:placeholder>
      <w:date w:fullDate="2024-11-01T00:00:00Z">
        <w:dateFormat w:val="d MMMM yyyy"/>
        <w:lid w:val="en-GB"/>
        <w:storeMappedDataAs w:val="dateTime"/>
        <w:calendar w:val="gregorian"/>
      </w:date>
    </w:sdtPr>
    <w:sdtEndPr/>
    <w:sdtContent>
      <w:p w14:paraId="7F38828B" w14:textId="34E8ABF5" w:rsidR="007B2D41" w:rsidRDefault="007B2D41" w:rsidP="007B2D41">
        <w:pPr>
          <w:pStyle w:val="PublishDate"/>
          <w:framePr w:w="2835" w:h="340" w:hRule="exact" w:hSpace="180" w:wrap="around" w:vAnchor="page" w:hAnchor="page" w:x="7801" w:y="601" w:anchorLock="1"/>
        </w:pPr>
        <w:r>
          <w:t>1 November 2024</w:t>
        </w:r>
      </w:p>
    </w:sdtContent>
  </w:sdt>
  <w:p w14:paraId="39BBC557" w14:textId="3E1B33AC" w:rsidR="007B2D41" w:rsidRDefault="007B2D41" w:rsidP="007B2D41">
    <w:pPr>
      <w:pStyle w:val="ProductDescription"/>
      <w:framePr w:w="11339" w:h="1474" w:hRule="exact" w:hSpace="180" w:wrap="around" w:vAnchor="page" w:hAnchor="page" w:x="401" w:y="1141" w:anchorLock="1"/>
      <w:spacing w:after="200"/>
    </w:pPr>
    <w:r>
      <w:t>Research Briefing | UK</w:t>
    </w:r>
  </w:p>
  <w:p w14:paraId="135BF0B5" w14:textId="458D3E44" w:rsidR="007B2D41" w:rsidRDefault="00021BC0" w:rsidP="007B2D41">
    <w:pPr>
      <w:pStyle w:val="Headline"/>
      <w:framePr w:w="11339" w:h="1474" w:hRule="exact" w:hSpace="180" w:wrap="around" w:vAnchor="page" w:hAnchor="page" w:x="401" w:y="1141" w:anchorLock="1"/>
      <w:spacing w:line="200" w:lineRule="auto"/>
    </w:pPr>
    <w:r w:rsidRPr="00021BC0">
      <w:t>Markets have soured on the Budget, but calm should return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lvlOverride w:ilvl="0">
      <w:startOverride w:val="1"/>
    </w:lvlOverride>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D41"/>
    <w:rsid w:val="00003BA7"/>
    <w:rsid w:val="000063E2"/>
    <w:rsid w:val="00006970"/>
    <w:rsid w:val="00021BC0"/>
    <w:rsid w:val="00022761"/>
    <w:rsid w:val="00023F36"/>
    <w:rsid w:val="00033F4E"/>
    <w:rsid w:val="0005248F"/>
    <w:rsid w:val="00065C3D"/>
    <w:rsid w:val="000716C1"/>
    <w:rsid w:val="000A72A4"/>
    <w:rsid w:val="000A747A"/>
    <w:rsid w:val="000B72B6"/>
    <w:rsid w:val="000C0ADF"/>
    <w:rsid w:val="000D3E43"/>
    <w:rsid w:val="000E2BD3"/>
    <w:rsid w:val="000F3F52"/>
    <w:rsid w:val="001018E9"/>
    <w:rsid w:val="00120D7A"/>
    <w:rsid w:val="00124E58"/>
    <w:rsid w:val="00160F71"/>
    <w:rsid w:val="0016316B"/>
    <w:rsid w:val="001673C0"/>
    <w:rsid w:val="0017078A"/>
    <w:rsid w:val="00175816"/>
    <w:rsid w:val="00192CDF"/>
    <w:rsid w:val="001A5775"/>
    <w:rsid w:val="001A6993"/>
    <w:rsid w:val="001A749F"/>
    <w:rsid w:val="001B2B67"/>
    <w:rsid w:val="001B2C32"/>
    <w:rsid w:val="001D3D58"/>
    <w:rsid w:val="001D7057"/>
    <w:rsid w:val="001E0785"/>
    <w:rsid w:val="001E0C4A"/>
    <w:rsid w:val="001F3317"/>
    <w:rsid w:val="001F4EBE"/>
    <w:rsid w:val="00242E5E"/>
    <w:rsid w:val="00250FD1"/>
    <w:rsid w:val="0025790A"/>
    <w:rsid w:val="002615F6"/>
    <w:rsid w:val="00262D94"/>
    <w:rsid w:val="00263E48"/>
    <w:rsid w:val="00264573"/>
    <w:rsid w:val="0027176B"/>
    <w:rsid w:val="002745D6"/>
    <w:rsid w:val="00282A8A"/>
    <w:rsid w:val="00286754"/>
    <w:rsid w:val="00293505"/>
    <w:rsid w:val="0029566B"/>
    <w:rsid w:val="002D0DC9"/>
    <w:rsid w:val="003017D9"/>
    <w:rsid w:val="0031169C"/>
    <w:rsid w:val="00316CBE"/>
    <w:rsid w:val="00350231"/>
    <w:rsid w:val="00370974"/>
    <w:rsid w:val="00374017"/>
    <w:rsid w:val="00374E02"/>
    <w:rsid w:val="00392AAE"/>
    <w:rsid w:val="003A4EAD"/>
    <w:rsid w:val="003B0CAB"/>
    <w:rsid w:val="003B715A"/>
    <w:rsid w:val="003E7F3C"/>
    <w:rsid w:val="003F0F4E"/>
    <w:rsid w:val="0040359C"/>
    <w:rsid w:val="0040550A"/>
    <w:rsid w:val="00405A12"/>
    <w:rsid w:val="00405D65"/>
    <w:rsid w:val="004258C9"/>
    <w:rsid w:val="004349AE"/>
    <w:rsid w:val="004458BB"/>
    <w:rsid w:val="004602D9"/>
    <w:rsid w:val="0046292D"/>
    <w:rsid w:val="004677EA"/>
    <w:rsid w:val="00472F82"/>
    <w:rsid w:val="004827E3"/>
    <w:rsid w:val="00495DE7"/>
    <w:rsid w:val="004A2A92"/>
    <w:rsid w:val="004B4F66"/>
    <w:rsid w:val="004C7923"/>
    <w:rsid w:val="004D473F"/>
    <w:rsid w:val="004D5B83"/>
    <w:rsid w:val="004D650E"/>
    <w:rsid w:val="004F2AA5"/>
    <w:rsid w:val="005176F2"/>
    <w:rsid w:val="00531A7F"/>
    <w:rsid w:val="00532DDB"/>
    <w:rsid w:val="00535C71"/>
    <w:rsid w:val="005414BA"/>
    <w:rsid w:val="0054280C"/>
    <w:rsid w:val="005473C6"/>
    <w:rsid w:val="00556FCD"/>
    <w:rsid w:val="00563FEB"/>
    <w:rsid w:val="005674BA"/>
    <w:rsid w:val="00576CB8"/>
    <w:rsid w:val="00592138"/>
    <w:rsid w:val="005F0616"/>
    <w:rsid w:val="006125A3"/>
    <w:rsid w:val="006166EE"/>
    <w:rsid w:val="006205BF"/>
    <w:rsid w:val="00671564"/>
    <w:rsid w:val="00671973"/>
    <w:rsid w:val="0067266C"/>
    <w:rsid w:val="006739BF"/>
    <w:rsid w:val="0067595A"/>
    <w:rsid w:val="006A1630"/>
    <w:rsid w:val="006A676D"/>
    <w:rsid w:val="006B76A5"/>
    <w:rsid w:val="006C7C06"/>
    <w:rsid w:val="006F33C6"/>
    <w:rsid w:val="006F60F1"/>
    <w:rsid w:val="007723AE"/>
    <w:rsid w:val="007A0F18"/>
    <w:rsid w:val="007B2D41"/>
    <w:rsid w:val="007B57CD"/>
    <w:rsid w:val="007C1F2A"/>
    <w:rsid w:val="007D21A8"/>
    <w:rsid w:val="007E32B7"/>
    <w:rsid w:val="007F5D5D"/>
    <w:rsid w:val="00847933"/>
    <w:rsid w:val="00847C7F"/>
    <w:rsid w:val="00855D68"/>
    <w:rsid w:val="0086090E"/>
    <w:rsid w:val="00874B7C"/>
    <w:rsid w:val="0088104D"/>
    <w:rsid w:val="0088455B"/>
    <w:rsid w:val="00892FE7"/>
    <w:rsid w:val="008C692A"/>
    <w:rsid w:val="008D2E42"/>
    <w:rsid w:val="008D4F08"/>
    <w:rsid w:val="008E11F0"/>
    <w:rsid w:val="008E721D"/>
    <w:rsid w:val="008F1A70"/>
    <w:rsid w:val="00920D15"/>
    <w:rsid w:val="009303B6"/>
    <w:rsid w:val="009334CF"/>
    <w:rsid w:val="00933B30"/>
    <w:rsid w:val="009634AC"/>
    <w:rsid w:val="00963AA5"/>
    <w:rsid w:val="00981C57"/>
    <w:rsid w:val="00995E6B"/>
    <w:rsid w:val="009B723B"/>
    <w:rsid w:val="009C7C16"/>
    <w:rsid w:val="009E07F1"/>
    <w:rsid w:val="009E5F70"/>
    <w:rsid w:val="009F37D1"/>
    <w:rsid w:val="009F3F01"/>
    <w:rsid w:val="00A25234"/>
    <w:rsid w:val="00A31B1B"/>
    <w:rsid w:val="00A332D4"/>
    <w:rsid w:val="00A34FB1"/>
    <w:rsid w:val="00A50835"/>
    <w:rsid w:val="00A52669"/>
    <w:rsid w:val="00A576A0"/>
    <w:rsid w:val="00A63323"/>
    <w:rsid w:val="00A66B32"/>
    <w:rsid w:val="00A77085"/>
    <w:rsid w:val="00A9430E"/>
    <w:rsid w:val="00A95817"/>
    <w:rsid w:val="00AA752F"/>
    <w:rsid w:val="00AB24B7"/>
    <w:rsid w:val="00AB6B99"/>
    <w:rsid w:val="00AC338F"/>
    <w:rsid w:val="00AD07ED"/>
    <w:rsid w:val="00AD6900"/>
    <w:rsid w:val="00AE76E6"/>
    <w:rsid w:val="00B04E07"/>
    <w:rsid w:val="00B16B5A"/>
    <w:rsid w:val="00B5234C"/>
    <w:rsid w:val="00B53646"/>
    <w:rsid w:val="00B7343B"/>
    <w:rsid w:val="00B846EA"/>
    <w:rsid w:val="00B910EA"/>
    <w:rsid w:val="00B935F0"/>
    <w:rsid w:val="00BB6195"/>
    <w:rsid w:val="00BD3D30"/>
    <w:rsid w:val="00BE0205"/>
    <w:rsid w:val="00BE1485"/>
    <w:rsid w:val="00BE3ADC"/>
    <w:rsid w:val="00BF6A2A"/>
    <w:rsid w:val="00C11EEB"/>
    <w:rsid w:val="00C17065"/>
    <w:rsid w:val="00C65A69"/>
    <w:rsid w:val="00C72052"/>
    <w:rsid w:val="00C75153"/>
    <w:rsid w:val="00C76458"/>
    <w:rsid w:val="00C84AD7"/>
    <w:rsid w:val="00C90D41"/>
    <w:rsid w:val="00C92407"/>
    <w:rsid w:val="00C93538"/>
    <w:rsid w:val="00C9768F"/>
    <w:rsid w:val="00CA4BF3"/>
    <w:rsid w:val="00CB23EC"/>
    <w:rsid w:val="00CB7716"/>
    <w:rsid w:val="00CC3321"/>
    <w:rsid w:val="00CE3160"/>
    <w:rsid w:val="00D01AEE"/>
    <w:rsid w:val="00D379EC"/>
    <w:rsid w:val="00D44219"/>
    <w:rsid w:val="00D645EE"/>
    <w:rsid w:val="00D82250"/>
    <w:rsid w:val="00DB0BE6"/>
    <w:rsid w:val="00DC1271"/>
    <w:rsid w:val="00DC3095"/>
    <w:rsid w:val="00DC3B6C"/>
    <w:rsid w:val="00DD19B8"/>
    <w:rsid w:val="00DE568D"/>
    <w:rsid w:val="00DF68CB"/>
    <w:rsid w:val="00DF73F9"/>
    <w:rsid w:val="00E10235"/>
    <w:rsid w:val="00E213A8"/>
    <w:rsid w:val="00E23560"/>
    <w:rsid w:val="00E24F6B"/>
    <w:rsid w:val="00E34DC8"/>
    <w:rsid w:val="00E43376"/>
    <w:rsid w:val="00E529EB"/>
    <w:rsid w:val="00E65A64"/>
    <w:rsid w:val="00E8448E"/>
    <w:rsid w:val="00E87D6D"/>
    <w:rsid w:val="00EA0803"/>
    <w:rsid w:val="00EA2025"/>
    <w:rsid w:val="00EB7050"/>
    <w:rsid w:val="00EC2D9B"/>
    <w:rsid w:val="00EC7E38"/>
    <w:rsid w:val="00ED1EA6"/>
    <w:rsid w:val="00ED615F"/>
    <w:rsid w:val="00ED6FF0"/>
    <w:rsid w:val="00EE67B1"/>
    <w:rsid w:val="00F2643F"/>
    <w:rsid w:val="00F46EDB"/>
    <w:rsid w:val="00F52C66"/>
    <w:rsid w:val="00F72F2A"/>
    <w:rsid w:val="00FA4AB0"/>
    <w:rsid w:val="00FC1EA7"/>
    <w:rsid w:val="00FE0EF6"/>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6D92764D"/>
  <w15:chartTrackingRefBased/>
  <w15:docId w15:val="{9AF52745-D507-47DD-A339-F2F601E8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D41"/>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7B2D41"/>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7B2D41"/>
    <w:pPr>
      <w:outlineLvl w:val="1"/>
    </w:pPr>
    <w:rPr>
      <w:sz w:val="28"/>
    </w:rPr>
  </w:style>
  <w:style w:type="paragraph" w:styleId="Heading3">
    <w:name w:val="heading 3"/>
    <w:basedOn w:val="Normal"/>
    <w:next w:val="Normal"/>
    <w:link w:val="Heading3Char"/>
    <w:uiPriority w:val="9"/>
    <w:unhideWhenUsed/>
    <w:qFormat/>
    <w:rsid w:val="007B2D41"/>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7B2D41"/>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7B2D4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7B2D4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7B2D4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7B2D4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7B2D4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7B2D41"/>
    <w:pPr>
      <w:tabs>
        <w:tab w:val="center" w:pos="4320"/>
        <w:tab w:val="right" w:pos="8640"/>
      </w:tabs>
    </w:pPr>
  </w:style>
  <w:style w:type="character" w:customStyle="1" w:styleId="HeaderChar">
    <w:name w:val="Header Char"/>
    <w:basedOn w:val="DefaultParagraphFont"/>
    <w:link w:val="Header"/>
    <w:uiPriority w:val="99"/>
    <w:rsid w:val="007B2D41"/>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7B2D41"/>
    <w:pPr>
      <w:tabs>
        <w:tab w:val="center" w:pos="4320"/>
        <w:tab w:val="right" w:pos="8640"/>
      </w:tabs>
    </w:pPr>
  </w:style>
  <w:style w:type="character" w:customStyle="1" w:styleId="FooterChar">
    <w:name w:val="Footer Char"/>
    <w:basedOn w:val="DefaultParagraphFont"/>
    <w:link w:val="Footer"/>
    <w:uiPriority w:val="99"/>
    <w:rsid w:val="007B2D41"/>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7B2D41"/>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7B2D41"/>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7B2D41"/>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7B2D41"/>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7B2D41"/>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7B2D41"/>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7B2D41"/>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7B2D41"/>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7B2D41"/>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7B2D41"/>
    <w:rPr>
      <w:noProof w:val="0"/>
    </w:rPr>
  </w:style>
  <w:style w:type="character" w:styleId="Hyperlink">
    <w:name w:val="Hyperlink"/>
    <w:basedOn w:val="DefaultParagraphFont"/>
    <w:uiPriority w:val="99"/>
    <w:unhideWhenUsed/>
    <w:rsid w:val="007B2D41"/>
    <w:rPr>
      <w:noProof w:val="0"/>
      <w:color w:val="0563C1" w:themeColor="hyperlink"/>
      <w:u w:val="single"/>
    </w:rPr>
  </w:style>
  <w:style w:type="paragraph" w:styleId="ListParagraph">
    <w:name w:val="List Paragraph"/>
    <w:next w:val="Normal"/>
    <w:link w:val="ListParagraphChar"/>
    <w:uiPriority w:val="34"/>
    <w:locked/>
    <w:rsid w:val="007B2D41"/>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7B2D41"/>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7B2D41"/>
    <w:pPr>
      <w:spacing w:after="120"/>
    </w:pPr>
    <w:rPr>
      <w:b/>
      <w:bCs/>
      <w:color w:val="FFFFFF"/>
      <w:sz w:val="32"/>
      <w:szCs w:val="32"/>
    </w:rPr>
  </w:style>
  <w:style w:type="paragraph" w:customStyle="1" w:styleId="Headline">
    <w:name w:val="Headline"/>
    <w:basedOn w:val="Normal"/>
    <w:next w:val="Normal"/>
    <w:link w:val="HeadlineChar"/>
    <w:qFormat/>
    <w:rsid w:val="007B2D41"/>
    <w:rPr>
      <w:rFonts w:ascii="Segoe UI Semilight" w:hAnsi="Segoe UI Semilight" w:cs="Segoe UI Semilight"/>
      <w:b/>
      <w:bCs/>
      <w:color w:val="FFFFFF"/>
      <w:sz w:val="40"/>
      <w:szCs w:val="40"/>
    </w:rPr>
  </w:style>
  <w:style w:type="paragraph" w:customStyle="1" w:styleId="ExhibitTitle">
    <w:name w:val="Exhibit Title"/>
    <w:basedOn w:val="Normal"/>
    <w:qFormat/>
    <w:rsid w:val="007B2D41"/>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7B2D41"/>
    <w:pPr>
      <w:shd w:val="clear" w:color="auto" w:fill="D6E2FA"/>
      <w:spacing w:after="0"/>
    </w:pPr>
    <w:rPr>
      <w:color w:val="595959" w:themeColor="text1" w:themeTint="A6"/>
      <w:sz w:val="18"/>
    </w:rPr>
  </w:style>
  <w:style w:type="paragraph" w:customStyle="1" w:styleId="ExhibitSource">
    <w:name w:val="Exhibit Source"/>
    <w:next w:val="Normal"/>
    <w:qFormat/>
    <w:rsid w:val="007B2D41"/>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7B2D41"/>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7B2D41"/>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7B2D41"/>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7B2D41"/>
    <w:pPr>
      <w:ind w:left="862" w:right="862"/>
      <w:jc w:val="center"/>
    </w:pPr>
    <w:rPr>
      <w:i/>
      <w:iCs/>
      <w:color w:val="404040" w:themeColor="text1" w:themeTint="BF"/>
    </w:rPr>
  </w:style>
  <w:style w:type="character" w:customStyle="1" w:styleId="QuoteChar">
    <w:name w:val="Quote Char"/>
    <w:basedOn w:val="DefaultParagraphFont"/>
    <w:link w:val="Quote"/>
    <w:uiPriority w:val="29"/>
    <w:rsid w:val="007B2D41"/>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7B2D41"/>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7B2D41"/>
    <w:rPr>
      <w:rFonts w:ascii="Segoe UI" w:hAnsi="Segoe UI" w:cs="Segoe UI"/>
      <w:noProof w:val="0"/>
      <w:color w:val="000000" w:themeColor="text1"/>
    </w:rPr>
  </w:style>
  <w:style w:type="paragraph" w:customStyle="1" w:styleId="Summary">
    <w:name w:val="Summary"/>
    <w:basedOn w:val="Normal"/>
    <w:link w:val="SummaryChar"/>
    <w:qFormat/>
    <w:rsid w:val="007B2D41"/>
    <w:pPr>
      <w:numPr>
        <w:numId w:val="1"/>
      </w:numPr>
      <w:ind w:left="1797" w:hanging="357"/>
    </w:pPr>
    <w:rPr>
      <w:kern w:val="2"/>
      <w:sz w:val="22"/>
      <w14:ligatures w14:val="standardContextual"/>
    </w:rPr>
  </w:style>
  <w:style w:type="paragraph" w:customStyle="1" w:styleId="TableData">
    <w:name w:val="Table Data"/>
    <w:link w:val="TableDataChar"/>
    <w:qFormat/>
    <w:rsid w:val="007B2D41"/>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7B2D41"/>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7B2D41"/>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7B2D41"/>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7B2D41"/>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7B2D41"/>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7B2D41"/>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7B2D41"/>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7B2D41"/>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7B2D41"/>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7B2D41"/>
    <w:rPr>
      <w:color w:val="003469"/>
    </w:rPr>
  </w:style>
  <w:style w:type="character" w:customStyle="1" w:styleId="RepeatingFooterChar">
    <w:name w:val="Repeating Footer Char"/>
    <w:basedOn w:val="FooterChar"/>
    <w:link w:val="RepeatingFooter"/>
    <w:rsid w:val="007B2D41"/>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7B2D41"/>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7B2D41"/>
    <w:rPr>
      <w:b/>
      <w:bCs/>
      <w:noProof w:val="0"/>
    </w:rPr>
  </w:style>
  <w:style w:type="character" w:customStyle="1" w:styleId="Italics">
    <w:name w:val="Italics"/>
    <w:uiPriority w:val="1"/>
    <w:qFormat/>
    <w:rsid w:val="007B2D41"/>
    <w:rPr>
      <w:i/>
      <w:iCs/>
      <w:noProof w:val="0"/>
    </w:rPr>
  </w:style>
  <w:style w:type="table" w:customStyle="1" w:styleId="TableGridHeader">
    <w:name w:val="Table Grid Header"/>
    <w:basedOn w:val="TableNormal"/>
    <w:uiPriority w:val="99"/>
    <w:rsid w:val="007B2D41"/>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svg"/><Relationship Id="rId7" Type="http://schemas.openxmlformats.org/officeDocument/2006/relationships/webSettings" Target="webSettings.xml"/><Relationship Id="rId12" Type="http://schemas.openxmlformats.org/officeDocument/2006/relationships/image" Target="media/image2.svg"/><Relationship Id="rId17" Type="http://schemas.openxmlformats.org/officeDocument/2006/relationships/footer" Target="footer2.xml"/><Relationship Id="rId25" Type="http://schemas.openxmlformats.org/officeDocument/2006/relationships/image" Target="media/image10.sv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9.png"/><Relationship Id="rId5" Type="http://schemas.openxmlformats.org/officeDocument/2006/relationships/styles" Target="styles.xml"/><Relationship Id="rId15" Type="http://schemas.openxmlformats.org/officeDocument/2006/relationships/footer" Target="footer1.xml"/><Relationship Id="rId23" Type="http://schemas.openxmlformats.org/officeDocument/2006/relationships/hyperlink" Target="https://my.oxfordeconomics.com/reports/93633b6d67E24d1cb194ae" TargetMode="External"/><Relationship Id="rId28" Type="http://schemas.openxmlformats.org/officeDocument/2006/relationships/theme" Target="theme/theme1.xml"/><Relationship Id="rId10" Type="http://schemas.openxmlformats.org/officeDocument/2006/relationships/hyperlink" Target="https://my.oxfordeconomics.com/reports/6558E9Db95634cBc81c2d2" TargetMode="External"/><Relationship Id="rId19" Type="http://schemas.openxmlformats.org/officeDocument/2006/relationships/image" Target="media/image6.sv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hyperlink" Target="https://my.oxfordeconomics.com/reports/c6f042Aa3d3E46108A024b" TargetMode="Externa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938D9983-5FA2-4231-ABA2-EF3AC71D09BA}"/>
      </w:docPartPr>
      <w:docPartBody>
        <w:p w:rsidR="00326EF1" w:rsidRDefault="00326EF1">
          <w:r w:rsidRPr="002C74CA">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EF1"/>
    <w:rsid w:val="00326E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3B72D4B8-8914-4973-BE3D-D4D1571F62B6}">
  <ds:schemaRefs>
    <ds:schemaRef ds:uri="http://schemas.microsoft.com/sharepoint/v3/contenttype/forms"/>
  </ds:schemaRefs>
</ds:datastoreItem>
</file>

<file path=customXml/itemProps2.xml><?xml version="1.0" encoding="utf-8"?>
<ds:datastoreItem xmlns:ds="http://schemas.openxmlformats.org/officeDocument/2006/customXml" ds:itemID="{12E37EFA-79BE-46E3-92BF-685FF6F0E5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E8EBDD-E189-4CDB-9ADE-218B52A3429C}">
  <ds:schemaRefs>
    <ds:schemaRef ds:uri="6c77b332-7df6-4eff-997f-266963d55fc4"/>
    <ds:schemaRef ds:uri="http://schemas.microsoft.com/office/2006/documentManagement/types"/>
    <ds:schemaRef ds:uri="http://schemas.microsoft.com/office/infopath/2007/PartnerControls"/>
    <ds:schemaRef ds:uri="http://www.w3.org/XML/1998/namespace"/>
    <ds:schemaRef ds:uri="http://purl.org/dc/elements/1.1/"/>
    <ds:schemaRef ds:uri="http://purl.org/dc/dcmitype/"/>
    <ds:schemaRef ds:uri="http://schemas.openxmlformats.org/package/2006/metadata/core-properties"/>
    <ds:schemaRef ds:uri="6ec33f61-c765-4e3b-9958-53c32fd1fd0b"/>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1092</Words>
  <Characters>5803</Characters>
  <Application>Microsoft Office Word</Application>
  <DocSecurity>0</DocSecurity>
  <Lines>85</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15</cp:revision>
  <dcterms:created xsi:type="dcterms:W3CDTF">2024-11-01T16:06:00Z</dcterms:created>
  <dcterms:modified xsi:type="dcterms:W3CDTF">2024-11-01T16:28:00Z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v0.8.0.8</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2024-11-01T16:16:59.000Z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v0.8.0.8</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Briefing\20241101 RB UK Markets &amp; the Budget - Charts.xlsx,Z:\UK Team\Data\Market interest rate expectations.xlsx,Z:\UK Team\Presentations\Charts files\20241101 AG &amp; EA Post-Budget webinar.xlsx</vt:lpwstr>
  </property>
  <property fmtid="{D5CDD505-2E9C-101B-9397-08002B2CF9AE}" pid="15" name="ContentTypeId">
    <vt:lpwstr>0x01010009401BB7205AF745BAD4FA98BDE0B98F</vt:lpwstr>
  </property>
  <property fmtid="{D5CDD505-2E9C-101B-9397-08002B2CF9AE}" pid="16" name="OEP_CATEGORIES">
    <vt:lpwstr>AnalysisbyRegion-Europe-UnitedKingdom,Macro-ResearchBriefings-UnitedKingdom</vt:lpwstr>
  </property>
  <property fmtid="{D5CDD505-2E9C-101B-9397-08002B2CF9AE}" pid="17" name="OEP_TAGS">
    <vt:lpwstr>Key Themes:fiscal policy,financial markets,interest rates,monetary policy</vt:lpwstr>
  </property>
  <property fmtid="{D5CDD505-2E9C-101B-9397-08002B2CF9AE}" pid="18" name="OEP_PRODUCT_CODE">
    <vt:lpwstr>59bA3e7d34694340b809c0</vt:lpwstr>
  </property>
  <property fmtid="{D5CDD505-2E9C-101B-9397-08002B2CF9AE}" pid="19" name="OEP_PUBLISH_DATE">
    <vt:lpwstr/>
  </property>
</Properties>
</file>