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467B8" w14:textId="1A6ECB08" w:rsidR="00C3039B" w:rsidRDefault="00232F7D" w:rsidP="00232F7D">
      <w:pPr>
        <w:pStyle w:val="Bullet"/>
      </w:pPr>
      <w:r w:rsidRPr="00232F7D">
        <w:t xml:space="preserve">The Monetary Policy Committee voted </w:t>
      </w:r>
      <w:r w:rsidR="00891E7C">
        <w:t xml:space="preserve">8-1 </w:t>
      </w:r>
      <w:r w:rsidRPr="00232F7D">
        <w:t xml:space="preserve">to cut Bank Rate by 25bps to </w:t>
      </w:r>
      <w:r>
        <w:t>4.7</w:t>
      </w:r>
      <w:r w:rsidRPr="00232F7D">
        <w:t xml:space="preserve">5% at its </w:t>
      </w:r>
      <w:r>
        <w:t xml:space="preserve">November </w:t>
      </w:r>
      <w:r w:rsidRPr="00232F7D">
        <w:t>meeting. The MPC</w:t>
      </w:r>
      <w:r>
        <w:t xml:space="preserve"> maintained it</w:t>
      </w:r>
      <w:r w:rsidRPr="00232F7D">
        <w:t xml:space="preserve">s core message that rates will </w:t>
      </w:r>
      <w:r>
        <w:t>b</w:t>
      </w:r>
      <w:r w:rsidRPr="00232F7D">
        <w:t xml:space="preserve">e cut </w:t>
      </w:r>
      <w:r>
        <w:t>a</w:t>
      </w:r>
      <w:r w:rsidRPr="00232F7D">
        <w:t xml:space="preserve">t a </w:t>
      </w:r>
      <w:r w:rsidR="00891E7C">
        <w:t>gradual</w:t>
      </w:r>
      <w:r w:rsidRPr="00232F7D">
        <w:t xml:space="preserve"> pace</w:t>
      </w:r>
      <w:r w:rsidR="0000151E">
        <w:t xml:space="preserve">, and we </w:t>
      </w:r>
      <w:r w:rsidR="00BE1DE5">
        <w:t xml:space="preserve">will stick with our forecast that </w:t>
      </w:r>
      <w:r w:rsidR="0000151E">
        <w:t xml:space="preserve">the 'cut-hold' tempo </w:t>
      </w:r>
      <w:r w:rsidR="004F11CC">
        <w:t xml:space="preserve">will be maintained </w:t>
      </w:r>
      <w:r w:rsidR="0000151E">
        <w:t>in the near-term</w:t>
      </w:r>
      <w:r w:rsidR="00C3039B">
        <w:t>.</w:t>
      </w:r>
    </w:p>
    <w:p w14:paraId="63BF76E6" w14:textId="2312543A" w:rsidR="00891E7C" w:rsidRDefault="0021144C" w:rsidP="00C3039B">
      <w:pPr>
        <w:pStyle w:val="Bullet"/>
      </w:pPr>
      <w:r>
        <w:t xml:space="preserve">Market expectations for Bank Rate at end-2025 have risen by nearly 50bps since the MPC's forecast was locked, reflecting the impacts of the </w:t>
      </w:r>
      <w:r w:rsidR="004F11CC">
        <w:t xml:space="preserve">October </w:t>
      </w:r>
      <w:r>
        <w:t xml:space="preserve">Budget and US election. </w:t>
      </w:r>
      <w:r w:rsidR="00C17C99">
        <w:t>But with the MPC forecasting 2% inflation over the medium-term, its</w:t>
      </w:r>
      <w:r w:rsidR="00891E7C">
        <w:t xml:space="preserve"> </w:t>
      </w:r>
      <w:r w:rsidR="00C17C99" w:rsidRPr="00C17C99">
        <w:t xml:space="preserve">implicit message is that if the </w:t>
      </w:r>
      <w:r w:rsidR="00C17C99">
        <w:t>outlook</w:t>
      </w:r>
      <w:r w:rsidR="00C17C99" w:rsidRPr="00C17C99">
        <w:t xml:space="preserve"> </w:t>
      </w:r>
      <w:r w:rsidR="00C17C99">
        <w:t xml:space="preserve">turns out </w:t>
      </w:r>
      <w:r w:rsidR="00C17C99" w:rsidRPr="00C17C99">
        <w:t>roughly as expected, rates will probably fall faster than current market pricing implies</w:t>
      </w:r>
      <w:r w:rsidR="00C17C99">
        <w:t>.</w:t>
      </w:r>
    </w:p>
    <w:p w14:paraId="4B76029B" w14:textId="5FFF8720" w:rsidR="00C17C99" w:rsidRDefault="00C17C99" w:rsidP="00C3039B">
      <w:pPr>
        <w:pStyle w:val="Bullet"/>
      </w:pPr>
      <w:r>
        <w:t xml:space="preserve">We maintain our baseline forecast that the MPC will cut Bank Rate by 100bps in 2025. This is the same pace implied </w:t>
      </w:r>
      <w:r w:rsidR="004F11CC">
        <w:t xml:space="preserve">by </w:t>
      </w:r>
      <w:r>
        <w:t xml:space="preserve">the market curve underpinning the </w:t>
      </w:r>
      <w:r w:rsidR="00F66A63">
        <w:t>MPC's</w:t>
      </w:r>
      <w:r>
        <w:t xml:space="preserve"> inflation forecast.</w:t>
      </w:r>
    </w:p>
    <w:p w14:paraId="15D4695F" w14:textId="33673A9C" w:rsidR="00C3039B" w:rsidRDefault="00C17C99" w:rsidP="00C3039B">
      <w:pPr>
        <w:pStyle w:val="Bullet"/>
      </w:pPr>
      <w:r>
        <w:t xml:space="preserve">The medium-term outlook </w:t>
      </w:r>
      <w:r w:rsidR="008427BA">
        <w:t xml:space="preserve">for rates </w:t>
      </w:r>
      <w:r>
        <w:t xml:space="preserve">is more uncertain. </w:t>
      </w:r>
      <w:r w:rsidR="00B20904">
        <w:t xml:space="preserve">We see a risk that a more volatile global backdrop </w:t>
      </w:r>
      <w:r w:rsidR="004F11CC">
        <w:t xml:space="preserve">will lift </w:t>
      </w:r>
      <w:r w:rsidR="00B20904">
        <w:t>inflation expectations</w:t>
      </w:r>
      <w:r w:rsidR="004F11CC">
        <w:t>,</w:t>
      </w:r>
      <w:r w:rsidR="00B20904">
        <w:t xml:space="preserve"> impl</w:t>
      </w:r>
      <w:r w:rsidR="004F11CC">
        <w:t>ying</w:t>
      </w:r>
      <w:r w:rsidR="00B20904">
        <w:t xml:space="preserve"> </w:t>
      </w:r>
      <w:r>
        <w:t xml:space="preserve">Bank Rate </w:t>
      </w:r>
      <w:r w:rsidR="004F11CC">
        <w:t xml:space="preserve">will </w:t>
      </w:r>
      <w:r>
        <w:t>stay higher for longer</w:t>
      </w:r>
      <w:r w:rsidR="00B20904">
        <w:t>.</w:t>
      </w:r>
    </w:p>
    <w:p w14:paraId="63DC2DA8" w14:textId="1A402E8B" w:rsidR="00601AE3" w:rsidRDefault="005C6C31" w:rsidP="00C3039B">
      <w:r w:rsidRPr="005C6C31">
        <w:t xml:space="preserve">The Bank of England's Monetary Policy Committee voted </w:t>
      </w:r>
      <w:r>
        <w:t>8-1</w:t>
      </w:r>
      <w:r w:rsidRPr="005C6C31">
        <w:t xml:space="preserve"> to cut Bank Rate by 25bps to </w:t>
      </w:r>
      <w:r>
        <w:t>4.7</w:t>
      </w:r>
      <w:r w:rsidRPr="005C6C31">
        <w:t>5% at today's meeting</w:t>
      </w:r>
      <w:r w:rsidR="00C3039B">
        <w:t xml:space="preserve">. </w:t>
      </w:r>
      <w:r>
        <w:t xml:space="preserve">When the committee </w:t>
      </w:r>
      <w:r w:rsidR="00DC2036">
        <w:t xml:space="preserve">first </w:t>
      </w:r>
      <w:r>
        <w:t xml:space="preserve">cut </w:t>
      </w:r>
      <w:r w:rsidR="00DC2036">
        <w:t xml:space="preserve">rates </w:t>
      </w:r>
      <w:r>
        <w:t>in August, Huw Pill and Megan Greene joined Catherine Mann in voting against. But today Pill and Greene joined the majority</w:t>
      </w:r>
      <w:r w:rsidR="00DC2036">
        <w:t xml:space="preserve"> in supporting looser policy</w:t>
      </w:r>
      <w:r>
        <w:t>.</w:t>
      </w:r>
    </w:p>
    <w:p w14:paraId="1D4178AD" w14:textId="62B10B6F" w:rsidR="00A3721F" w:rsidRDefault="00DC2036" w:rsidP="00601AE3">
      <w:r>
        <w:t xml:space="preserve">The MPC again set out </w:t>
      </w:r>
      <w:hyperlink r:id="rId10" w:history="1">
        <w:r w:rsidRPr="00CA7099">
          <w:rPr>
            <w:rStyle w:val="Hyperlink"/>
          </w:rPr>
          <w:t>three scenarios</w:t>
        </w:r>
      </w:hyperlink>
      <w:r>
        <w:t xml:space="preserve"> with varying degrees of inflation persistence. </w:t>
      </w:r>
      <w:r w:rsidR="00B679CA">
        <w:t xml:space="preserve">For the first time, the MPC explicitly tied </w:t>
      </w:r>
      <w:r w:rsidR="004F11CC">
        <w:t xml:space="preserve">its </w:t>
      </w:r>
      <w:r w:rsidR="00B679CA">
        <w:t>central forecast</w:t>
      </w:r>
      <w:r>
        <w:t xml:space="preserve"> </w:t>
      </w:r>
      <w:r w:rsidR="00B679CA">
        <w:t xml:space="preserve">to </w:t>
      </w:r>
      <w:r>
        <w:t>the mid-range scenario</w:t>
      </w:r>
      <w:r w:rsidR="00B679CA">
        <w:t xml:space="preserve">, </w:t>
      </w:r>
      <w:r>
        <w:t xml:space="preserve">which </w:t>
      </w:r>
      <w:r w:rsidR="004F11CC">
        <w:t xml:space="preserve">assumes the </w:t>
      </w:r>
      <w:r>
        <w:t>second</w:t>
      </w:r>
      <w:r w:rsidR="004F11CC">
        <w:t>-</w:t>
      </w:r>
      <w:r>
        <w:t xml:space="preserve">round effects on domestic prices and wages </w:t>
      </w:r>
      <w:r w:rsidR="004F11CC">
        <w:t xml:space="preserve">dissipate </w:t>
      </w:r>
      <w:r>
        <w:t xml:space="preserve">more slowly than they emerged. </w:t>
      </w:r>
      <w:r w:rsidR="00D267E7">
        <w:t>Th</w:t>
      </w:r>
      <w:r w:rsidR="00B679CA">
        <w:t xml:space="preserve">is </w:t>
      </w:r>
      <w:r w:rsidR="00D267E7">
        <w:t>forecast shows CPI inflation dropping back to the 2% target over the medium-term (</w:t>
      </w:r>
      <w:r w:rsidR="00C906C8" w:rsidRPr="008725DF">
        <w:rPr>
          <w:b/>
          <w:color w:val="003469"/>
        </w:rPr>
        <w:fldChar w:fldCharType="begin"/>
      </w:r>
      <w:r w:rsidR="008725DF" w:rsidRPr="008725DF">
        <w:rPr>
          <w:b/>
          <w:color w:val="003469"/>
        </w:rPr>
        <w:instrText xml:space="preserve">REF _Ref181881938 \h \* Charformat </w:instrText>
      </w:r>
      <w:r w:rsidR="008725DF" w:rsidRPr="008725DF">
        <w:rPr>
          <w:b/>
          <w:color w:val="003469"/>
        </w:rPr>
      </w:r>
      <w:r w:rsidR="00C906C8" w:rsidRPr="008725DF">
        <w:rPr>
          <w:b/>
          <w:color w:val="003469"/>
        </w:rPr>
        <w:fldChar w:fldCharType="separate"/>
      </w:r>
      <w:r w:rsidR="008725DF" w:rsidRPr="008725DF">
        <w:rPr>
          <w:b/>
          <w:color w:val="003469"/>
        </w:rPr>
        <w:t>Chart 1</w:t>
      </w:r>
      <w:r w:rsidR="00C906C8" w:rsidRPr="008725DF">
        <w:rPr>
          <w:b/>
          <w:color w:val="003469"/>
        </w:rPr>
        <w:fldChar w:fldCharType="end"/>
      </w:r>
      <w:r w:rsidR="00D267E7">
        <w:t>)</w:t>
      </w:r>
      <w:r w:rsidR="00A3721F">
        <w:t xml:space="preserve">, based on market interest rate expectations that </w:t>
      </w:r>
      <w:r w:rsidR="00B679CA">
        <w:t>Bank Rate will fall by around</w:t>
      </w:r>
      <w:r w:rsidR="00A3721F">
        <w:t xml:space="preserve"> 100bps </w:t>
      </w:r>
      <w:r w:rsidR="00B679CA">
        <w:t xml:space="preserve">to 3.75% </w:t>
      </w:r>
      <w:r w:rsidR="00A3721F">
        <w:t>by the end of next year</w:t>
      </w:r>
      <w:r w:rsidR="00D267E7">
        <w:t xml:space="preserve">. </w:t>
      </w:r>
    </w:p>
    <w:p w14:paraId="62BAB985" w14:textId="00355543" w:rsidR="00601AE3" w:rsidRDefault="00A3721F" w:rsidP="00601AE3">
      <w:r>
        <w:t>Compared with August, the</w:t>
      </w:r>
      <w:r w:rsidR="00D267E7">
        <w:t xml:space="preserve"> </w:t>
      </w:r>
      <w:r>
        <w:t xml:space="preserve">new inflation forecast was lower in the short-term because recent data has been softer than expected. But the new projection is higher from mid-2025 onwards, largely due to the impact of </w:t>
      </w:r>
      <w:hyperlink r:id="rId11" w:history="1">
        <w:r w:rsidRPr="00F10040">
          <w:rPr>
            <w:rStyle w:val="Hyperlink"/>
          </w:rPr>
          <w:t>last week's Budget</w:t>
        </w:r>
      </w:hyperlink>
      <w:r>
        <w:t xml:space="preserve">. The BoE's provisional estimates suggest </w:t>
      </w:r>
      <w:r w:rsidR="00891E7C">
        <w:t>a</w:t>
      </w:r>
      <w:r>
        <w:t xml:space="preserve"> boost to </w:t>
      </w:r>
      <w:r w:rsidR="00891E7C">
        <w:t>GDP next year</w:t>
      </w:r>
      <w:r>
        <w:t xml:space="preserve"> </w:t>
      </w:r>
      <w:r w:rsidR="00891E7C">
        <w:t xml:space="preserve">of </w:t>
      </w:r>
      <w:r w:rsidR="000F5826">
        <w:t>0.75ppts</w:t>
      </w:r>
      <w:r>
        <w:t>.</w:t>
      </w:r>
    </w:p>
    <w:p w14:paraId="3785A8B5" w14:textId="490798B0" w:rsidR="00C3039B" w:rsidRDefault="00C3039B" w:rsidP="00601AE3">
      <w:pPr>
        <w:pStyle w:val="ExhibitTitle"/>
        <w:jc w:val="center"/>
      </w:pPr>
      <w:bookmarkStart w:id="0" w:name="_Ref181881938"/>
      <w:r>
        <w:t xml:space="preserve">Chart </w:t>
      </w:r>
      <w:r>
        <w:fldChar w:fldCharType="begin"/>
      </w:r>
      <w:r w:rsidR="00601AE3">
        <w:instrText>SEQ CHART</w:instrText>
      </w:r>
      <w:r>
        <w:fldChar w:fldCharType="separate"/>
      </w:r>
      <w:r w:rsidR="00C906C8">
        <w:t>1</w:t>
      </w:r>
      <w:r>
        <w:fldChar w:fldCharType="end"/>
      </w:r>
      <w:bookmarkEnd w:id="0"/>
      <w:r>
        <w:t xml:space="preserve">: </w:t>
      </w:r>
      <w:r w:rsidR="00A3721F">
        <w:t>The boost to demand from the Budget has pushed up the MPC's inflation forecast</w:t>
      </w:r>
    </w:p>
    <w:p w14:paraId="50EB7A19" w14:textId="52768678" w:rsidR="00601AE3" w:rsidRDefault="00601AE3" w:rsidP="00601AE3">
      <w:pPr>
        <w:spacing w:after="0"/>
        <w:jc w:val="center"/>
      </w:pPr>
      <w:r>
        <w:rPr>
          <w:noProof/>
        </w:rPr>
        <w:drawing>
          <wp:inline distT="0" distB="0" distL="0" distR="0" wp14:anchorId="28119006" wp14:editId="18B9122E">
            <wp:extent cx="4006964" cy="3140642"/>
            <wp:effectExtent l="0" t="0" r="0" b="3175"/>
            <wp:docPr id="13594297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29769"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7CA0A94B" w14:textId="539AFCA4" w:rsidR="00C3039B" w:rsidRDefault="00601AE3" w:rsidP="00601AE3">
      <w:pPr>
        <w:pStyle w:val="ExhibitSource"/>
        <w:jc w:val="center"/>
      </w:pPr>
      <w:r>
        <w:t>Source: Bank of England Monetary Policy Report</w:t>
      </w:r>
    </w:p>
    <w:p w14:paraId="235ED8FB" w14:textId="03A56F04" w:rsidR="00C3039B" w:rsidRDefault="00C3039B" w:rsidP="00C3039B">
      <w:pPr>
        <w:pStyle w:val="ExhibitSource"/>
        <w:jc w:val="center"/>
        <w:sectPr w:rsidR="00C3039B" w:rsidSect="00601AE3">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6BDD17C8" w14:textId="41385EEE" w:rsidR="00C3039B" w:rsidRDefault="00F10040" w:rsidP="00C3039B">
      <w:r>
        <w:lastRenderedPageBreak/>
        <w:t xml:space="preserve">As with the OBR's </w:t>
      </w:r>
      <w:r w:rsidR="00891E7C">
        <w:t>analysis</w:t>
      </w:r>
      <w:r>
        <w:t xml:space="preserve">, we think the </w:t>
      </w:r>
      <w:r w:rsidR="009606E7">
        <w:t>BoE's estimate of the Budget impact will prove too optimistic</w:t>
      </w:r>
      <w:r w:rsidR="00C3039B">
        <w:t>.</w:t>
      </w:r>
      <w:r w:rsidR="009606E7">
        <w:t xml:space="preserve"> But </w:t>
      </w:r>
      <w:r w:rsidR="00C46095">
        <w:t xml:space="preserve">its </w:t>
      </w:r>
      <w:r w:rsidR="009606E7">
        <w:t>August forecasts for GDP growth over the next two years were very low, so today's revisions have brought their projections close to our</w:t>
      </w:r>
      <w:r w:rsidR="00C46095">
        <w:t xml:space="preserve"> own</w:t>
      </w:r>
      <w:r w:rsidR="009606E7">
        <w:t xml:space="preserve"> forecast (</w:t>
      </w:r>
      <w:r w:rsidR="00C906C8" w:rsidRPr="008725DF">
        <w:rPr>
          <w:b/>
          <w:color w:val="003469"/>
        </w:rPr>
        <w:fldChar w:fldCharType="begin"/>
      </w:r>
      <w:r w:rsidR="008725DF" w:rsidRPr="008725DF">
        <w:rPr>
          <w:b/>
          <w:color w:val="003469"/>
        </w:rPr>
        <w:instrText xml:space="preserve">REF _Ref181881939 \h \* Charformat </w:instrText>
      </w:r>
      <w:r w:rsidR="008725DF" w:rsidRPr="008725DF">
        <w:rPr>
          <w:b/>
          <w:color w:val="003469"/>
        </w:rPr>
      </w:r>
      <w:r w:rsidR="00C906C8" w:rsidRPr="008725DF">
        <w:rPr>
          <w:b/>
          <w:color w:val="003469"/>
        </w:rPr>
        <w:fldChar w:fldCharType="separate"/>
      </w:r>
      <w:r w:rsidR="008725DF" w:rsidRPr="008725DF">
        <w:rPr>
          <w:b/>
          <w:color w:val="003469"/>
        </w:rPr>
        <w:t>Chart 2</w:t>
      </w:r>
      <w:r w:rsidR="00C906C8" w:rsidRPr="008725DF">
        <w:rPr>
          <w:b/>
          <w:color w:val="003469"/>
        </w:rPr>
        <w:fldChar w:fldCharType="end"/>
      </w:r>
      <w:r w:rsidR="009606E7">
        <w:t>).</w:t>
      </w:r>
      <w:r w:rsidR="00175307">
        <w:t xml:space="preserve"> Similarly, the BoE's previous forecast implied that a sizeable amount of spare capacity would emerge over the medium-term. Therefore, the Budget-related change</w:t>
      </w:r>
      <w:r w:rsidR="00BD4852">
        <w:t>s</w:t>
      </w:r>
      <w:r w:rsidR="00175307">
        <w:t xml:space="preserve"> merely prevent this slack from emerging, rather than implying renewed inflationary pressures.</w:t>
      </w:r>
    </w:p>
    <w:p w14:paraId="59F6A652" w14:textId="2DCEDC57" w:rsidR="00C3039B" w:rsidRDefault="00C3039B" w:rsidP="000F6692">
      <w:pPr>
        <w:pStyle w:val="ExhibitTitle"/>
      </w:pPr>
      <w:bookmarkStart w:id="1" w:name="_Ref181881939"/>
      <w:r>
        <w:t xml:space="preserve">Chart </w:t>
      </w:r>
      <w:r>
        <w:fldChar w:fldCharType="begin"/>
      </w:r>
      <w:r w:rsidR="00601AE3">
        <w:instrText>SEQ CHART</w:instrText>
      </w:r>
      <w:r>
        <w:fldChar w:fldCharType="separate"/>
      </w:r>
      <w:r w:rsidR="00C906C8">
        <w:t>2</w:t>
      </w:r>
      <w:r>
        <w:fldChar w:fldCharType="end"/>
      </w:r>
      <w:bookmarkEnd w:id="1"/>
      <w:r>
        <w:t xml:space="preserve">: </w:t>
      </w:r>
      <w:r w:rsidR="00196ED3">
        <w:t xml:space="preserve">The BoE's upgrade brings its forecast broadly into line with our </w:t>
      </w:r>
      <w:r w:rsidR="0064733C">
        <w:t>post-Budget</w:t>
      </w:r>
      <w:r w:rsidR="00196ED3">
        <w:t xml:space="preserve"> forecast</w:t>
      </w:r>
    </w:p>
    <w:p w14:paraId="18726575" w14:textId="75015774" w:rsidR="00601AE3" w:rsidRDefault="00601AE3" w:rsidP="000F6692">
      <w:pPr>
        <w:spacing w:after="0"/>
      </w:pPr>
      <w:r>
        <w:rPr>
          <w:noProof/>
        </w:rPr>
        <w:drawing>
          <wp:inline distT="0" distB="0" distL="0" distR="0" wp14:anchorId="4F84F88C" wp14:editId="54723090">
            <wp:extent cx="3250933" cy="2548068"/>
            <wp:effectExtent l="0" t="0" r="6985" b="5080"/>
            <wp:docPr id="19598852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85206"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75C1F11C" w14:textId="2278621B" w:rsidR="00C3039B" w:rsidRDefault="00601AE3" w:rsidP="000F6692">
      <w:pPr>
        <w:pStyle w:val="ExhibitSource"/>
      </w:pPr>
      <w:r>
        <w:t>Sources: Oxford Economics, BoE, HMT, OBR</w:t>
      </w:r>
    </w:p>
    <w:p w14:paraId="7B0FC130" w14:textId="4BB4ACDA" w:rsidR="00C01792" w:rsidRDefault="00916B4E" w:rsidP="00C3039B">
      <w:r>
        <w:t xml:space="preserve">The new projection included higher assumptions for import prices, but this was offset by softer domestic pressures. This is consistent with the majority </w:t>
      </w:r>
      <w:r w:rsidR="008D17C6">
        <w:t xml:space="preserve">of the committee </w:t>
      </w:r>
      <w:r>
        <w:t xml:space="preserve">believing that the growth/inflation trade-off has improved, </w:t>
      </w:r>
      <w:r w:rsidR="00B679CA">
        <w:t xml:space="preserve">and that </w:t>
      </w:r>
      <w:r w:rsidR="00C67E74">
        <w:t>while the mid-range scenario is the most likely to play out, the risks are tilted towards the more benign variant. The MPC's confidence that underlying pressures are continuing to soften will have been bolstered by the survey of the BoE's regional agents, which reported that firms expected early-2025 pay settlements to be in the 2%-4% range.</w:t>
      </w:r>
    </w:p>
    <w:p w14:paraId="5C464C74" w14:textId="79F34829" w:rsidR="00C3039B" w:rsidRDefault="00E342C1" w:rsidP="00C3039B">
      <w:r>
        <w:t>The elephant in the room was the fact that markets have repriced significantly since the MPC locked its conditioning assumptions</w:t>
      </w:r>
      <w:r w:rsidR="00C3039B">
        <w:t>.</w:t>
      </w:r>
      <w:r>
        <w:t xml:space="preserve"> </w:t>
      </w:r>
      <w:r w:rsidR="003124EA">
        <w:t>The MPC's forecasts were based on average market interest rate expectations over the 15 days to October 29, the day before the Budget. As of market close yesterday, expectations for Bank Rate at the end of 2025 were nearly 50bps higher than the level used in the Monetary Policy Report</w:t>
      </w:r>
      <w:r w:rsidR="00553AD4">
        <w:t xml:space="preserve"> (</w:t>
      </w:r>
      <w:r w:rsidR="00C906C8" w:rsidRPr="008725DF">
        <w:rPr>
          <w:b/>
          <w:color w:val="003469"/>
        </w:rPr>
        <w:fldChar w:fldCharType="begin"/>
      </w:r>
      <w:r w:rsidR="008725DF" w:rsidRPr="008725DF">
        <w:rPr>
          <w:b/>
          <w:color w:val="003469"/>
        </w:rPr>
        <w:instrText xml:space="preserve">REF _Ref181881940 \h \* Charformat </w:instrText>
      </w:r>
      <w:r w:rsidR="008725DF" w:rsidRPr="008725DF">
        <w:rPr>
          <w:b/>
          <w:color w:val="003469"/>
        </w:rPr>
      </w:r>
      <w:r w:rsidR="00C906C8" w:rsidRPr="008725DF">
        <w:rPr>
          <w:b/>
          <w:color w:val="003469"/>
        </w:rPr>
        <w:fldChar w:fldCharType="separate"/>
      </w:r>
      <w:r w:rsidR="008725DF" w:rsidRPr="008725DF">
        <w:rPr>
          <w:b/>
          <w:color w:val="003469"/>
        </w:rPr>
        <w:t>Chart 3</w:t>
      </w:r>
      <w:r w:rsidR="00C906C8" w:rsidRPr="008725DF">
        <w:rPr>
          <w:b/>
          <w:color w:val="003469"/>
        </w:rPr>
        <w:fldChar w:fldCharType="end"/>
      </w:r>
      <w:r w:rsidR="00553AD4">
        <w:t>)</w:t>
      </w:r>
      <w:r w:rsidR="003124EA">
        <w:t xml:space="preserve">. </w:t>
      </w:r>
    </w:p>
    <w:p w14:paraId="2156F58D" w14:textId="1EE01C28" w:rsidR="00601AE3" w:rsidRDefault="00601AE3" w:rsidP="000F6692">
      <w:pPr>
        <w:pStyle w:val="ExhibitTitle"/>
      </w:pPr>
      <w:bookmarkStart w:id="2" w:name="_Ref181881940"/>
      <w:r>
        <w:t xml:space="preserve">Chart </w:t>
      </w:r>
      <w:r>
        <w:fldChar w:fldCharType="begin"/>
      </w:r>
      <w:r w:rsidR="00C906C8">
        <w:instrText>SEQ CHART</w:instrText>
      </w:r>
      <w:r>
        <w:fldChar w:fldCharType="separate"/>
      </w:r>
      <w:r w:rsidR="00C906C8">
        <w:t>3</w:t>
      </w:r>
      <w:r>
        <w:fldChar w:fldCharType="end"/>
      </w:r>
      <w:bookmarkEnd w:id="2"/>
      <w:r>
        <w:t xml:space="preserve">: </w:t>
      </w:r>
      <w:r w:rsidR="00D038AE">
        <w:t>Market pricing has moved significantly since the BoE locked its assumptions</w:t>
      </w:r>
    </w:p>
    <w:p w14:paraId="36E87C6A" w14:textId="7B965ADD" w:rsidR="00601AE3" w:rsidRDefault="00601AE3" w:rsidP="000F6692">
      <w:pPr>
        <w:spacing w:after="0"/>
      </w:pPr>
      <w:r>
        <w:rPr>
          <w:noProof/>
        </w:rPr>
        <w:drawing>
          <wp:inline distT="0" distB="0" distL="0" distR="0" wp14:anchorId="5228D0F0" wp14:editId="0144CA36">
            <wp:extent cx="3250933" cy="2548068"/>
            <wp:effectExtent l="0" t="0" r="6985" b="5080"/>
            <wp:docPr id="88633618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6186"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09E3033C" w14:textId="5B568E36" w:rsidR="00601AE3" w:rsidRDefault="00601AE3" w:rsidP="000F6692">
      <w:pPr>
        <w:pStyle w:val="ExhibitSource"/>
      </w:pPr>
      <w:r>
        <w:t>Source: Haver Analytics</w:t>
      </w:r>
    </w:p>
    <w:p w14:paraId="00A75AAC" w14:textId="558F8A2C" w:rsidR="00601AE3" w:rsidRDefault="008D12C9" w:rsidP="00C3039B">
      <w:r>
        <w:lastRenderedPageBreak/>
        <w:t xml:space="preserve">In the press conference, Governor Andrew Bailey said that the repricing reflected both the Budget and the US election. Bailey chose not to push back against recent market moves. But given that the BoE's forecast of 2% inflation over the medium-term already </w:t>
      </w:r>
      <w:r w:rsidR="009076EE">
        <w:t>incorporates</w:t>
      </w:r>
      <w:r>
        <w:t xml:space="preserve"> the demand boost from looser fiscal policy, there's a clear implication that </w:t>
      </w:r>
      <w:r w:rsidR="00DE44E7">
        <w:t xml:space="preserve">the MPC </w:t>
      </w:r>
      <w:r w:rsidR="001416B5">
        <w:t xml:space="preserve">expects to loosen policy more quickly than current market pricing </w:t>
      </w:r>
      <w:r w:rsidR="007946EE">
        <w:t>suggests</w:t>
      </w:r>
      <w:r w:rsidR="001416B5">
        <w:t>.</w:t>
      </w:r>
    </w:p>
    <w:p w14:paraId="7466EEB3" w14:textId="70981CB2" w:rsidR="008D12C9" w:rsidRDefault="008D12C9" w:rsidP="00C3039B">
      <w:r>
        <w:t xml:space="preserve">Coming into this meeting, </w:t>
      </w:r>
      <w:hyperlink r:id="rId23" w:history="1">
        <w:r w:rsidRPr="008D12C9">
          <w:rPr>
            <w:rStyle w:val="Hyperlink"/>
          </w:rPr>
          <w:t>we were looking</w:t>
        </w:r>
      </w:hyperlink>
      <w:r>
        <w:t xml:space="preserve"> for any indications that the MPC might deviate from the cut-hold pattern that's becoming established</w:t>
      </w:r>
      <w:r w:rsidR="00C46095">
        <w:t>,</w:t>
      </w:r>
      <w:r>
        <w:t xml:space="preserve"> and </w:t>
      </w:r>
      <w:r w:rsidR="00C46095">
        <w:t xml:space="preserve">might </w:t>
      </w:r>
      <w:r>
        <w:t xml:space="preserve">cut again in December. </w:t>
      </w:r>
      <w:r>
        <w:t>T</w:t>
      </w:r>
      <w:r>
        <w:t>here were hints that the MPC believe</w:t>
      </w:r>
      <w:r w:rsidR="006F7748">
        <w:t>s</w:t>
      </w:r>
      <w:r>
        <w:t xml:space="preserve"> the inflation/growth trade-off is continuing to improve. But with the forecast being explicitly tied to the mid-range scenario and the minutes not offering any benchmarks against which the MPC might judge that </w:t>
      </w:r>
      <w:r w:rsidR="00342FBA">
        <w:t>the scenario probabilities are changing</w:t>
      </w:r>
      <w:r>
        <w:t xml:space="preserve">, there's no apparent urgency to </w:t>
      </w:r>
      <w:r w:rsidR="00C46095">
        <w:t xml:space="preserve">switch up the </w:t>
      </w:r>
      <w:r>
        <w:t xml:space="preserve">tempo. </w:t>
      </w:r>
      <w:r w:rsidR="00C46095">
        <w:t>T</w:t>
      </w:r>
      <w:r>
        <w:t xml:space="preserve">wo further inflation and labour market </w:t>
      </w:r>
      <w:r w:rsidR="00342FBA">
        <w:t xml:space="preserve">releases </w:t>
      </w:r>
      <w:r w:rsidR="00C46095">
        <w:t xml:space="preserve">are due </w:t>
      </w:r>
      <w:r w:rsidR="00342FBA">
        <w:t xml:space="preserve">before the December meeting, but given current hawkish market sentiment, the bar to these releases encouraging the MPC to cut again </w:t>
      </w:r>
      <w:r w:rsidR="00FD78E3">
        <w:t xml:space="preserve">at that meeting </w:t>
      </w:r>
      <w:r w:rsidR="00342FBA">
        <w:t>looks very high.</w:t>
      </w:r>
    </w:p>
    <w:p w14:paraId="4821BCB0" w14:textId="0AE60103" w:rsidR="00342FBA" w:rsidRDefault="00DE44E7" w:rsidP="00C3039B">
      <w:r>
        <w:t xml:space="preserve">We </w:t>
      </w:r>
      <w:r w:rsidR="00C46095">
        <w:t xml:space="preserve">are </w:t>
      </w:r>
      <w:r>
        <w:t>stick</w:t>
      </w:r>
      <w:r w:rsidR="00C46095">
        <w:t>ing</w:t>
      </w:r>
      <w:r>
        <w:t xml:space="preserve"> with our baseline forecast that the MPC </w:t>
      </w:r>
      <w:r w:rsidR="00C46095">
        <w:t xml:space="preserve">will </w:t>
      </w:r>
      <w:r>
        <w:t xml:space="preserve">cut Bank Rate by 100bps next year, ending 2025 at 3.75%. </w:t>
      </w:r>
      <w:r w:rsidR="00EF7338">
        <w:t xml:space="preserve">This is consistent with our new global forecast, which adopts our </w:t>
      </w:r>
      <w:hyperlink r:id="rId24" w:history="1">
        <w:r w:rsidR="00EF7338" w:rsidRPr="00C05530">
          <w:rPr>
            <w:rStyle w:val="Hyperlink"/>
          </w:rPr>
          <w:t>'limited Trump' scenario</w:t>
        </w:r>
      </w:hyperlink>
      <w:r w:rsidR="00EF7338">
        <w:t xml:space="preserve">. </w:t>
      </w:r>
      <w:r w:rsidR="000C2B51">
        <w:t xml:space="preserve">This </w:t>
      </w:r>
      <w:r w:rsidR="00C46095">
        <w:t xml:space="preserve">assumes </w:t>
      </w:r>
      <w:r w:rsidR="000C2B51">
        <w:t>looser US fiscal policy and targeted tariffs, with tighter US monetary policy</w:t>
      </w:r>
      <w:r w:rsidR="00976B6E">
        <w:t xml:space="preserve"> than we previously anticipated</w:t>
      </w:r>
      <w:r w:rsidR="000C2B51">
        <w:t xml:space="preserve"> in response. </w:t>
      </w:r>
      <w:r w:rsidR="006375F2">
        <w:t>But w</w:t>
      </w:r>
      <w:r w:rsidR="000C2B51" w:rsidRPr="000C2B51">
        <w:t xml:space="preserve">e've </w:t>
      </w:r>
      <w:r w:rsidR="00C46095">
        <w:t>consistently</w:t>
      </w:r>
      <w:r w:rsidR="00C46095" w:rsidRPr="000C2B51">
        <w:t xml:space="preserve"> </w:t>
      </w:r>
      <w:r w:rsidR="000C2B51" w:rsidRPr="000C2B51">
        <w:t>argued that the Fed's influence on central banks in other advanced economies is overstated</w:t>
      </w:r>
      <w:r w:rsidR="006375F2">
        <w:t xml:space="preserve">. </w:t>
      </w:r>
      <w:r w:rsidR="00AF2F1C">
        <w:t>Meanwhile,</w:t>
      </w:r>
      <w:r w:rsidR="006375F2">
        <w:t xml:space="preserve"> </w:t>
      </w:r>
      <w:r w:rsidR="000C2B51">
        <w:t xml:space="preserve">under this scenario, </w:t>
      </w:r>
      <w:r w:rsidR="000C2B51" w:rsidRPr="000C2B51">
        <w:t xml:space="preserve">the effects of a Trump presidency on </w:t>
      </w:r>
      <w:r w:rsidR="000C2B51">
        <w:t xml:space="preserve">UK </w:t>
      </w:r>
      <w:r w:rsidR="000C2B51" w:rsidRPr="000C2B51">
        <w:t xml:space="preserve">domestic activity and inflation </w:t>
      </w:r>
      <w:r w:rsidR="00C46095">
        <w:t xml:space="preserve">in the near term </w:t>
      </w:r>
      <w:r w:rsidR="000C2B51" w:rsidRPr="000C2B51">
        <w:t xml:space="preserve">are likely to be too small to </w:t>
      </w:r>
      <w:r w:rsidR="00C46095">
        <w:t>have much impact</w:t>
      </w:r>
      <w:r w:rsidR="000C2B51">
        <w:t>.</w:t>
      </w:r>
    </w:p>
    <w:p w14:paraId="30F063A9" w14:textId="6FE41F8D" w:rsidR="000C2B51" w:rsidRDefault="00C46095" w:rsidP="00C3039B">
      <w:r>
        <w:t xml:space="preserve">Still, </w:t>
      </w:r>
      <w:r w:rsidR="00891E7C">
        <w:t>the outlook for the medium-term look</w:t>
      </w:r>
      <w:r>
        <w:t>s</w:t>
      </w:r>
      <w:r w:rsidR="00891E7C">
        <w:t xml:space="preserve"> </w:t>
      </w:r>
      <w:r>
        <w:t>less clear</w:t>
      </w:r>
      <w:r w:rsidR="003076D9">
        <w:t xml:space="preserve">. </w:t>
      </w:r>
      <w:r>
        <w:t xml:space="preserve">A </w:t>
      </w:r>
      <w:r w:rsidR="004464D0">
        <w:t xml:space="preserve">more volatile global backdrop might </w:t>
      </w:r>
      <w:r w:rsidR="00405429">
        <w:t>cause</w:t>
      </w:r>
      <w:r w:rsidR="004464D0">
        <w:t xml:space="preserve"> inflation expectations </w:t>
      </w:r>
      <w:r w:rsidR="00405429">
        <w:t xml:space="preserve">to rise </w:t>
      </w:r>
      <w:r w:rsidR="004464D0">
        <w:t xml:space="preserve">again, leading the MPC to tilt back towards its more hawkish inflation scenario. If this scenario begins to play </w:t>
      </w:r>
      <w:r w:rsidR="00FF2F98">
        <w:t>out,</w:t>
      </w:r>
      <w:r w:rsidR="004464D0">
        <w:t xml:space="preserve"> then we would expect to see Bank Rate remain higher for longer.</w:t>
      </w:r>
    </w:p>
    <w:p w14:paraId="1F8118E2" w14:textId="77777777" w:rsidR="00C3039B" w:rsidRDefault="00C3039B">
      <w:pPr>
        <w:spacing w:before="0" w:after="160" w:line="259" w:lineRule="auto"/>
      </w:pPr>
      <w:r>
        <w:br w:type="page"/>
      </w:r>
    </w:p>
    <w:p w14:paraId="7E08AC97" w14:textId="77777777" w:rsidR="008424E5" w:rsidRPr="00806469" w:rsidRDefault="008424E5" w:rsidP="000F6692">
      <w:pPr>
        <w:pStyle w:val="Heading2"/>
      </w:pPr>
      <w:r w:rsidRPr="00806469">
        <w:lastRenderedPageBreak/>
        <w:t>Key passages from the MPC minutes</w:t>
      </w:r>
    </w:p>
    <w:p w14:paraId="2DD21B56" w14:textId="3A9CEFCE" w:rsidR="008424E5" w:rsidRPr="00EC30BA" w:rsidRDefault="008424E5" w:rsidP="008424E5">
      <w:pPr>
        <w:rPr>
          <w:i/>
        </w:rPr>
      </w:pPr>
      <w:r w:rsidRPr="00EC30BA">
        <w:rPr>
          <w:i/>
        </w:rPr>
        <w:t>“</w:t>
      </w:r>
      <w:r w:rsidR="00EC30BA" w:rsidRPr="00EC30BA">
        <w:rPr>
          <w:i/>
        </w:rPr>
        <w:t>At this meeting, eight members preferred to reduce Bank Rate to 4.75%. There had been continued progress in disinflation, particularly as previous external shocks had abated, although remaining domestic inflationary pressures were resolving more slowly. These members put different probabilities on and risks around the three cases, but they believed that a cut in Bank Rate was appropriate at this meeting. They would continue to assess the range of evidence over time</w:t>
      </w:r>
      <w:r w:rsidRPr="00EC30BA">
        <w:rPr>
          <w:i/>
        </w:rPr>
        <w:t>."</w:t>
      </w:r>
    </w:p>
    <w:p w14:paraId="706F7D18" w14:textId="0636177E" w:rsidR="008424E5" w:rsidRDefault="008424E5" w:rsidP="008424E5">
      <w:r w:rsidRPr="008424E5">
        <w:rPr>
          <w:b/>
          <w:color w:val="003469"/>
        </w:rPr>
        <w:t>Our interpretation:</w:t>
      </w:r>
      <w:r w:rsidRPr="00806469">
        <w:t xml:space="preserve"> </w:t>
      </w:r>
      <w:r w:rsidR="00EC30BA">
        <w:t xml:space="preserve">The paragraph summing up the </w:t>
      </w:r>
      <w:r w:rsidR="00A7080E">
        <w:t>opinion</w:t>
      </w:r>
      <w:r w:rsidR="00EC30BA">
        <w:t xml:space="preserve"> of the majority hints at a range of views, but it offered </w:t>
      </w:r>
      <w:r w:rsidR="00F602FA">
        <w:t xml:space="preserve">very </w:t>
      </w:r>
      <w:r w:rsidR="00EC30BA">
        <w:t xml:space="preserve">little detail. Equally there was no </w:t>
      </w:r>
      <w:r w:rsidR="00C46095">
        <w:t xml:space="preserve">indication </w:t>
      </w:r>
      <w:r w:rsidR="00EC30BA">
        <w:t>about what members are looking for in the incoming data to judge whether the central scenario remains the most likely</w:t>
      </w:r>
      <w:r w:rsidR="00352DE7">
        <w:t xml:space="preserve"> outcome</w:t>
      </w:r>
      <w:r>
        <w:t>.</w:t>
      </w:r>
    </w:p>
    <w:p w14:paraId="001EED2C" w14:textId="1C3A2CCF" w:rsidR="008424E5" w:rsidRPr="00EC30BA" w:rsidRDefault="008424E5" w:rsidP="008424E5">
      <w:pPr>
        <w:rPr>
          <w:i/>
        </w:rPr>
      </w:pPr>
      <w:r w:rsidRPr="00EC30BA">
        <w:rPr>
          <w:i/>
        </w:rPr>
        <w:t>"</w:t>
      </w:r>
      <w:r w:rsidR="00EC30BA" w:rsidRPr="00EC30BA">
        <w:rPr>
          <w:i/>
        </w:rPr>
        <w:t>One member preferred to maintain Bank Rate at 5%. For this member, structural factors in wage and price-setting dynamics continued to draw out the underlying disinflation process, and CPI inflation was projected to remain above the 2% target until the end of the forecast period. Wage developments might continue to be more robust than projected as firms and workers incorporated past and upcoming adjustments in the National Living Wage and National Insurance contributions. This, along with prospects for more robust demand associated with the Budget, was likely to support pricing opportunities for firms. In the face of these uncertainties, maintaining the current level of Bank Rate would allow time to evaluate whether these upside pressures would materialise</w:t>
      </w:r>
      <w:r w:rsidRPr="00EC30BA">
        <w:rPr>
          <w:i/>
        </w:rPr>
        <w:t>."</w:t>
      </w:r>
    </w:p>
    <w:p w14:paraId="3D7D5061" w14:textId="4D108E17" w:rsidR="008424E5" w:rsidRPr="00806469" w:rsidRDefault="008424E5" w:rsidP="008424E5">
      <w:r w:rsidRPr="008424E5">
        <w:rPr>
          <w:b/>
          <w:color w:val="003469"/>
        </w:rPr>
        <w:t>Our interpretation:</w:t>
      </w:r>
      <w:r>
        <w:t xml:space="preserve"> </w:t>
      </w:r>
      <w:r w:rsidR="003D227A">
        <w:t xml:space="preserve">Catherine Mann continues to </w:t>
      </w:r>
      <w:r w:rsidR="00A7080E">
        <w:t>lean toward</w:t>
      </w:r>
      <w:r w:rsidR="003D227A">
        <w:t xml:space="preserve"> the MPC's more hawkish scenario, with the Budget adding to her concerns about the risk of underlying inflation pressures remaining too strong</w:t>
      </w:r>
      <w:r>
        <w:t>.</w:t>
      </w:r>
      <w:r w:rsidR="003D227A">
        <w:t xml:space="preserve"> It's unlikely that she will support looser policy any time soon, but she appears to be an increasingly fringe voice on the committee, given that Pill and Greene voted to cut </w:t>
      </w:r>
      <w:r w:rsidR="00F345D3">
        <w:t xml:space="preserve">rates </w:t>
      </w:r>
      <w:r w:rsidR="003D227A">
        <w:t>at this meeting.</w:t>
      </w:r>
    </w:p>
    <w:p w14:paraId="00C6BF37" w14:textId="1C73762D" w:rsidR="008424E5" w:rsidRPr="00EC30BA" w:rsidRDefault="008424E5" w:rsidP="00EC30BA">
      <w:pPr>
        <w:rPr>
          <w:i/>
        </w:rPr>
      </w:pPr>
      <w:r w:rsidRPr="00EC30BA">
        <w:rPr>
          <w:i/>
        </w:rPr>
        <w:t>"</w:t>
      </w:r>
      <w:r w:rsidR="00EC30BA" w:rsidRPr="00EC30BA">
        <w:rPr>
          <w:i/>
        </w:rPr>
        <w:t>Based on the evolving evidence, a gradual approach to removing policy restraint remained appropriate. Monetary policy would need to continue to remain restrictive for sufficiently long until the risks to inflation returning sustainably to the 2% target in the medium term had dissipated further. The Committee would continue to monitor closely the risks of inflation persistence and would decide the appropriate degree of monetary policy restrictiveness at each meeting</w:t>
      </w:r>
      <w:r w:rsidRPr="00EC30BA">
        <w:rPr>
          <w:i/>
        </w:rPr>
        <w:t>."</w:t>
      </w:r>
    </w:p>
    <w:p w14:paraId="7307B67F" w14:textId="2E0E0864" w:rsidR="00601AE3" w:rsidRDefault="008424E5" w:rsidP="008424E5">
      <w:r w:rsidRPr="008424E5">
        <w:rPr>
          <w:b/>
          <w:color w:val="003469"/>
        </w:rPr>
        <w:t>Our interpretation:</w:t>
      </w:r>
      <w:r>
        <w:t xml:space="preserve"> </w:t>
      </w:r>
      <w:r w:rsidR="00EC30BA">
        <w:t xml:space="preserve">This </w:t>
      </w:r>
      <w:r w:rsidR="00EC30BA" w:rsidRPr="00EC30BA">
        <w:t>was a similar formulation to previous months. It emphasises that policy is still restrictive, so there is space for rate cuts, but that the pace of rate cuts will be gradual</w:t>
      </w:r>
      <w:r>
        <w:t>.</w:t>
      </w:r>
    </w:p>
    <w:p w14:paraId="2754F476" w14:textId="3E919B83" w:rsidR="00C3039B" w:rsidRDefault="00C3039B" w:rsidP="00C3039B"/>
    <w:sectPr w:rsidR="00C3039B" w:rsidSect="00601AE3">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6F96D" w14:textId="77777777" w:rsidR="00C3039B" w:rsidRDefault="00C3039B" w:rsidP="00C3039B">
      <w:pPr>
        <w:spacing w:before="0" w:after="0"/>
      </w:pPr>
      <w:r>
        <w:separator/>
      </w:r>
    </w:p>
  </w:endnote>
  <w:endnote w:type="continuationSeparator" w:id="0">
    <w:p w14:paraId="55707D24" w14:textId="77777777" w:rsidR="00C3039B" w:rsidRDefault="00C3039B" w:rsidP="00C3039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55EB5" w14:textId="66E898A3" w:rsidR="00C3039B" w:rsidRPr="00C3039B" w:rsidRDefault="00C3039B" w:rsidP="00C3039B">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2BDB" w14:textId="26C52EA8" w:rsidR="00C3039B" w:rsidRDefault="00C3039B" w:rsidP="00C3039B">
    <w:pPr>
      <w:pStyle w:val="Author"/>
    </w:pPr>
    <w:r>
      <w:t>Andrew Goodwin</w:t>
    </w:r>
    <w:r w:rsidR="000F6692">
      <w:t xml:space="preserve"> - </w:t>
    </w:r>
    <w:r>
      <w:t>Chief UK Economist</w:t>
    </w:r>
    <w:r w:rsidR="000F6692">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5C1A0" w14:textId="77777777" w:rsidR="00C3039B" w:rsidRDefault="00C3039B" w:rsidP="00C3039B">
      <w:pPr>
        <w:spacing w:before="0" w:after="0"/>
      </w:pPr>
      <w:r>
        <w:separator/>
      </w:r>
    </w:p>
  </w:footnote>
  <w:footnote w:type="continuationSeparator" w:id="0">
    <w:p w14:paraId="651F9751" w14:textId="77777777" w:rsidR="00C3039B" w:rsidRDefault="00C3039B" w:rsidP="00C3039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B0B3" w14:textId="77777777" w:rsidR="00C3039B" w:rsidRDefault="00C3039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B3E4" w14:textId="2C373C5C" w:rsidR="00C3039B" w:rsidRDefault="00C3039B" w:rsidP="00C3039B">
    <w:pPr>
      <w:pStyle w:val="Headline"/>
      <w:spacing w:before="120"/>
      <w:ind w:right="-1000"/>
    </w:pPr>
    <w:r w:rsidRPr="00C3039B">
      <w:rPr>
        <w:noProof/>
      </w:rPr>
      <w:drawing>
        <wp:anchor distT="0" distB="0" distL="114300" distR="114300" simplePos="0" relativeHeight="251658239" behindDoc="1" locked="1" layoutInCell="1" allowOverlap="1" wp14:anchorId="0F104538" wp14:editId="622883B2">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720101" w:rsidRPr="00720101">
      <w:t>MPC sticks to the cut-hold tempo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DF85A" w14:textId="13F664E9" w:rsidR="00C3039B" w:rsidRDefault="00C3039B" w:rsidP="00C3039B">
    <w:r w:rsidRPr="00C3039B">
      <w:rPr>
        <w:noProof/>
      </w:rPr>
      <w:drawing>
        <wp:anchor distT="0" distB="0" distL="114300" distR="114300" simplePos="0" relativeHeight="251659264" behindDoc="1" locked="1" layoutInCell="1" allowOverlap="1" wp14:anchorId="6E8A00CE" wp14:editId="7F38DCD6">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159527471"/>
      <w:lock w:val="sdtLocked"/>
      <w:placeholder>
        <w:docPart w:val="DefaultPlaceholder_-1854013437"/>
      </w:placeholder>
      <w:date w:fullDate="2024-11-07T00:00:00Z">
        <w:dateFormat w:val="d MMMM yyyy"/>
        <w:lid w:val="en-GB"/>
        <w:storeMappedDataAs w:val="dateTime"/>
        <w:calendar w:val="gregorian"/>
      </w:date>
    </w:sdtPr>
    <w:sdtEndPr/>
    <w:sdtContent>
      <w:p w14:paraId="4B242C40" w14:textId="60BD8078" w:rsidR="00C3039B" w:rsidRDefault="00C3039B" w:rsidP="00C3039B">
        <w:pPr>
          <w:pStyle w:val="PublishDate"/>
          <w:framePr w:w="2835" w:h="340" w:hRule="exact" w:hSpace="180" w:wrap="around" w:vAnchor="page" w:hAnchor="page" w:x="7801" w:y="601" w:anchorLock="1"/>
        </w:pPr>
        <w:r>
          <w:t>7 November 2024</w:t>
        </w:r>
      </w:p>
    </w:sdtContent>
  </w:sdt>
  <w:p w14:paraId="6820D380" w14:textId="0B76925E" w:rsidR="00C3039B" w:rsidRDefault="00C3039B" w:rsidP="00C3039B">
    <w:pPr>
      <w:pStyle w:val="ProductDescription"/>
      <w:framePr w:w="11339" w:h="1474" w:hRule="exact" w:hSpace="180" w:wrap="around" w:vAnchor="page" w:hAnchor="page" w:x="401" w:y="1141" w:anchorLock="1"/>
      <w:spacing w:after="200"/>
    </w:pPr>
    <w:r>
      <w:t>Research Briefing | UK</w:t>
    </w:r>
  </w:p>
  <w:p w14:paraId="50AEA835" w14:textId="18E08658" w:rsidR="00C3039B" w:rsidRDefault="00720101" w:rsidP="00C3039B">
    <w:pPr>
      <w:pStyle w:val="Headline"/>
      <w:framePr w:w="11339" w:h="1474" w:hRule="exact" w:hSpace="180" w:wrap="around" w:vAnchor="page" w:hAnchor="page" w:x="401" w:y="1141" w:anchorLock="1"/>
      <w:spacing w:line="200" w:lineRule="auto"/>
    </w:pPr>
    <w:r w:rsidRPr="00720101">
      <w:t>MPC sticks to the cut-hold tempo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9B"/>
    <w:rsid w:val="0000151E"/>
    <w:rsid w:val="00003BA7"/>
    <w:rsid w:val="00022761"/>
    <w:rsid w:val="000C0ADF"/>
    <w:rsid w:val="000C2B51"/>
    <w:rsid w:val="000D3E43"/>
    <w:rsid w:val="000E2BD3"/>
    <w:rsid w:val="000F3F52"/>
    <w:rsid w:val="000F4E6A"/>
    <w:rsid w:val="000F5826"/>
    <w:rsid w:val="000F6692"/>
    <w:rsid w:val="000F696D"/>
    <w:rsid w:val="001018E9"/>
    <w:rsid w:val="00120D7A"/>
    <w:rsid w:val="00124E58"/>
    <w:rsid w:val="001416B5"/>
    <w:rsid w:val="00160F71"/>
    <w:rsid w:val="0016316B"/>
    <w:rsid w:val="0017078A"/>
    <w:rsid w:val="00175307"/>
    <w:rsid w:val="001834D4"/>
    <w:rsid w:val="00192CDF"/>
    <w:rsid w:val="00196ED3"/>
    <w:rsid w:val="001A5775"/>
    <w:rsid w:val="001A6993"/>
    <w:rsid w:val="001A749F"/>
    <w:rsid w:val="001B08DB"/>
    <w:rsid w:val="001B2B67"/>
    <w:rsid w:val="001B2C32"/>
    <w:rsid w:val="001D7057"/>
    <w:rsid w:val="001E0785"/>
    <w:rsid w:val="001E0C4A"/>
    <w:rsid w:val="001F04D1"/>
    <w:rsid w:val="001F3317"/>
    <w:rsid w:val="0021144C"/>
    <w:rsid w:val="00232F7D"/>
    <w:rsid w:val="00242E5E"/>
    <w:rsid w:val="002615F6"/>
    <w:rsid w:val="00262D94"/>
    <w:rsid w:val="00263E48"/>
    <w:rsid w:val="002745D6"/>
    <w:rsid w:val="00282A8A"/>
    <w:rsid w:val="00286754"/>
    <w:rsid w:val="0029566B"/>
    <w:rsid w:val="002D0DC9"/>
    <w:rsid w:val="003017D9"/>
    <w:rsid w:val="003076D9"/>
    <w:rsid w:val="0031169C"/>
    <w:rsid w:val="003124EA"/>
    <w:rsid w:val="00316CBE"/>
    <w:rsid w:val="00342FBA"/>
    <w:rsid w:val="00352DE7"/>
    <w:rsid w:val="00370974"/>
    <w:rsid w:val="00374E02"/>
    <w:rsid w:val="003B0CAB"/>
    <w:rsid w:val="003B715A"/>
    <w:rsid w:val="003D227A"/>
    <w:rsid w:val="003E7F3C"/>
    <w:rsid w:val="003F0F4E"/>
    <w:rsid w:val="0040359C"/>
    <w:rsid w:val="00405429"/>
    <w:rsid w:val="00405A12"/>
    <w:rsid w:val="00405D65"/>
    <w:rsid w:val="004258C9"/>
    <w:rsid w:val="004458BB"/>
    <w:rsid w:val="004464D0"/>
    <w:rsid w:val="004602D9"/>
    <w:rsid w:val="0046292D"/>
    <w:rsid w:val="004677EA"/>
    <w:rsid w:val="004827E3"/>
    <w:rsid w:val="00495DE7"/>
    <w:rsid w:val="004A2A92"/>
    <w:rsid w:val="004B4F66"/>
    <w:rsid w:val="004C7923"/>
    <w:rsid w:val="004D473F"/>
    <w:rsid w:val="004D5B83"/>
    <w:rsid w:val="004D650E"/>
    <w:rsid w:val="004F11CC"/>
    <w:rsid w:val="005176F2"/>
    <w:rsid w:val="00535C71"/>
    <w:rsid w:val="005414BA"/>
    <w:rsid w:val="0054280C"/>
    <w:rsid w:val="005473C6"/>
    <w:rsid w:val="00553AD4"/>
    <w:rsid w:val="00563FEB"/>
    <w:rsid w:val="00576CB8"/>
    <w:rsid w:val="00592138"/>
    <w:rsid w:val="005C6C31"/>
    <w:rsid w:val="005F0616"/>
    <w:rsid w:val="005F1DEF"/>
    <w:rsid w:val="005F425A"/>
    <w:rsid w:val="005F7AD1"/>
    <w:rsid w:val="00601AE3"/>
    <w:rsid w:val="006125A3"/>
    <w:rsid w:val="006166EE"/>
    <w:rsid w:val="006375F2"/>
    <w:rsid w:val="0064733C"/>
    <w:rsid w:val="00671564"/>
    <w:rsid w:val="00672EB0"/>
    <w:rsid w:val="006739BF"/>
    <w:rsid w:val="0067595A"/>
    <w:rsid w:val="006873A9"/>
    <w:rsid w:val="006A1630"/>
    <w:rsid w:val="006A676D"/>
    <w:rsid w:val="006B76A5"/>
    <w:rsid w:val="006C7C06"/>
    <w:rsid w:val="006F60F1"/>
    <w:rsid w:val="006F7748"/>
    <w:rsid w:val="00720101"/>
    <w:rsid w:val="007723AE"/>
    <w:rsid w:val="007946EE"/>
    <w:rsid w:val="007A0F18"/>
    <w:rsid w:val="007B57CD"/>
    <w:rsid w:val="007F5D5D"/>
    <w:rsid w:val="008424E5"/>
    <w:rsid w:val="008427BA"/>
    <w:rsid w:val="00847933"/>
    <w:rsid w:val="00855D68"/>
    <w:rsid w:val="0086090E"/>
    <w:rsid w:val="00860FAD"/>
    <w:rsid w:val="008725DF"/>
    <w:rsid w:val="00874B7C"/>
    <w:rsid w:val="0088455B"/>
    <w:rsid w:val="00891E7C"/>
    <w:rsid w:val="008C66ED"/>
    <w:rsid w:val="008D12C9"/>
    <w:rsid w:val="008D17C6"/>
    <w:rsid w:val="008D4F08"/>
    <w:rsid w:val="008E11F0"/>
    <w:rsid w:val="008E721D"/>
    <w:rsid w:val="008F1A70"/>
    <w:rsid w:val="009076EE"/>
    <w:rsid w:val="00916B4E"/>
    <w:rsid w:val="00920D15"/>
    <w:rsid w:val="00933B30"/>
    <w:rsid w:val="009606E7"/>
    <w:rsid w:val="009634AC"/>
    <w:rsid w:val="00963AA5"/>
    <w:rsid w:val="00970E73"/>
    <w:rsid w:val="00976B6E"/>
    <w:rsid w:val="00995E6B"/>
    <w:rsid w:val="009B723B"/>
    <w:rsid w:val="009C7C16"/>
    <w:rsid w:val="009E07F1"/>
    <w:rsid w:val="009E5F70"/>
    <w:rsid w:val="009F37D1"/>
    <w:rsid w:val="009F3F01"/>
    <w:rsid w:val="00A25234"/>
    <w:rsid w:val="00A332D4"/>
    <w:rsid w:val="00A3721F"/>
    <w:rsid w:val="00A50835"/>
    <w:rsid w:val="00A52669"/>
    <w:rsid w:val="00A576A0"/>
    <w:rsid w:val="00A63323"/>
    <w:rsid w:val="00A66B32"/>
    <w:rsid w:val="00A7080E"/>
    <w:rsid w:val="00A77085"/>
    <w:rsid w:val="00A9430E"/>
    <w:rsid w:val="00AB24B7"/>
    <w:rsid w:val="00AB6B99"/>
    <w:rsid w:val="00AD07ED"/>
    <w:rsid w:val="00AE5AFF"/>
    <w:rsid w:val="00AE76E6"/>
    <w:rsid w:val="00AF2F1C"/>
    <w:rsid w:val="00B04E07"/>
    <w:rsid w:val="00B16B5A"/>
    <w:rsid w:val="00B20904"/>
    <w:rsid w:val="00B446F3"/>
    <w:rsid w:val="00B50EAA"/>
    <w:rsid w:val="00B679CA"/>
    <w:rsid w:val="00B7343B"/>
    <w:rsid w:val="00B846EA"/>
    <w:rsid w:val="00B910EA"/>
    <w:rsid w:val="00BB6195"/>
    <w:rsid w:val="00BD4852"/>
    <w:rsid w:val="00BE1485"/>
    <w:rsid w:val="00BE1DE5"/>
    <w:rsid w:val="00BF6A2A"/>
    <w:rsid w:val="00C01792"/>
    <w:rsid w:val="00C05530"/>
    <w:rsid w:val="00C17065"/>
    <w:rsid w:val="00C17C99"/>
    <w:rsid w:val="00C3039B"/>
    <w:rsid w:val="00C46095"/>
    <w:rsid w:val="00C65A69"/>
    <w:rsid w:val="00C67E74"/>
    <w:rsid w:val="00C72052"/>
    <w:rsid w:val="00C73244"/>
    <w:rsid w:val="00C75153"/>
    <w:rsid w:val="00C76458"/>
    <w:rsid w:val="00C84AD7"/>
    <w:rsid w:val="00C906C8"/>
    <w:rsid w:val="00C90D41"/>
    <w:rsid w:val="00C93538"/>
    <w:rsid w:val="00C9768F"/>
    <w:rsid w:val="00CA207A"/>
    <w:rsid w:val="00CA4BF3"/>
    <w:rsid w:val="00CA7099"/>
    <w:rsid w:val="00CB23EC"/>
    <w:rsid w:val="00CB7716"/>
    <w:rsid w:val="00CC3321"/>
    <w:rsid w:val="00CD149E"/>
    <w:rsid w:val="00CE3160"/>
    <w:rsid w:val="00D01AEE"/>
    <w:rsid w:val="00D038AE"/>
    <w:rsid w:val="00D267E7"/>
    <w:rsid w:val="00D379EC"/>
    <w:rsid w:val="00D44219"/>
    <w:rsid w:val="00D645EE"/>
    <w:rsid w:val="00D82250"/>
    <w:rsid w:val="00DB0BE6"/>
    <w:rsid w:val="00DC2036"/>
    <w:rsid w:val="00DC3B6C"/>
    <w:rsid w:val="00DE44E7"/>
    <w:rsid w:val="00DE568D"/>
    <w:rsid w:val="00DF68CB"/>
    <w:rsid w:val="00DF73F9"/>
    <w:rsid w:val="00E10235"/>
    <w:rsid w:val="00E213A8"/>
    <w:rsid w:val="00E23560"/>
    <w:rsid w:val="00E342C1"/>
    <w:rsid w:val="00EA0803"/>
    <w:rsid w:val="00EA2025"/>
    <w:rsid w:val="00EC30BA"/>
    <w:rsid w:val="00ED615F"/>
    <w:rsid w:val="00ED6FF0"/>
    <w:rsid w:val="00EE2885"/>
    <w:rsid w:val="00EF7338"/>
    <w:rsid w:val="00F10040"/>
    <w:rsid w:val="00F2643F"/>
    <w:rsid w:val="00F345D3"/>
    <w:rsid w:val="00F52C66"/>
    <w:rsid w:val="00F602FA"/>
    <w:rsid w:val="00F66A63"/>
    <w:rsid w:val="00F72F2A"/>
    <w:rsid w:val="00FC1EA7"/>
    <w:rsid w:val="00FD78E3"/>
    <w:rsid w:val="00FE0EF6"/>
    <w:rsid w:val="00FE5C10"/>
    <w:rsid w:val="00FF2F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DC1065E"/>
  <w15:chartTrackingRefBased/>
  <w15:docId w15:val="{3A26D960-EF9E-4E39-A9FF-CF992E3B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39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C3039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C3039B"/>
    <w:pPr>
      <w:outlineLvl w:val="1"/>
    </w:pPr>
    <w:rPr>
      <w:sz w:val="28"/>
    </w:rPr>
  </w:style>
  <w:style w:type="paragraph" w:styleId="Heading3">
    <w:name w:val="heading 3"/>
    <w:basedOn w:val="Normal"/>
    <w:next w:val="Normal"/>
    <w:link w:val="Heading3Char"/>
    <w:uiPriority w:val="9"/>
    <w:unhideWhenUsed/>
    <w:qFormat/>
    <w:rsid w:val="00C3039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C3039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C303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C303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C303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C303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303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C3039B"/>
    <w:pPr>
      <w:tabs>
        <w:tab w:val="center" w:pos="4320"/>
        <w:tab w:val="right" w:pos="8640"/>
      </w:tabs>
    </w:pPr>
  </w:style>
  <w:style w:type="character" w:customStyle="1" w:styleId="HeaderChar">
    <w:name w:val="Header Char"/>
    <w:basedOn w:val="DefaultParagraphFont"/>
    <w:link w:val="Header"/>
    <w:uiPriority w:val="99"/>
    <w:rsid w:val="00C3039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C3039B"/>
    <w:pPr>
      <w:tabs>
        <w:tab w:val="center" w:pos="4320"/>
        <w:tab w:val="right" w:pos="8640"/>
      </w:tabs>
    </w:pPr>
  </w:style>
  <w:style w:type="character" w:customStyle="1" w:styleId="FooterChar">
    <w:name w:val="Footer Char"/>
    <w:basedOn w:val="DefaultParagraphFont"/>
    <w:link w:val="Footer"/>
    <w:uiPriority w:val="99"/>
    <w:rsid w:val="00C3039B"/>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C3039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C3039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C3039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C3039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C3039B"/>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C3039B"/>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C3039B"/>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C3039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C3039B"/>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C3039B"/>
    <w:rPr>
      <w:noProof w:val="0"/>
    </w:rPr>
  </w:style>
  <w:style w:type="character" w:styleId="Hyperlink">
    <w:name w:val="Hyperlink"/>
    <w:basedOn w:val="DefaultParagraphFont"/>
    <w:uiPriority w:val="99"/>
    <w:unhideWhenUsed/>
    <w:rsid w:val="00C3039B"/>
    <w:rPr>
      <w:noProof w:val="0"/>
      <w:color w:val="0563C1" w:themeColor="hyperlink"/>
      <w:u w:val="single"/>
    </w:rPr>
  </w:style>
  <w:style w:type="paragraph" w:styleId="ListParagraph">
    <w:name w:val="List Paragraph"/>
    <w:next w:val="Normal"/>
    <w:link w:val="ListParagraphChar"/>
    <w:uiPriority w:val="34"/>
    <w:locked/>
    <w:rsid w:val="00C3039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C3039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C3039B"/>
    <w:pPr>
      <w:spacing w:after="120"/>
    </w:pPr>
    <w:rPr>
      <w:b/>
      <w:bCs/>
      <w:color w:val="FFFFFF"/>
      <w:sz w:val="32"/>
      <w:szCs w:val="32"/>
    </w:rPr>
  </w:style>
  <w:style w:type="paragraph" w:customStyle="1" w:styleId="Headline">
    <w:name w:val="Headline"/>
    <w:basedOn w:val="Normal"/>
    <w:next w:val="Normal"/>
    <w:link w:val="HeadlineChar"/>
    <w:qFormat/>
    <w:rsid w:val="00C3039B"/>
    <w:rPr>
      <w:rFonts w:ascii="Segoe UI Semilight" w:hAnsi="Segoe UI Semilight" w:cs="Segoe UI Semilight"/>
      <w:b/>
      <w:bCs/>
      <w:color w:val="FFFFFF"/>
      <w:sz w:val="40"/>
      <w:szCs w:val="40"/>
    </w:rPr>
  </w:style>
  <w:style w:type="paragraph" w:customStyle="1" w:styleId="ExhibitTitle">
    <w:name w:val="Exhibit Title"/>
    <w:basedOn w:val="Normal"/>
    <w:qFormat/>
    <w:rsid w:val="00C3039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C3039B"/>
    <w:pPr>
      <w:shd w:val="clear" w:color="auto" w:fill="D6E2FA"/>
      <w:spacing w:after="0"/>
    </w:pPr>
    <w:rPr>
      <w:color w:val="595959" w:themeColor="text1" w:themeTint="A6"/>
      <w:sz w:val="18"/>
    </w:rPr>
  </w:style>
  <w:style w:type="paragraph" w:customStyle="1" w:styleId="ExhibitSource">
    <w:name w:val="Exhibit Source"/>
    <w:next w:val="Normal"/>
    <w:qFormat/>
    <w:rsid w:val="00C3039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C3039B"/>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C3039B"/>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C3039B"/>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C3039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C3039B"/>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C3039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C3039B"/>
    <w:rPr>
      <w:rFonts w:ascii="Segoe UI" w:hAnsi="Segoe UI" w:cs="Segoe UI"/>
      <w:noProof w:val="0"/>
      <w:color w:val="000000" w:themeColor="text1"/>
    </w:rPr>
  </w:style>
  <w:style w:type="paragraph" w:customStyle="1" w:styleId="Summary">
    <w:name w:val="Summary"/>
    <w:basedOn w:val="Normal"/>
    <w:link w:val="SummaryChar"/>
    <w:qFormat/>
    <w:rsid w:val="00C3039B"/>
    <w:pPr>
      <w:numPr>
        <w:numId w:val="1"/>
      </w:numPr>
      <w:ind w:left="1797" w:hanging="357"/>
    </w:pPr>
    <w:rPr>
      <w:kern w:val="2"/>
      <w:sz w:val="22"/>
      <w14:ligatures w14:val="standardContextual"/>
    </w:rPr>
  </w:style>
  <w:style w:type="paragraph" w:customStyle="1" w:styleId="TableData">
    <w:name w:val="Table Data"/>
    <w:link w:val="TableDataChar"/>
    <w:qFormat/>
    <w:rsid w:val="00C3039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C3039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C3039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C3039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C3039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C3039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C3039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C3039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C3039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C3039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C3039B"/>
    <w:rPr>
      <w:color w:val="003469"/>
    </w:rPr>
  </w:style>
  <w:style w:type="character" w:customStyle="1" w:styleId="RepeatingFooterChar">
    <w:name w:val="Repeating Footer Char"/>
    <w:basedOn w:val="FooterChar"/>
    <w:link w:val="RepeatingFooter"/>
    <w:rsid w:val="00C3039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C3039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C3039B"/>
    <w:rPr>
      <w:b/>
      <w:bCs/>
      <w:noProof w:val="0"/>
    </w:rPr>
  </w:style>
  <w:style w:type="character" w:customStyle="1" w:styleId="Italics">
    <w:name w:val="Italics"/>
    <w:uiPriority w:val="1"/>
    <w:qFormat/>
    <w:rsid w:val="00C3039B"/>
    <w:rPr>
      <w:i/>
      <w:iCs/>
      <w:noProof w:val="0"/>
    </w:rPr>
  </w:style>
  <w:style w:type="table" w:customStyle="1" w:styleId="TableGridHeader">
    <w:name w:val="Table Grid Header"/>
    <w:basedOn w:val="TableNormal"/>
    <w:uiPriority w:val="99"/>
    <w:rsid w:val="00C3039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s/6558E9Db95634cBc81c2d2" TargetMode="External"/><Relationship Id="rId24" Type="http://schemas.openxmlformats.org/officeDocument/2006/relationships/hyperlink" Target="https://my.oxfordeconomics.com/reports/8409Cd1e3f13473c85d548"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my.oxfordeconomics.com/reportaction/c6f042Aa3d3E46108A024b/Toc" TargetMode="External"/><Relationship Id="rId10" Type="http://schemas.openxmlformats.org/officeDocument/2006/relationships/hyperlink" Target="https://my.oxfordeconomics.com/reportaction/c6f042Aa3d3E46108A024b/Toc"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8.sv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35ECC649-825A-4F43-9699-AE9DBDFADAB0}"/>
      </w:docPartPr>
      <w:docPartBody>
        <w:p w:rsidR="008B3B7C" w:rsidRDefault="008B3B7C">
          <w:r w:rsidRPr="001B2AD2">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7C"/>
    <w:rsid w:val="008B3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665070B9-F305-4E78-B1E0-057FEE3E8A1A}">
  <ds:schemaRefs>
    <ds:schemaRef ds:uri="http://schemas.microsoft.com/sharepoint/v3/contenttype/forms"/>
  </ds:schemaRefs>
</ds:datastoreItem>
</file>

<file path=customXml/itemProps2.xml><?xml version="1.0" encoding="utf-8"?>
<ds:datastoreItem xmlns:ds="http://schemas.openxmlformats.org/officeDocument/2006/customXml" ds:itemID="{13379D9C-DAB7-470F-997E-52522922ED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FC9D89-A70D-4984-847C-999C0E72118E}">
  <ds:schemaRefs>
    <ds:schemaRef ds:uri="http://schemas.openxmlformats.org/package/2006/metadata/core-properties"/>
    <ds:schemaRef ds:uri="http://purl.org/dc/terms/"/>
    <ds:schemaRef ds:uri="http://schemas.microsoft.com/office/2006/documentManagement/types"/>
    <ds:schemaRef ds:uri="http://purl.org/dc/elements/1.1/"/>
    <ds:schemaRef ds:uri="6c77b332-7df6-4eff-997f-266963d55fc4"/>
    <ds:schemaRef ds:uri="http://www.w3.org/XML/1998/namespace"/>
    <ds:schemaRef ds:uri="http://purl.org/dc/dcmitype/"/>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1495</Words>
  <Characters>7806</Characters>
  <Application>Microsoft Office Word</Application>
  <DocSecurity>0</DocSecurity>
  <Lines>105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dcterms:created xsi:type="dcterms:W3CDTF">2024-11-07T15:47:00Z</dcterms:created>
  <dcterms:modified xsi:type="dcterms:W3CDTF">2024-11-07T16:00:00Z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2024-11-07T15:50:50.000Z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OEP_EXHIBIT_FILEPATHS">
    <vt:lpwstr>Z:\UK Team\Data\Inflation report.xlsx,Z:\UK Team\UK Research Briefing\20241107 RB UK MPC reaction - Charts.xlsx</vt:lpwstr>
  </property>
  <property fmtid="{D5CDD505-2E9C-101B-9397-08002B2CF9AE}" pid="17" name="ContentTypeId">
    <vt:lpwstr>0x01010009401BB7205AF745BAD4FA98BDE0B98F</vt:lpwstr>
  </property>
  <property fmtid="{D5CDD505-2E9C-101B-9397-08002B2CF9AE}" pid="18" name="OEP_PRODUCT_CODE">
    <vt:lpwstr>0471F9691bCB4314b1fD38</vt:lpwstr>
  </property>
  <property fmtid="{D5CDD505-2E9C-101B-9397-08002B2CF9AE}" pid="19" name="OEP_PUBLISH_DATE">
    <vt:lpwstr/>
  </property>
</Properties>
</file>