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C7EE7" w14:textId="27F89C38" w:rsidR="00A76F53" w:rsidRPr="00962EDE" w:rsidRDefault="00962EDE" w:rsidP="00A76F53">
      <w:pPr>
        <w:pStyle w:val="Bullet"/>
      </w:pPr>
      <w:r>
        <w:t>S</w:t>
      </w:r>
      <w:r w:rsidR="001C15D3" w:rsidRPr="00962EDE">
        <w:t xml:space="preserve">ome forecasters </w:t>
      </w:r>
      <w:r w:rsidR="00E67E9F">
        <w:t>are</w:t>
      </w:r>
      <w:r w:rsidR="001C15D3" w:rsidRPr="00962EDE">
        <w:t xml:space="preserve"> more optimistic about UK growth prospects following the Budget,</w:t>
      </w:r>
      <w:r>
        <w:t xml:space="preserve"> </w:t>
      </w:r>
      <w:r w:rsidR="00E67E9F">
        <w:t>but</w:t>
      </w:r>
      <w:r w:rsidR="001C15D3" w:rsidRPr="00962EDE">
        <w:t xml:space="preserve"> we</w:t>
      </w:r>
      <w:r>
        <w:t xml:space="preserve"> take the opposite view</w:t>
      </w:r>
      <w:r w:rsidR="00A76F53" w:rsidRPr="00962EDE">
        <w:t xml:space="preserve">. </w:t>
      </w:r>
      <w:r w:rsidR="00E67E9F">
        <w:t xml:space="preserve">Our </w:t>
      </w:r>
      <w:r>
        <w:t>outlook for 2025</w:t>
      </w:r>
      <w:r w:rsidR="00E67E9F" w:rsidRPr="00E67E9F">
        <w:t xml:space="preserve"> </w:t>
      </w:r>
      <w:r w:rsidR="00E67E9F">
        <w:t>is</w:t>
      </w:r>
      <w:r w:rsidR="00E67E9F" w:rsidRPr="00962EDE">
        <w:t xml:space="preserve"> more cautious</w:t>
      </w:r>
      <w:r>
        <w:t xml:space="preserve">, shaped by </w:t>
      </w:r>
      <w:r w:rsidR="001E104F" w:rsidRPr="00962EDE">
        <w:t>four</w:t>
      </w:r>
      <w:r w:rsidR="0023371E" w:rsidRPr="00962EDE">
        <w:t xml:space="preserve"> key themes</w:t>
      </w:r>
      <w:r w:rsidR="00D41B2F">
        <w:t>:</w:t>
      </w:r>
    </w:p>
    <w:p w14:paraId="6C7B3F74" w14:textId="32664AD2" w:rsidR="00A76F53" w:rsidRPr="00962EDE" w:rsidRDefault="006C7306" w:rsidP="00A76F53">
      <w:pPr>
        <w:pStyle w:val="Bullet"/>
      </w:pPr>
      <w:r w:rsidRPr="00962EDE">
        <w:rPr>
          <w:i/>
        </w:rPr>
        <w:t>Fiscal sustainability concerns will linger</w:t>
      </w:r>
      <w:r w:rsidR="00A76F53" w:rsidRPr="00962EDE">
        <w:t>.</w:t>
      </w:r>
      <w:r w:rsidRPr="00962EDE">
        <w:t xml:space="preserve"> </w:t>
      </w:r>
      <w:r w:rsidR="00E65288" w:rsidRPr="00962EDE">
        <w:t>The UK's debt dynamics are among the worst of the advanced economies</w:t>
      </w:r>
      <w:r w:rsidR="0090516C" w:rsidRPr="00962EDE">
        <w:t xml:space="preserve">, </w:t>
      </w:r>
      <w:r w:rsidR="0052283C" w:rsidRPr="00962EDE">
        <w:t>and</w:t>
      </w:r>
      <w:r w:rsidR="0090516C" w:rsidRPr="00962EDE">
        <w:t xml:space="preserve"> h</w:t>
      </w:r>
      <w:r w:rsidR="00E65288" w:rsidRPr="00962EDE">
        <w:t xml:space="preserve">igher </w:t>
      </w:r>
      <w:r w:rsidR="0052283C" w:rsidRPr="00962EDE">
        <w:t xml:space="preserve">market </w:t>
      </w:r>
      <w:r w:rsidR="00E65288" w:rsidRPr="00962EDE">
        <w:t xml:space="preserve">interest rates have already eaten </w:t>
      </w:r>
      <w:r w:rsidR="00003DA6">
        <w:t>some of</w:t>
      </w:r>
      <w:r w:rsidR="0001485C" w:rsidRPr="00962EDE">
        <w:t xml:space="preserve"> </w:t>
      </w:r>
      <w:r w:rsidR="00E65288" w:rsidRPr="00962EDE">
        <w:t>the headroom against the fiscal rules.</w:t>
      </w:r>
      <w:r w:rsidR="0090516C" w:rsidRPr="00962EDE">
        <w:t xml:space="preserve"> The Chancellor will come under pressure to implement further tax hikes.</w:t>
      </w:r>
    </w:p>
    <w:p w14:paraId="2FD5CB08" w14:textId="766E3F90" w:rsidR="00196A0A" w:rsidRPr="00962EDE" w:rsidRDefault="00E65288" w:rsidP="00A76F53">
      <w:pPr>
        <w:pStyle w:val="Bullet"/>
      </w:pPr>
      <w:r w:rsidRPr="00962EDE">
        <w:rPr>
          <w:i/>
        </w:rPr>
        <w:t>Tight policy settings will weigh on activity</w:t>
      </w:r>
      <w:r w:rsidR="00196A0A" w:rsidRPr="00962EDE">
        <w:t xml:space="preserve">. </w:t>
      </w:r>
      <w:r w:rsidR="0074065A" w:rsidRPr="00962EDE">
        <w:t>Though the Budget lessened the squeeze, fiscal policy will still tighten significantly in this parliament, with much of the impact in the next couple of years. Net household interest payments will continue to rise as mortgagors refinance cheap fixed-rate deals, even though Bank Rate is likely to be gradually cut.</w:t>
      </w:r>
    </w:p>
    <w:p w14:paraId="6A9B3291" w14:textId="20FE13AF" w:rsidR="00DF05A4" w:rsidRPr="00962EDE" w:rsidRDefault="00DF05A4" w:rsidP="00A76F53">
      <w:pPr>
        <w:pStyle w:val="Bullet"/>
      </w:pPr>
      <w:r w:rsidRPr="00962EDE">
        <w:rPr>
          <w:i/>
        </w:rPr>
        <w:t>Trump</w:t>
      </w:r>
      <w:r w:rsidRPr="00962EDE">
        <w:t>'s</w:t>
      </w:r>
      <w:r w:rsidRPr="00962EDE">
        <w:rPr>
          <w:i/>
        </w:rPr>
        <w:t xml:space="preserve"> tariff</w:t>
      </w:r>
      <w:r w:rsidRPr="00962EDE">
        <w:t>s</w:t>
      </w:r>
      <w:r w:rsidRPr="00962EDE">
        <w:rPr>
          <w:i/>
        </w:rPr>
        <w:t xml:space="preserve"> will have a limited impact</w:t>
      </w:r>
      <w:r w:rsidRPr="00962EDE">
        <w:t xml:space="preserve">. </w:t>
      </w:r>
      <w:r w:rsidR="0050447B" w:rsidRPr="00962EDE">
        <w:t xml:space="preserve">We expect US tariff </w:t>
      </w:r>
      <w:r w:rsidR="00962EDE" w:rsidRPr="00962EDE">
        <w:t>increas</w:t>
      </w:r>
      <w:r w:rsidR="00962EDE">
        <w:t>es</w:t>
      </w:r>
      <w:r w:rsidR="00962EDE" w:rsidRPr="00962EDE">
        <w:t xml:space="preserve"> to </w:t>
      </w:r>
      <w:r w:rsidR="00962EDE">
        <w:t xml:space="preserve">be targeted </w:t>
      </w:r>
      <w:r w:rsidR="0050447B" w:rsidRPr="00962EDE">
        <w:t xml:space="preserve">and the UK is unlikely to be directly affected. But even if the US imposed large across-the-board </w:t>
      </w:r>
      <w:r w:rsidR="001E104F" w:rsidRPr="00962EDE">
        <w:t>tariffs, the impact on UK growth and inflation would be limited.</w:t>
      </w:r>
    </w:p>
    <w:p w14:paraId="5259E780" w14:textId="3F8548A8" w:rsidR="00A76F53" w:rsidRPr="00962EDE" w:rsidRDefault="00196A0A" w:rsidP="00A76F53">
      <w:pPr>
        <w:pStyle w:val="Bullet"/>
      </w:pPr>
      <w:r w:rsidRPr="00962EDE">
        <w:rPr>
          <w:i/>
        </w:rPr>
        <w:t xml:space="preserve">UK asset prices </w:t>
      </w:r>
      <w:r w:rsidR="00FD225A" w:rsidRPr="00962EDE">
        <w:rPr>
          <w:i/>
        </w:rPr>
        <w:t>may</w:t>
      </w:r>
      <w:r w:rsidRPr="00962EDE">
        <w:rPr>
          <w:i/>
        </w:rPr>
        <w:t xml:space="preserve"> continue to carry a high</w:t>
      </w:r>
      <w:r w:rsidR="00962EDE">
        <w:t xml:space="preserve"> </w:t>
      </w:r>
      <w:r w:rsidRPr="00962EDE">
        <w:rPr>
          <w:i/>
        </w:rPr>
        <w:t>risk premium</w:t>
      </w:r>
      <w:r w:rsidR="00A76F53" w:rsidRPr="00962EDE">
        <w:t xml:space="preserve">. </w:t>
      </w:r>
      <w:r w:rsidR="00CA24DE" w:rsidRPr="00962EDE">
        <w:t>L</w:t>
      </w:r>
      <w:r w:rsidRPr="00962EDE">
        <w:t>ooser fiscal rules and a more volatile inflation outlook imply a higher nominal neutral interest rate</w:t>
      </w:r>
      <w:r w:rsidR="00CA24DE" w:rsidRPr="00962EDE">
        <w:t>. But the risk premium on the front end of the yield curve looks excessive.</w:t>
      </w:r>
      <w:r w:rsidR="00E67B08" w:rsidRPr="00962EDE">
        <w:t xml:space="preserve"> </w:t>
      </w:r>
      <w:r w:rsidR="00CA24DE" w:rsidRPr="00962EDE">
        <w:t>T</w:t>
      </w:r>
      <w:r w:rsidR="00E67B08" w:rsidRPr="00962EDE">
        <w:t>he UK's long-running growth under-performance and fiscal sustainability concerns</w:t>
      </w:r>
      <w:r w:rsidR="00CA24DE" w:rsidRPr="00962EDE">
        <w:t xml:space="preserve"> mean we expect the term p</w:t>
      </w:r>
      <w:r w:rsidR="00E67B08" w:rsidRPr="00962EDE">
        <w:t xml:space="preserve">remium </w:t>
      </w:r>
      <w:r w:rsidR="00CA24DE" w:rsidRPr="00962EDE">
        <w:t>will remain elevated</w:t>
      </w:r>
      <w:r w:rsidR="00E67B08" w:rsidRPr="00962EDE">
        <w:t>.</w:t>
      </w:r>
    </w:p>
    <w:p w14:paraId="39C0B2D2" w14:textId="5FB3BE87" w:rsidR="00687187" w:rsidRPr="00962EDE" w:rsidRDefault="0023371E" w:rsidP="00A76F53">
      <w:r w:rsidRPr="00962EDE">
        <w:t>The UK economy ends 2024 at a crossroads</w:t>
      </w:r>
      <w:r w:rsidR="00A76F53" w:rsidRPr="00962EDE">
        <w:t>.</w:t>
      </w:r>
      <w:r w:rsidRPr="00962EDE">
        <w:t xml:space="preserve"> After a surprisingly strong </w:t>
      </w:r>
      <w:r w:rsidR="00DB73BA" w:rsidRPr="00962EDE">
        <w:t>H1</w:t>
      </w:r>
      <w:r w:rsidRPr="00962EDE">
        <w:t xml:space="preserve"> 2024, </w:t>
      </w:r>
      <w:r w:rsidR="00250D5D" w:rsidRPr="00962EDE">
        <w:t>GDP</w:t>
      </w:r>
      <w:r w:rsidRPr="00962EDE">
        <w:t xml:space="preserve"> growth almost ground to a halt in Q3. </w:t>
      </w:r>
      <w:r w:rsidR="00E67E9F">
        <w:t>Meanwhile</w:t>
      </w:r>
      <w:r w:rsidRPr="00962EDE">
        <w:t xml:space="preserve">, many forecasters </w:t>
      </w:r>
      <w:r w:rsidR="00996BCF" w:rsidRPr="00962EDE">
        <w:t xml:space="preserve">– including the Office for Budget Responsibility and the Bank of England – </w:t>
      </w:r>
      <w:r w:rsidRPr="00962EDE">
        <w:t xml:space="preserve">have become more optimistic about prospects for 2025, arguing the large </w:t>
      </w:r>
      <w:r w:rsidR="00250D5D" w:rsidRPr="00962EDE">
        <w:t>rise</w:t>
      </w:r>
      <w:r w:rsidRPr="00962EDE">
        <w:t xml:space="preserve"> in day-to-day government spending announced in the Budget will cause demand to surge.</w:t>
      </w:r>
    </w:p>
    <w:p w14:paraId="724065B8" w14:textId="40425695" w:rsidR="00687187" w:rsidRPr="00962EDE" w:rsidRDefault="00E67E9F" w:rsidP="00687187">
      <w:r>
        <w:t>W</w:t>
      </w:r>
      <w:r w:rsidR="00250D5D" w:rsidRPr="00962EDE">
        <w:t>e</w:t>
      </w:r>
      <w:r w:rsidR="00AC3F8B" w:rsidRPr="00962EDE">
        <w:t xml:space="preserve"> </w:t>
      </w:r>
      <w:r>
        <w:t>agree that</w:t>
      </w:r>
      <w:r w:rsidR="00AC3F8B" w:rsidRPr="00962EDE">
        <w:t xml:space="preserve"> the Q3 </w:t>
      </w:r>
      <w:r w:rsidR="00FA377B" w:rsidRPr="00962EDE">
        <w:t>outturn</w:t>
      </w:r>
      <w:r w:rsidR="00AC3F8B" w:rsidRPr="00962EDE">
        <w:t xml:space="preserve"> </w:t>
      </w:r>
      <w:r>
        <w:t>should</w:t>
      </w:r>
      <w:r w:rsidRPr="00962EDE">
        <w:t xml:space="preserve"> </w:t>
      </w:r>
      <w:r w:rsidR="00AC3F8B" w:rsidRPr="00962EDE">
        <w:t xml:space="preserve">prove to be noise rather than </w:t>
      </w:r>
      <w:r w:rsidR="00FA377B" w:rsidRPr="00962EDE">
        <w:t>the start of a sustained slowdown</w:t>
      </w:r>
      <w:r w:rsidR="00AC3F8B" w:rsidRPr="00962EDE">
        <w:t xml:space="preserve">, </w:t>
      </w:r>
      <w:r>
        <w:t xml:space="preserve">however </w:t>
      </w:r>
      <w:r w:rsidR="00AC3F8B" w:rsidRPr="00962EDE">
        <w:t xml:space="preserve">we think the chances that the economy accelerates to a 2% </w:t>
      </w:r>
      <w:r>
        <w:t xml:space="preserve">growth </w:t>
      </w:r>
      <w:r w:rsidR="00AC3F8B" w:rsidRPr="00962EDE">
        <w:t xml:space="preserve">pace in 2025 are low. </w:t>
      </w:r>
      <w:r w:rsidR="00250D5D" w:rsidRPr="00962EDE">
        <w:t>T</w:t>
      </w:r>
      <w:r w:rsidR="00AC3F8B" w:rsidRPr="00962EDE">
        <w:t xml:space="preserve">he UK </w:t>
      </w:r>
      <w:r w:rsidR="00250D5D" w:rsidRPr="00962EDE">
        <w:t>has</w:t>
      </w:r>
      <w:r w:rsidR="00AC3F8B" w:rsidRPr="00962EDE">
        <w:t xml:space="preserve"> </w:t>
      </w:r>
      <w:r>
        <w:t>several</w:t>
      </w:r>
      <w:r w:rsidR="00AC3F8B" w:rsidRPr="00962EDE">
        <w:t xml:space="preserve"> </w:t>
      </w:r>
      <w:r w:rsidR="009C10C5" w:rsidRPr="00962EDE">
        <w:t xml:space="preserve">long-running </w:t>
      </w:r>
      <w:r w:rsidR="00250D5D" w:rsidRPr="00962EDE">
        <w:t>structural problems to solve and there's</w:t>
      </w:r>
      <w:r w:rsidR="006C0076" w:rsidRPr="00962EDE">
        <w:t xml:space="preserve"> much </w:t>
      </w:r>
      <w:r w:rsidR="009C10C5" w:rsidRPr="00962EDE">
        <w:t xml:space="preserve">the new government </w:t>
      </w:r>
      <w:r>
        <w:t xml:space="preserve">needs </w:t>
      </w:r>
      <w:r w:rsidR="006C0076" w:rsidRPr="00962EDE">
        <w:t>to do</w:t>
      </w:r>
      <w:r w:rsidR="00630EB3" w:rsidRPr="00962EDE">
        <w:t>.</w:t>
      </w:r>
    </w:p>
    <w:p w14:paraId="04C873D3" w14:textId="68058D34" w:rsidR="00A76F53" w:rsidRPr="00962EDE" w:rsidRDefault="00A76F53" w:rsidP="00C15149">
      <w:pPr>
        <w:pStyle w:val="ExhibitTitle"/>
        <w:jc w:val="center"/>
      </w:pPr>
      <w:bookmarkStart w:id="0" w:name="_Ref182928886"/>
      <w:r w:rsidRPr="00962EDE">
        <w:t xml:space="preserve">Chart </w:t>
      </w:r>
      <w:r w:rsidRPr="00962EDE">
        <w:fldChar w:fldCharType="begin"/>
      </w:r>
      <w:r w:rsidR="00DC0460" w:rsidRPr="00962EDE">
        <w:instrText>SEQ CHART</w:instrText>
      </w:r>
      <w:r w:rsidRPr="00962EDE">
        <w:fldChar w:fldCharType="separate"/>
      </w:r>
      <w:r w:rsidR="0018236F">
        <w:rPr>
          <w:noProof/>
        </w:rPr>
        <w:t>1</w:t>
      </w:r>
      <w:r w:rsidRPr="00962EDE">
        <w:fldChar w:fldCharType="end"/>
      </w:r>
      <w:bookmarkEnd w:id="0"/>
      <w:r w:rsidRPr="00962EDE">
        <w:t xml:space="preserve">: </w:t>
      </w:r>
      <w:r w:rsidR="005C58C8" w:rsidRPr="00962EDE">
        <w:t>The UK's debt dynamics are among the most challenging of the advanced economies</w:t>
      </w:r>
    </w:p>
    <w:p w14:paraId="710514B5" w14:textId="52F4E438" w:rsidR="00687187" w:rsidRPr="00962EDE" w:rsidRDefault="00687187" w:rsidP="00C15149">
      <w:pPr>
        <w:spacing w:after="0"/>
        <w:jc w:val="center"/>
      </w:pPr>
      <w:r w:rsidRPr="00962EDE">
        <w:rPr>
          <w:noProof/>
        </w:rPr>
        <w:drawing>
          <wp:inline distT="0" distB="0" distL="0" distR="0" wp14:anchorId="17E42405" wp14:editId="3D986F92">
            <wp:extent cx="4006964" cy="3140642"/>
            <wp:effectExtent l="0" t="0" r="0" b="3175"/>
            <wp:docPr id="2762181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18163"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b="1886"/>
                    <a:stretch>
                      <a:fillRect/>
                    </a:stretch>
                  </pic:blipFill>
                  <pic:spPr>
                    <a:xfrm>
                      <a:off x="0" y="0"/>
                      <a:ext cx="4006964" cy="3140642"/>
                    </a:xfrm>
                    <a:prstGeom prst="rect">
                      <a:avLst/>
                    </a:prstGeom>
                  </pic:spPr>
                </pic:pic>
              </a:graphicData>
            </a:graphic>
          </wp:inline>
        </w:drawing>
      </w:r>
    </w:p>
    <w:p w14:paraId="3073C72A" w14:textId="34F8757C" w:rsidR="00A76F53" w:rsidRPr="00962EDE" w:rsidRDefault="00C15149" w:rsidP="00C15149">
      <w:pPr>
        <w:pStyle w:val="ExhibitSource"/>
        <w:jc w:val="center"/>
      </w:pPr>
      <w:r w:rsidRPr="00962EDE">
        <w:t>Source: Oxford Economics</w:t>
      </w:r>
    </w:p>
    <w:p w14:paraId="6895FA99" w14:textId="21435DD7" w:rsidR="00A76F53" w:rsidRPr="00962EDE" w:rsidRDefault="00A76F53" w:rsidP="00A76F53">
      <w:pPr>
        <w:pStyle w:val="ExhibitSource"/>
        <w:jc w:val="center"/>
        <w:sectPr w:rsidR="00A76F53" w:rsidRPr="00962EDE" w:rsidSect="00687187">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19F82F88" w14:textId="6204CAF3" w:rsidR="006C7306" w:rsidRPr="00962EDE" w:rsidRDefault="00196A0A" w:rsidP="00875BE8">
      <w:pPr>
        <w:pStyle w:val="Heading3"/>
      </w:pPr>
      <w:r w:rsidRPr="00962EDE">
        <w:lastRenderedPageBreak/>
        <w:t xml:space="preserve">Theme 1: </w:t>
      </w:r>
      <w:r w:rsidR="006C7306" w:rsidRPr="00962EDE">
        <w:t>Fiscal sustainability concerns will linger</w:t>
      </w:r>
    </w:p>
    <w:p w14:paraId="5D002D0C" w14:textId="020F7586" w:rsidR="000E4A23" w:rsidRPr="00962EDE" w:rsidRDefault="00C56928" w:rsidP="00A76F53">
      <w:hyperlink r:id="rId17" w:history="1">
        <w:r w:rsidR="00C93EC0" w:rsidRPr="00962EDE">
          <w:rPr>
            <w:rStyle w:val="Hyperlink"/>
          </w:rPr>
          <w:t>We've been critical</w:t>
        </w:r>
      </w:hyperlink>
      <w:r w:rsidR="00C93EC0" w:rsidRPr="00962EDE">
        <w:t xml:space="preserve"> </w:t>
      </w:r>
      <w:r w:rsidR="00E67E9F">
        <w:t xml:space="preserve">for some time </w:t>
      </w:r>
      <w:r w:rsidR="00C93EC0" w:rsidRPr="00962EDE">
        <w:t>of the state of the UK's public finances and the role played by poorly designed fiscal rules</w:t>
      </w:r>
      <w:r w:rsidR="00476174" w:rsidRPr="00962EDE">
        <w:t xml:space="preserve"> in getting to that position</w:t>
      </w:r>
      <w:r w:rsidR="00A76F53" w:rsidRPr="00962EDE">
        <w:t>.</w:t>
      </w:r>
      <w:r w:rsidR="00476174" w:rsidRPr="00962EDE">
        <w:t xml:space="preserve"> </w:t>
      </w:r>
      <w:r w:rsidR="000E4A23" w:rsidRPr="00962EDE">
        <w:t xml:space="preserve">In particular, a </w:t>
      </w:r>
      <w:r w:rsidR="00E67E9F">
        <w:t>series</w:t>
      </w:r>
      <w:r w:rsidR="00E67E9F" w:rsidRPr="00962EDE">
        <w:t xml:space="preserve"> </w:t>
      </w:r>
      <w:r w:rsidR="000E4A23" w:rsidRPr="00962EDE">
        <w:t xml:space="preserve">of </w:t>
      </w:r>
      <w:r w:rsidR="00E67E9F">
        <w:t>tweaks</w:t>
      </w:r>
      <w:r w:rsidR="000E4A23" w:rsidRPr="00962EDE">
        <w:t xml:space="preserve"> had </w:t>
      </w:r>
      <w:r w:rsidR="009E6BF3">
        <w:t xml:space="preserve">resulted in </w:t>
      </w:r>
      <w:r w:rsidR="009E6BF3" w:rsidRPr="00962EDE">
        <w:t>rule</w:t>
      </w:r>
      <w:r w:rsidR="009E6BF3">
        <w:t>s that</w:t>
      </w:r>
      <w:r w:rsidR="009E6BF3">
        <w:t xml:space="preserve"> </w:t>
      </w:r>
      <w:r w:rsidR="000E4A23" w:rsidRPr="00962EDE">
        <w:t xml:space="preserve">imposed scant debt discipline while also discouraging government investment and, therefore, dampening prospects for economic growth. </w:t>
      </w:r>
    </w:p>
    <w:p w14:paraId="25DC802E" w14:textId="0729E1EF" w:rsidR="00A76F53" w:rsidRPr="00962EDE" w:rsidRDefault="000E4A23" w:rsidP="00A76F53">
      <w:r w:rsidRPr="00962EDE">
        <w:t xml:space="preserve">October's </w:t>
      </w:r>
      <w:hyperlink r:id="rId18" w:history="1">
        <w:r w:rsidRPr="00962EDE">
          <w:rPr>
            <w:rStyle w:val="Hyperlink"/>
          </w:rPr>
          <w:t>Budget</w:t>
        </w:r>
      </w:hyperlink>
      <w:r w:rsidRPr="00962EDE">
        <w:t xml:space="preserve"> </w:t>
      </w:r>
      <w:r w:rsidR="00072FD9" w:rsidRPr="00962EDE">
        <w:t>was</w:t>
      </w:r>
      <w:r w:rsidRPr="00962EDE">
        <w:t xml:space="preserve"> a step in the right direction. </w:t>
      </w:r>
      <w:r w:rsidR="00E42350" w:rsidRPr="00962EDE">
        <w:t xml:space="preserve">The new rules – targeting a balanced current budget (i.e., day-to-day spending matched to government revenue) and a falling ratio of public sector net financial liabilities to GDP – are more investment-friendly. </w:t>
      </w:r>
      <w:r w:rsidR="00E67E9F">
        <w:t>T</w:t>
      </w:r>
      <w:r w:rsidR="00E42350" w:rsidRPr="00962EDE">
        <w:t xml:space="preserve">he </w:t>
      </w:r>
      <w:r w:rsidR="00E67E9F">
        <w:t xml:space="preserve">shortened </w:t>
      </w:r>
      <w:r w:rsidR="00E42350" w:rsidRPr="00962EDE">
        <w:t xml:space="preserve">forecast horizon for those rules </w:t>
      </w:r>
      <w:r w:rsidR="00E67E9F">
        <w:t>–</w:t>
      </w:r>
      <w:r w:rsidR="00E42350" w:rsidRPr="00962EDE">
        <w:t xml:space="preserve"> eventually</w:t>
      </w:r>
      <w:r w:rsidR="00EA73A5">
        <w:t xml:space="preserve"> moving</w:t>
      </w:r>
      <w:r w:rsidR="00E42350" w:rsidRPr="00962EDE">
        <w:t xml:space="preserve"> to three years from five </w:t>
      </w:r>
      <w:r w:rsidR="00A00533">
        <w:t xml:space="preserve">– </w:t>
      </w:r>
      <w:r w:rsidR="00E42350" w:rsidRPr="00962EDE">
        <w:t>should also help to bolster the credibility of the new framework. And by replacing implausibly tight spending assumptions with specific tax hikes, the proposed consolidation looks more credible than before.</w:t>
      </w:r>
    </w:p>
    <w:p w14:paraId="5E03900E" w14:textId="6A4FE20C" w:rsidR="00E42350" w:rsidRPr="00962EDE" w:rsidRDefault="006F7802" w:rsidP="00A76F53">
      <w:r w:rsidRPr="00962EDE">
        <w:t xml:space="preserve">But the Chancellor undermined </w:t>
      </w:r>
      <w:r w:rsidR="00D11FAB" w:rsidRPr="00962EDE">
        <w:t>some</w:t>
      </w:r>
      <w:r w:rsidRPr="00962EDE">
        <w:t xml:space="preserve"> of that good work with other decisions that </w:t>
      </w:r>
      <w:r w:rsidR="00E717D4" w:rsidRPr="00962EDE">
        <w:t>damaged</w:t>
      </w:r>
      <w:r w:rsidRPr="00962EDE">
        <w:t xml:space="preserve"> market confidence. </w:t>
      </w:r>
      <w:r w:rsidR="006A7D5D" w:rsidRPr="00962EDE">
        <w:t xml:space="preserve">The government had spent months preparing the ground for looser rules and more borrowing, but the size of the package was larger than markets had been led to believe. The government's rhetoric had centred on borrowing to invest, but a third of the extra borrowing was to fund higher day-to-day spending. </w:t>
      </w:r>
      <w:r w:rsidR="0072113B">
        <w:t>And b</w:t>
      </w:r>
      <w:r w:rsidR="00D11FAB" w:rsidRPr="00962EDE">
        <w:t xml:space="preserve">y choosing not to index </w:t>
      </w:r>
      <w:r w:rsidR="00DC17C2" w:rsidRPr="00962EDE">
        <w:t>fuel duty</w:t>
      </w:r>
      <w:r w:rsidR="00D11FAB" w:rsidRPr="00962EDE">
        <w:t xml:space="preserve"> in her first Budget, the Chancellor has cast doubt on whether future fiscal plans – which include </w:t>
      </w:r>
      <w:r w:rsidR="00B67A8D">
        <w:t>raising the level of</w:t>
      </w:r>
      <w:r w:rsidR="00D11FAB" w:rsidRPr="00962EDE">
        <w:t xml:space="preserve"> </w:t>
      </w:r>
      <w:r w:rsidR="00DC17C2" w:rsidRPr="00962EDE">
        <w:t xml:space="preserve">fuel duty </w:t>
      </w:r>
      <w:r w:rsidR="00D11FAB" w:rsidRPr="00962EDE">
        <w:t xml:space="preserve">in subsequent </w:t>
      </w:r>
      <w:r w:rsidR="00B67A8D">
        <w:t>years</w:t>
      </w:r>
      <w:r w:rsidR="00D11FAB" w:rsidRPr="00962EDE">
        <w:t xml:space="preserve"> – are credible. </w:t>
      </w:r>
      <w:r w:rsidR="006A7D5D" w:rsidRPr="00962EDE">
        <w:t>The Chancellor also left very little headroom to guard against future shocks</w:t>
      </w:r>
      <w:r w:rsidR="000F64B3" w:rsidRPr="00962EDE">
        <w:t>.</w:t>
      </w:r>
    </w:p>
    <w:p w14:paraId="14CF0E83" w14:textId="7316FA26" w:rsidR="0080288F" w:rsidRPr="00962EDE" w:rsidRDefault="000F64B3" w:rsidP="006F7802">
      <w:r w:rsidRPr="00962EDE">
        <w:t xml:space="preserve">We think this last </w:t>
      </w:r>
      <w:r w:rsidR="0072113B">
        <w:t>issue</w:t>
      </w:r>
      <w:r w:rsidR="0072113B" w:rsidRPr="00962EDE">
        <w:t xml:space="preserve"> </w:t>
      </w:r>
      <w:r w:rsidRPr="00962EDE">
        <w:t xml:space="preserve">is likely to mean that concerns about fiscal sustainability </w:t>
      </w:r>
      <w:r w:rsidR="009119FB" w:rsidRPr="00962EDE">
        <w:t>stay</w:t>
      </w:r>
      <w:r w:rsidRPr="00962EDE">
        <w:t xml:space="preserve"> </w:t>
      </w:r>
      <w:r w:rsidR="00E717D4" w:rsidRPr="00962EDE">
        <w:t>to</w:t>
      </w:r>
      <w:r w:rsidRPr="00962EDE">
        <w:t xml:space="preserve"> the fore </w:t>
      </w:r>
      <w:r w:rsidR="00D1596B" w:rsidRPr="00962EDE">
        <w:t>in</w:t>
      </w:r>
      <w:r w:rsidRPr="00962EDE">
        <w:t xml:space="preserve"> 2025. There</w:t>
      </w:r>
      <w:r w:rsidR="0080288F" w:rsidRPr="00962EDE">
        <w:t xml:space="preserve"> are</w:t>
      </w:r>
      <w:r w:rsidRPr="00962EDE">
        <w:t xml:space="preserve"> several plausible scenarios that could cause the OBR to revise its forecasts </w:t>
      </w:r>
      <w:r w:rsidR="0072113B">
        <w:t>so</w:t>
      </w:r>
      <w:r w:rsidRPr="00962EDE">
        <w:t xml:space="preserve"> that the wafer-thin headroom</w:t>
      </w:r>
      <w:r w:rsidR="0072113B" w:rsidRPr="0072113B">
        <w:t xml:space="preserve"> </w:t>
      </w:r>
      <w:r w:rsidR="0072113B">
        <w:t xml:space="preserve">is </w:t>
      </w:r>
      <w:r w:rsidR="0072113B" w:rsidRPr="00962EDE">
        <w:t>eliminate</w:t>
      </w:r>
      <w:r w:rsidR="0072113B">
        <w:t>d</w:t>
      </w:r>
      <w:r w:rsidRPr="00962EDE">
        <w:t xml:space="preserve">. </w:t>
      </w:r>
      <w:r w:rsidR="0001485C" w:rsidRPr="00962EDE">
        <w:t xml:space="preserve">If gilt yields and market expectations for Bank Rate remain at their current level, it would remove around </w:t>
      </w:r>
      <w:r w:rsidR="00003DA6">
        <w:t>a quarter</w:t>
      </w:r>
      <w:r w:rsidR="0001485C" w:rsidRPr="00962EDE">
        <w:t xml:space="preserve"> of the headroom. </w:t>
      </w:r>
      <w:r w:rsidR="0080288F" w:rsidRPr="00962EDE">
        <w:t xml:space="preserve">The OBR's medium-term potential output forecasts are above consensus and vulnerable to being revised down if growth continues to disappoint. </w:t>
      </w:r>
    </w:p>
    <w:p w14:paraId="0A9657D8" w14:textId="32968935" w:rsidR="00A76F53" w:rsidRPr="00962EDE" w:rsidRDefault="00DE632F" w:rsidP="006F7802">
      <w:r>
        <w:t xml:space="preserve">The </w:t>
      </w:r>
      <w:r w:rsidR="00CF4E1A">
        <w:t>s</w:t>
      </w:r>
      <w:r>
        <w:t>pring 2025</w:t>
      </w:r>
      <w:r w:rsidR="0080288F" w:rsidRPr="00962EDE">
        <w:t xml:space="preserve"> spending review will also force the government to turn spending totals into department-by-department allocations. Calculations by the OBR suggest that totals assumed in the Budget would mean </w:t>
      </w:r>
      <w:r w:rsidR="0009267D" w:rsidRPr="00962EDE">
        <w:t xml:space="preserve">real terms spending cuts for unprotected departments. </w:t>
      </w:r>
      <w:r w:rsidR="002A1CC4" w:rsidRPr="00962EDE">
        <w:t>So t</w:t>
      </w:r>
      <w:r w:rsidR="0009267D" w:rsidRPr="00962EDE">
        <w:t xml:space="preserve">here's likely to be pressure on the Chancellor to </w:t>
      </w:r>
      <w:r w:rsidR="002A1CC4" w:rsidRPr="00962EDE">
        <w:t>increase the size of the envelope. And even if she doesn't</w:t>
      </w:r>
      <w:r w:rsidR="001A7A2D" w:rsidRPr="00962EDE">
        <w:t xml:space="preserve"> increase total spending</w:t>
      </w:r>
      <w:r w:rsidR="002A1CC4" w:rsidRPr="00962EDE">
        <w:t>, markets are likely to be sceptical that such tight plans will be adhered to.</w:t>
      </w:r>
    </w:p>
    <w:p w14:paraId="2BCA1B07" w14:textId="631F764F" w:rsidR="0080288F" w:rsidRPr="00962EDE" w:rsidRDefault="001A7A2D" w:rsidP="006F7802">
      <w:r w:rsidRPr="00962EDE">
        <w:t xml:space="preserve">We forecast average nominal GDP growth will be roughly equal to the effective interest rate the UK government will pay on its debt over the course of this parliament. Of the advanced economies, only Italy is in a </w:t>
      </w:r>
      <w:r w:rsidR="00777B7B" w:rsidRPr="00962EDE">
        <w:t>worse</w:t>
      </w:r>
      <w:r w:rsidRPr="00962EDE">
        <w:t xml:space="preserve"> position (</w:t>
      </w:r>
      <w:r w:rsidR="00DC0460" w:rsidRPr="00D4338F">
        <w:rPr>
          <w:b/>
          <w:color w:val="003469"/>
        </w:rPr>
        <w:fldChar w:fldCharType="begin"/>
      </w:r>
      <w:r w:rsidR="00D4338F" w:rsidRPr="00D4338F">
        <w:rPr>
          <w:b/>
          <w:color w:val="003469"/>
        </w:rPr>
        <w:instrText xml:space="preserve">REF _Ref182928886 \h \* Charformat </w:instrText>
      </w:r>
      <w:r w:rsidR="00D4338F" w:rsidRPr="00D4338F">
        <w:rPr>
          <w:b/>
          <w:color w:val="003469"/>
        </w:rPr>
      </w:r>
      <w:r w:rsidR="00DC0460" w:rsidRPr="00D4338F">
        <w:rPr>
          <w:b/>
          <w:color w:val="003469"/>
        </w:rPr>
        <w:fldChar w:fldCharType="separate"/>
      </w:r>
      <w:r w:rsidR="00D4338F" w:rsidRPr="00D4338F">
        <w:rPr>
          <w:b/>
          <w:color w:val="003469"/>
        </w:rPr>
        <w:t>Chart 1</w:t>
      </w:r>
      <w:r w:rsidR="00DC0460" w:rsidRPr="00D4338F">
        <w:rPr>
          <w:b/>
          <w:color w:val="003469"/>
        </w:rPr>
        <w:fldChar w:fldCharType="end"/>
      </w:r>
      <w:r w:rsidRPr="00962EDE">
        <w:t xml:space="preserve">). </w:t>
      </w:r>
      <w:r w:rsidR="00024FAE" w:rsidRPr="00962EDE">
        <w:t xml:space="preserve">To avoid worsening this situation, the Chancellor may need to raise taxes again in 2025, perhaps as soon as </w:t>
      </w:r>
      <w:r w:rsidR="00D57981">
        <w:t xml:space="preserve">next </w:t>
      </w:r>
      <w:r w:rsidR="00024FAE" w:rsidRPr="00962EDE">
        <w:t>spring's fiscal event if movements in market pricing further erode the Chancellor's headroom.</w:t>
      </w:r>
    </w:p>
    <w:p w14:paraId="0FEB6A22" w14:textId="2C99CBF7" w:rsidR="004678D3" w:rsidRPr="00962EDE" w:rsidRDefault="004678D3" w:rsidP="00875BE8">
      <w:pPr>
        <w:pStyle w:val="Heading3"/>
      </w:pPr>
      <w:r w:rsidRPr="00962EDE">
        <w:t xml:space="preserve">Theme 2: </w:t>
      </w:r>
      <w:r w:rsidR="00E65288" w:rsidRPr="00962EDE">
        <w:t>Tight policy settings will weigh on activity</w:t>
      </w:r>
    </w:p>
    <w:p w14:paraId="5553491B" w14:textId="454D712D" w:rsidR="004678D3" w:rsidRPr="00962EDE" w:rsidRDefault="00DC0460" w:rsidP="004678D3">
      <w:r w:rsidRPr="00962EDE">
        <w:t>Much of the media commentary around the Budget focused on the fact that policy was</w:t>
      </w:r>
      <w:r w:rsidR="00D57981">
        <w:t xml:space="preserve"> being</w:t>
      </w:r>
      <w:r w:rsidRPr="00962EDE">
        <w:t xml:space="preserve"> loosened </w:t>
      </w:r>
      <w:r w:rsidR="00D57981">
        <w:t>relative</w:t>
      </w:r>
      <w:r w:rsidR="00D57981" w:rsidRPr="00962EDE">
        <w:t xml:space="preserve"> </w:t>
      </w:r>
      <w:r w:rsidR="00D57981">
        <w:t>to</w:t>
      </w:r>
      <w:r w:rsidR="00D57981" w:rsidRPr="00962EDE">
        <w:t xml:space="preserve"> </w:t>
      </w:r>
      <w:r w:rsidRPr="00962EDE">
        <w:t xml:space="preserve">the plans inherited from the previous government. </w:t>
      </w:r>
      <w:r w:rsidR="000E4668" w:rsidRPr="00962EDE">
        <w:t>But this ignores the fact that the previous plans assumed a large tightening of fiscal policy. Moreover, those plans required a prolonged period of spending restraint which looked implausible.</w:t>
      </w:r>
    </w:p>
    <w:p w14:paraId="0CAE6D98" w14:textId="63357C78" w:rsidR="000E4668" w:rsidRPr="00962EDE" w:rsidRDefault="00C37D8C" w:rsidP="004678D3">
      <w:r w:rsidRPr="00962EDE">
        <w:t xml:space="preserve">We calculate that the new plans still imply substantial </w:t>
      </w:r>
      <w:r w:rsidR="00D57981" w:rsidRPr="00962EDE">
        <w:t xml:space="preserve">fiscal </w:t>
      </w:r>
      <w:r w:rsidRPr="00962EDE">
        <w:t>tightening of 0.7% of potential GDP in 2025-2026</w:t>
      </w:r>
      <w:r w:rsidR="00C65519" w:rsidRPr="00962EDE">
        <w:t xml:space="preserve"> (</w:t>
      </w:r>
      <w:r w:rsidR="00D051F6" w:rsidRPr="00D4338F">
        <w:rPr>
          <w:b/>
          <w:color w:val="003469"/>
        </w:rPr>
        <w:fldChar w:fldCharType="begin"/>
      </w:r>
      <w:r w:rsidR="00D4338F" w:rsidRPr="00D4338F">
        <w:rPr>
          <w:b/>
          <w:color w:val="003469"/>
        </w:rPr>
        <w:instrText xml:space="preserve">REF _Ref182978669 \h \* Charformat </w:instrText>
      </w:r>
      <w:r w:rsidR="00D4338F" w:rsidRPr="00D4338F">
        <w:rPr>
          <w:b/>
          <w:color w:val="003469"/>
        </w:rPr>
      </w:r>
      <w:r w:rsidR="00D051F6" w:rsidRPr="00D4338F">
        <w:rPr>
          <w:b/>
          <w:color w:val="003469"/>
        </w:rPr>
        <w:fldChar w:fldCharType="separate"/>
      </w:r>
      <w:r w:rsidR="00D4338F" w:rsidRPr="00D4338F">
        <w:rPr>
          <w:b/>
          <w:color w:val="003469"/>
        </w:rPr>
        <w:t>Chart 2</w:t>
      </w:r>
      <w:r w:rsidR="00D051F6" w:rsidRPr="00D4338F">
        <w:rPr>
          <w:b/>
          <w:color w:val="003469"/>
        </w:rPr>
        <w:fldChar w:fldCharType="end"/>
      </w:r>
      <w:r w:rsidR="00C65519" w:rsidRPr="00962EDE">
        <w:t>)</w:t>
      </w:r>
      <w:r w:rsidRPr="00962EDE">
        <w:t xml:space="preserve">. This would be comparable to the </w:t>
      </w:r>
      <w:r w:rsidR="00831203" w:rsidRPr="00962EDE">
        <w:t>mo</w:t>
      </w:r>
      <w:r w:rsidR="004A2F89" w:rsidRPr="00962EDE">
        <w:t>st</w:t>
      </w:r>
      <w:r w:rsidR="00831203" w:rsidRPr="00962EDE">
        <w:t xml:space="preserve"> restrictive</w:t>
      </w:r>
      <w:r w:rsidRPr="00962EDE">
        <w:t xml:space="preserve"> years of the 2010-2015 austerity programme. Moreover, </w:t>
      </w:r>
      <w:r w:rsidR="00796527" w:rsidRPr="00962EDE">
        <w:t xml:space="preserve">implausible spending cuts have been replaced by specific tax hikes. The bulk of the revenue increase will come from higher employer national insurance contributions, with the cost likely to be reflected in lower headcount, weaker wage growth, higher inflation, and lower profitability. This will </w:t>
      </w:r>
      <w:r w:rsidR="00831203" w:rsidRPr="00962EDE">
        <w:t xml:space="preserve">dampen the outlooks for consumer spending and business investment, </w:t>
      </w:r>
      <w:r w:rsidR="00796527" w:rsidRPr="00962EDE">
        <w:t>increas</w:t>
      </w:r>
      <w:r w:rsidR="00831203" w:rsidRPr="00962EDE">
        <w:t>ing</w:t>
      </w:r>
      <w:r w:rsidR="00796527" w:rsidRPr="00962EDE">
        <w:t xml:space="preserve"> the onus on the public sector to drive growth next year.</w:t>
      </w:r>
    </w:p>
    <w:p w14:paraId="301B79A5" w14:textId="23617FEB" w:rsidR="004678D3" w:rsidRPr="00962EDE" w:rsidRDefault="004678D3" w:rsidP="00875BE8">
      <w:pPr>
        <w:pStyle w:val="ExhibitTitle"/>
      </w:pPr>
      <w:bookmarkStart w:id="1" w:name="_Ref182978669"/>
      <w:r w:rsidRPr="00962EDE">
        <w:lastRenderedPageBreak/>
        <w:t xml:space="preserve">Chart </w:t>
      </w:r>
      <w:r w:rsidRPr="00962EDE">
        <w:fldChar w:fldCharType="begin"/>
      </w:r>
      <w:r w:rsidR="00DC0460" w:rsidRPr="00962EDE">
        <w:instrText>SEQ CHART</w:instrText>
      </w:r>
      <w:r w:rsidRPr="00962EDE">
        <w:fldChar w:fldCharType="separate"/>
      </w:r>
      <w:r w:rsidR="0018236F">
        <w:rPr>
          <w:noProof/>
        </w:rPr>
        <w:t>2</w:t>
      </w:r>
      <w:r w:rsidRPr="00962EDE">
        <w:fldChar w:fldCharType="end"/>
      </w:r>
      <w:bookmarkEnd w:id="1"/>
      <w:r w:rsidRPr="00962EDE">
        <w:t xml:space="preserve">: </w:t>
      </w:r>
      <w:r w:rsidR="00831203" w:rsidRPr="00962EDE">
        <w:t>Fiscal policy will get progressively tighter, despite the Budget announcements</w:t>
      </w:r>
    </w:p>
    <w:p w14:paraId="6782D517" w14:textId="238A059B" w:rsidR="00E438FF" w:rsidRPr="00962EDE" w:rsidRDefault="00E438FF" w:rsidP="00875BE8">
      <w:pPr>
        <w:spacing w:after="0"/>
      </w:pPr>
      <w:r w:rsidRPr="00962EDE">
        <w:rPr>
          <w:noProof/>
        </w:rPr>
        <w:drawing>
          <wp:inline distT="0" distB="0" distL="0" distR="0" wp14:anchorId="0105CA67" wp14:editId="5549AB13">
            <wp:extent cx="3250933" cy="2548068"/>
            <wp:effectExtent l="0" t="0" r="6985" b="5080"/>
            <wp:docPr id="16076649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64991" nam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66E9683A" w14:textId="6C5D976F" w:rsidR="004678D3" w:rsidRPr="00962EDE" w:rsidRDefault="00C15149" w:rsidP="00875BE8">
      <w:pPr>
        <w:pStyle w:val="ExhibitSource"/>
      </w:pPr>
      <w:r w:rsidRPr="00962EDE">
        <w:t>Sources: Oxford Economics, Haver Analytics</w:t>
      </w:r>
    </w:p>
    <w:p w14:paraId="76AA238E" w14:textId="5AC323CE" w:rsidR="00F3482C" w:rsidRPr="00962EDE" w:rsidRDefault="00FE0972" w:rsidP="00831203">
      <w:r w:rsidRPr="00962EDE">
        <w:t xml:space="preserve">It's a similar story with respect to the impact of monetary policy on growth prospects. Though we expect the </w:t>
      </w:r>
      <w:r w:rsidR="00F3482C" w:rsidRPr="00962EDE">
        <w:t xml:space="preserve">BoE's Monetary Policy Committee to continue to gradually cut </w:t>
      </w:r>
      <w:r w:rsidR="000A029A" w:rsidRPr="00962EDE">
        <w:t>the policy rate</w:t>
      </w:r>
      <w:r w:rsidR="00F3482C" w:rsidRPr="00962EDE">
        <w:t xml:space="preserve"> next year, the lagged impact of the 2022-2024 hiking cycle is likely to dominate.</w:t>
      </w:r>
    </w:p>
    <w:p w14:paraId="1EA669EB" w14:textId="06974B3A" w:rsidR="00F3482C" w:rsidRPr="00962EDE" w:rsidRDefault="00F3482C" w:rsidP="00831203">
      <w:r w:rsidRPr="00962EDE">
        <w:t>The experience of the</w:t>
      </w:r>
      <w:r w:rsidR="00D57981">
        <w:t xml:space="preserve"> recent</w:t>
      </w:r>
      <w:r w:rsidRPr="00962EDE">
        <w:t xml:space="preserve"> hiking cycle suggests that rate cuts should be transmitted to corporate interest rates relatively quickly. </w:t>
      </w:r>
      <w:r w:rsidR="000A029A" w:rsidRPr="00962EDE">
        <w:t>M</w:t>
      </w:r>
      <w:r w:rsidRPr="00962EDE">
        <w:t xml:space="preserve">ost corporate debt </w:t>
      </w:r>
      <w:r w:rsidR="000A029A" w:rsidRPr="00962EDE">
        <w:t>is</w:t>
      </w:r>
      <w:r w:rsidRPr="00962EDE">
        <w:t xml:space="preserve"> floating rate or fixed at short maturities, </w:t>
      </w:r>
      <w:r w:rsidR="000A029A" w:rsidRPr="00962EDE">
        <w:t xml:space="preserve">so </w:t>
      </w:r>
      <w:r w:rsidRPr="00962EDE">
        <w:t>companies should see their debt servicing costs drift downwards next year.</w:t>
      </w:r>
    </w:p>
    <w:p w14:paraId="2EE4F903" w14:textId="551E849C" w:rsidR="00831203" w:rsidRPr="00962EDE" w:rsidRDefault="00F3482C" w:rsidP="00831203">
      <w:r w:rsidRPr="00962EDE">
        <w:t xml:space="preserve">But it's a very difference picture for the household sector. </w:t>
      </w:r>
      <w:r w:rsidR="00D57981">
        <w:t>O</w:t>
      </w:r>
      <w:r w:rsidR="00B7793F" w:rsidRPr="00962EDE">
        <w:t>f</w:t>
      </w:r>
      <w:r w:rsidR="00340EB5" w:rsidRPr="00962EDE">
        <w:t xml:space="preserve"> outstanding</w:t>
      </w:r>
      <w:r w:rsidR="00B7793F" w:rsidRPr="00962EDE">
        <w:t xml:space="preserve"> mortgage debt</w:t>
      </w:r>
      <w:r w:rsidR="00D57981">
        <w:t>,</w:t>
      </w:r>
      <w:r w:rsidR="00B7793F" w:rsidRPr="00962EDE">
        <w:t xml:space="preserve"> </w:t>
      </w:r>
      <w:r w:rsidR="00D57981">
        <w:t>j</w:t>
      </w:r>
      <w:r w:rsidR="00D57981" w:rsidRPr="00962EDE">
        <w:t xml:space="preserve">ust 12% </w:t>
      </w:r>
      <w:r w:rsidR="00B7793F" w:rsidRPr="00962EDE">
        <w:t xml:space="preserve">was </w:t>
      </w:r>
      <w:r w:rsidR="00D57981">
        <w:t xml:space="preserve">on a </w:t>
      </w:r>
      <w:r w:rsidR="00B7793F" w:rsidRPr="00962EDE">
        <w:t xml:space="preserve">floating rate in Q3 2024, with more than 60% </w:t>
      </w:r>
      <w:r w:rsidR="0001737F">
        <w:t xml:space="preserve">having </w:t>
      </w:r>
      <w:r w:rsidR="008944B9">
        <w:t>initially</w:t>
      </w:r>
      <w:r w:rsidR="0001737F">
        <w:t xml:space="preserve"> been</w:t>
      </w:r>
      <w:r w:rsidR="008944B9">
        <w:t xml:space="preserve"> </w:t>
      </w:r>
      <w:r w:rsidR="00B7793F" w:rsidRPr="00962EDE">
        <w:t>fixed for at least five years</w:t>
      </w:r>
      <w:r w:rsidR="00FE0972" w:rsidRPr="00962EDE">
        <w:t xml:space="preserve">. </w:t>
      </w:r>
      <w:r w:rsidR="004E444A" w:rsidRPr="00962EDE">
        <w:t xml:space="preserve">Data from the Financial Conduct Authority suggests around 1mn mortgagors will need to refinance fixed-rate deals that expire </w:t>
      </w:r>
      <w:r w:rsidR="0062084A" w:rsidRPr="00962EDE">
        <w:t>in</w:t>
      </w:r>
      <w:r w:rsidR="004E444A" w:rsidRPr="00962EDE">
        <w:t xml:space="preserve"> 2025</w:t>
      </w:r>
      <w:r w:rsidR="00721869">
        <w:t xml:space="preserve">. Many of those borrowers will be </w:t>
      </w:r>
      <w:r w:rsidR="004E444A" w:rsidRPr="00962EDE">
        <w:t>refinancing</w:t>
      </w:r>
      <w:r w:rsidR="00721869">
        <w:t xml:space="preserve"> expiring </w:t>
      </w:r>
      <w:r w:rsidR="004E444A" w:rsidRPr="00962EDE">
        <w:t>five-year fixes</w:t>
      </w:r>
      <w:r w:rsidR="00721869">
        <w:t xml:space="preserve">, and they </w:t>
      </w:r>
      <w:r w:rsidR="004E444A" w:rsidRPr="00962EDE">
        <w:t>fac</w:t>
      </w:r>
      <w:r w:rsidR="00721869">
        <w:t>e</w:t>
      </w:r>
      <w:r w:rsidR="004E444A" w:rsidRPr="00962EDE">
        <w:t xml:space="preserve"> an uplift in their </w:t>
      </w:r>
      <w:r w:rsidR="0042326A" w:rsidRPr="00962EDE">
        <w:t>interest</w:t>
      </w:r>
      <w:r w:rsidR="004E444A" w:rsidRPr="00962EDE">
        <w:t xml:space="preserve"> rate of around 250bps</w:t>
      </w:r>
      <w:r w:rsidR="00DA2452" w:rsidRPr="00962EDE">
        <w:t xml:space="preserve"> (</w:t>
      </w:r>
      <w:r w:rsidR="00730D97" w:rsidRPr="00D4338F">
        <w:rPr>
          <w:b/>
          <w:color w:val="003469"/>
        </w:rPr>
        <w:fldChar w:fldCharType="begin"/>
      </w:r>
      <w:r w:rsidR="00D4338F" w:rsidRPr="00D4338F">
        <w:rPr>
          <w:b/>
          <w:color w:val="003469"/>
        </w:rPr>
        <w:instrText xml:space="preserve">REF _Ref183444728 \h \* Charformat </w:instrText>
      </w:r>
      <w:r w:rsidR="00D4338F" w:rsidRPr="00D4338F">
        <w:rPr>
          <w:b/>
          <w:color w:val="003469"/>
        </w:rPr>
      </w:r>
      <w:r w:rsidR="00730D97" w:rsidRPr="00D4338F">
        <w:rPr>
          <w:b/>
          <w:color w:val="003469"/>
        </w:rPr>
        <w:fldChar w:fldCharType="separate"/>
      </w:r>
      <w:r w:rsidR="00D4338F" w:rsidRPr="00D4338F">
        <w:rPr>
          <w:b/>
          <w:color w:val="003469"/>
        </w:rPr>
        <w:t>Chart 3</w:t>
      </w:r>
      <w:r w:rsidR="00730D97" w:rsidRPr="00D4338F">
        <w:rPr>
          <w:b/>
          <w:color w:val="003469"/>
        </w:rPr>
        <w:fldChar w:fldCharType="end"/>
      </w:r>
      <w:r w:rsidR="00DA2452" w:rsidRPr="00962EDE">
        <w:t>)</w:t>
      </w:r>
      <w:r w:rsidR="00AF639F" w:rsidRPr="00962EDE">
        <w:t xml:space="preserve">. </w:t>
      </w:r>
    </w:p>
    <w:p w14:paraId="5BE5685B" w14:textId="32ABF6F7" w:rsidR="00A76F53" w:rsidRPr="00962EDE" w:rsidRDefault="00A76F53" w:rsidP="00875BE8">
      <w:pPr>
        <w:pStyle w:val="ExhibitTitle"/>
      </w:pPr>
      <w:bookmarkStart w:id="2" w:name="_Ref183444728"/>
      <w:r w:rsidRPr="00962EDE">
        <w:t xml:space="preserve">Chart </w:t>
      </w:r>
      <w:r w:rsidRPr="00962EDE">
        <w:fldChar w:fldCharType="begin"/>
      </w:r>
      <w:r w:rsidR="005E1FB7" w:rsidRPr="00962EDE">
        <w:instrText>SEQ CHART</w:instrText>
      </w:r>
      <w:r w:rsidRPr="00962EDE">
        <w:fldChar w:fldCharType="separate"/>
      </w:r>
      <w:r w:rsidR="0018236F">
        <w:rPr>
          <w:noProof/>
        </w:rPr>
        <w:t>3</w:t>
      </w:r>
      <w:r w:rsidRPr="00962EDE">
        <w:fldChar w:fldCharType="end"/>
      </w:r>
      <w:bookmarkEnd w:id="2"/>
      <w:r w:rsidRPr="00962EDE">
        <w:t xml:space="preserve">: </w:t>
      </w:r>
      <w:r w:rsidR="003539D5" w:rsidRPr="00962EDE">
        <w:t>Many mortgagors face refinancing at much higher interest rates in 2025</w:t>
      </w:r>
    </w:p>
    <w:p w14:paraId="0B7D7B45" w14:textId="4AE3CB98" w:rsidR="005E1FB7" w:rsidRPr="00962EDE" w:rsidRDefault="005E1FB7" w:rsidP="00875BE8">
      <w:pPr>
        <w:spacing w:after="0"/>
      </w:pPr>
      <w:r w:rsidRPr="00962EDE">
        <w:rPr>
          <w:noProof/>
        </w:rPr>
        <w:drawing>
          <wp:inline distT="0" distB="0" distL="0" distR="0" wp14:anchorId="200651E6" wp14:editId="34704B69">
            <wp:extent cx="3250933" cy="2548068"/>
            <wp:effectExtent l="0" t="0" r="6985" b="5080"/>
            <wp:docPr id="8609791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79149"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rcRect b="1886"/>
                    <a:stretch>
                      <a:fillRect/>
                    </a:stretch>
                  </pic:blipFill>
                  <pic:spPr>
                    <a:xfrm>
                      <a:off x="0" y="0"/>
                      <a:ext cx="3250933" cy="2548068"/>
                    </a:xfrm>
                    <a:prstGeom prst="rect">
                      <a:avLst/>
                    </a:prstGeom>
                  </pic:spPr>
                </pic:pic>
              </a:graphicData>
            </a:graphic>
          </wp:inline>
        </w:drawing>
      </w:r>
    </w:p>
    <w:p w14:paraId="6D3F690D" w14:textId="2EB71A85" w:rsidR="00A76F53" w:rsidRPr="00962EDE" w:rsidRDefault="00C15149" w:rsidP="00875BE8">
      <w:pPr>
        <w:pStyle w:val="ExhibitSource"/>
      </w:pPr>
      <w:r w:rsidRPr="00962EDE">
        <w:t>Sources: Oxford Economics, Haver Analytics</w:t>
      </w:r>
    </w:p>
    <w:p w14:paraId="390F8913" w14:textId="19BCDEE8" w:rsidR="003539D5" w:rsidRPr="00962EDE" w:rsidRDefault="009530E5" w:rsidP="003539D5">
      <w:r w:rsidRPr="00962EDE">
        <w:t>As a result, we expect the average interest rate on outstanding mortgages will continue to edge up during 2025. At the same time, cuts to Bank Rate are likely to drive down interest rates on deposits. So the net interest position of households will deteriorate, weighing on incomes.</w:t>
      </w:r>
    </w:p>
    <w:p w14:paraId="1A6D74CF" w14:textId="439580DB" w:rsidR="00DA564D" w:rsidRPr="00962EDE" w:rsidRDefault="00DA564D" w:rsidP="003539D5">
      <w:r w:rsidRPr="00962EDE">
        <w:t xml:space="preserve">Moreover, even though </w:t>
      </w:r>
      <w:r w:rsidR="00226A43" w:rsidRPr="00962EDE">
        <w:t>Bank Rate</w:t>
      </w:r>
      <w:r w:rsidRPr="00962EDE">
        <w:t xml:space="preserve"> will be coming down, </w:t>
      </w:r>
      <w:r w:rsidR="00226A43" w:rsidRPr="00962EDE">
        <w:t xml:space="preserve">its level </w:t>
      </w:r>
      <w:r w:rsidRPr="00962EDE">
        <w:t xml:space="preserve">will still be relatively high and above most plausible estimates of neutral. For example, the </w:t>
      </w:r>
      <w:hyperlink r:id="rId23" w:history="1">
        <w:r w:rsidRPr="00962EDE">
          <w:rPr>
            <w:rStyle w:val="Hyperlink"/>
          </w:rPr>
          <w:t xml:space="preserve">BoE </w:t>
        </w:r>
        <w:r w:rsidR="00226A43" w:rsidRPr="00962EDE">
          <w:rPr>
            <w:rStyle w:val="Hyperlink"/>
          </w:rPr>
          <w:t>Market Participants Survey</w:t>
        </w:r>
      </w:hyperlink>
      <w:r w:rsidR="00226A43" w:rsidRPr="00962EDE">
        <w:t xml:space="preserve"> </w:t>
      </w:r>
      <w:r w:rsidRPr="00962EDE">
        <w:t xml:space="preserve">suggests a neutral interest </w:t>
      </w:r>
      <w:r w:rsidRPr="00962EDE">
        <w:lastRenderedPageBreak/>
        <w:t>rate is 3.25%-3.5%, and our estimates suggest it may be even lower. So monetary policy will probably still be restrictive during 2025.</w:t>
      </w:r>
    </w:p>
    <w:p w14:paraId="505ED4D6" w14:textId="02F1FE88" w:rsidR="009530E5" w:rsidRPr="00962EDE" w:rsidRDefault="009530E5" w:rsidP="003539D5">
      <w:r w:rsidRPr="00962EDE">
        <w:t xml:space="preserve">With fiscal policy becoming more restrictive and </w:t>
      </w:r>
      <w:r w:rsidR="004C05B4" w:rsidRPr="00962EDE">
        <w:t>the lagged impact of previous rate hikes dominating, we think even trend growth of around 1.5% might prove a challenge. The OBR's forecast of 2% growth looks a big stretch</w:t>
      </w:r>
      <w:r w:rsidR="008404FA" w:rsidRPr="00962EDE">
        <w:t>, particularly if – as we expect – the boost to real government consumption falls short of the OBR's very bullish expectations</w:t>
      </w:r>
      <w:r w:rsidR="004C05B4" w:rsidRPr="00962EDE">
        <w:t>.</w:t>
      </w:r>
    </w:p>
    <w:p w14:paraId="739D495A" w14:textId="03F9D8BC" w:rsidR="00931F4F" w:rsidRPr="00962EDE" w:rsidRDefault="00B35EED" w:rsidP="003539D5">
      <w:r w:rsidRPr="00962EDE">
        <w:t xml:space="preserve">Policy settings also have important implications for credit quality. On the corporate side, though debt servicing costs should steadily fall, firms have </w:t>
      </w:r>
      <w:r w:rsidR="00F5647C" w:rsidRPr="00962EDE">
        <w:t>the</w:t>
      </w:r>
      <w:r w:rsidRPr="00962EDE">
        <w:t xml:space="preserve"> increase in NICs </w:t>
      </w:r>
      <w:r w:rsidR="00F5647C" w:rsidRPr="00962EDE">
        <w:t>and a 6.7% rise in the national living wage</w:t>
      </w:r>
      <w:r w:rsidR="00C552D2">
        <w:t xml:space="preserve"> (NLW)</w:t>
      </w:r>
      <w:r w:rsidR="00F5647C" w:rsidRPr="00962EDE">
        <w:t xml:space="preserve"> </w:t>
      </w:r>
      <w:r w:rsidRPr="00962EDE">
        <w:t>to deal with</w:t>
      </w:r>
      <w:r w:rsidR="00F5647C" w:rsidRPr="00962EDE">
        <w:t xml:space="preserve"> from April</w:t>
      </w:r>
      <w:r w:rsidRPr="00962EDE">
        <w:t xml:space="preserve">. </w:t>
      </w:r>
      <w:r w:rsidR="002C7076" w:rsidRPr="00962EDE">
        <w:t>Companies</w:t>
      </w:r>
      <w:r w:rsidRPr="00962EDE">
        <w:t xml:space="preserve"> may be able to pass on some of the increase in</w:t>
      </w:r>
      <w:r w:rsidR="00046C05" w:rsidRPr="00962EDE">
        <w:t xml:space="preserve"> costs </w:t>
      </w:r>
      <w:r w:rsidR="00C552D2">
        <w:t>through</w:t>
      </w:r>
      <w:r w:rsidR="00C552D2" w:rsidRPr="00962EDE">
        <w:t xml:space="preserve"> </w:t>
      </w:r>
      <w:r w:rsidRPr="00962EDE">
        <w:t xml:space="preserve">higher prices, and many will seek to cut labour costs via smaller pay rises or lower headcount. But it's likely that profitability will be hit. The large cut in the threshold for paying NICs </w:t>
      </w:r>
      <w:r w:rsidR="00046C05" w:rsidRPr="00962EDE">
        <w:t xml:space="preserve">and the big increase in the NLW </w:t>
      </w:r>
      <w:r w:rsidRPr="00962EDE">
        <w:t>represent particular problem</w:t>
      </w:r>
      <w:r w:rsidR="00046C05" w:rsidRPr="00962EDE">
        <w:t>s</w:t>
      </w:r>
      <w:r w:rsidRPr="00962EDE">
        <w:t xml:space="preserve"> for low-paying, labour-intensive sectors such as retail and hospitality.</w:t>
      </w:r>
      <w:r w:rsidR="00931F4F" w:rsidRPr="00962EDE">
        <w:t xml:space="preserve"> So corporate insolvencies are likely to remain relatively high. With regard to households, large increases in mortgage payments for borrowers refinancing cheap fixed</w:t>
      </w:r>
      <w:r w:rsidR="00C552D2">
        <w:t>-</w:t>
      </w:r>
      <w:r w:rsidR="00931F4F" w:rsidRPr="00962EDE">
        <w:t>rate deals could keep levels of arrears elevated.</w:t>
      </w:r>
    </w:p>
    <w:p w14:paraId="7C4AFD5C" w14:textId="60706934" w:rsidR="00DF05A4" w:rsidRPr="00962EDE" w:rsidRDefault="00DF05A4" w:rsidP="00875BE8">
      <w:pPr>
        <w:pStyle w:val="Heading3"/>
      </w:pPr>
      <w:r w:rsidRPr="00962EDE">
        <w:t>Theme 3: Trump's tariffs will have a limited impact</w:t>
      </w:r>
    </w:p>
    <w:p w14:paraId="0D0F5E4A" w14:textId="3055EC7B" w:rsidR="00DF05A4" w:rsidRPr="00962EDE" w:rsidRDefault="00EE47B1" w:rsidP="00DF05A4">
      <w:r w:rsidRPr="00962EDE">
        <w:t>In t</w:t>
      </w:r>
      <w:r w:rsidR="00DF05A4" w:rsidRPr="00962EDE">
        <w:t>he weeks since Donald Trump's US election victory</w:t>
      </w:r>
      <w:r w:rsidRPr="00962EDE">
        <w:t xml:space="preserve"> there's been much media speculation about </w:t>
      </w:r>
      <w:r w:rsidR="0050447B" w:rsidRPr="00962EDE">
        <w:t xml:space="preserve">how the president-elect will implement his core policy </w:t>
      </w:r>
      <w:r w:rsidR="00C552D2">
        <w:t>pledge to</w:t>
      </w:r>
      <w:r w:rsidR="0050447B" w:rsidRPr="00962EDE">
        <w:t xml:space="preserve"> impos</w:t>
      </w:r>
      <w:r w:rsidR="00C552D2">
        <w:t>e</w:t>
      </w:r>
      <w:r w:rsidR="0050447B" w:rsidRPr="00962EDE">
        <w:t xml:space="preserve"> tariffs on US imports. </w:t>
      </w:r>
      <w:r w:rsidR="008162C7" w:rsidRPr="00962EDE">
        <w:t xml:space="preserve">We think </w:t>
      </w:r>
      <w:hyperlink r:id="rId24" w:history="1">
        <w:r w:rsidR="008162C7" w:rsidRPr="00962EDE">
          <w:rPr>
            <w:rStyle w:val="Hyperlink"/>
          </w:rPr>
          <w:t>legal obstacles</w:t>
        </w:r>
      </w:hyperlink>
      <w:r w:rsidR="008162C7" w:rsidRPr="00962EDE">
        <w:t xml:space="preserve"> make across-the-board tariffs unlikely, and we expect the US to pursue a targeted approach. The new administration is likely to </w:t>
      </w:r>
      <w:r w:rsidR="00021CDC">
        <w:t>focus</w:t>
      </w:r>
      <w:r w:rsidR="008162C7" w:rsidRPr="00962EDE">
        <w:t xml:space="preserve"> on countries that </w:t>
      </w:r>
      <w:r w:rsidR="00186F44" w:rsidRPr="00962EDE">
        <w:t>enjoy</w:t>
      </w:r>
      <w:r w:rsidR="008162C7" w:rsidRPr="00962EDE">
        <w:t xml:space="preserve"> large trade surpluses with the US, that impose large tariffs on imports from the US, and </w:t>
      </w:r>
      <w:r w:rsidR="00186F44" w:rsidRPr="00962EDE">
        <w:t>whose</w:t>
      </w:r>
      <w:r w:rsidR="008162C7" w:rsidRPr="00962EDE">
        <w:t xml:space="preserve"> tariffs have </w:t>
      </w:r>
      <w:r w:rsidR="00186F44" w:rsidRPr="00962EDE">
        <w:t xml:space="preserve">a material impact </w:t>
      </w:r>
      <w:r w:rsidR="008162C7" w:rsidRPr="00962EDE">
        <w:t>on US jobs. Based on these criteria, the UK is likely to be well down the list of priorities for Trump.</w:t>
      </w:r>
    </w:p>
    <w:p w14:paraId="782881AC" w14:textId="0E5F5732" w:rsidR="008162C7" w:rsidRPr="00962EDE" w:rsidRDefault="008162C7" w:rsidP="00DF05A4">
      <w:r w:rsidRPr="00962EDE">
        <w:t xml:space="preserve">The situation is unlikely to be resolved quickly, so UK firms that are heavily reliant on exporting to the US will face a prolonged period of uncertainty. This will be </w:t>
      </w:r>
      <w:hyperlink r:id="rId25" w:history="1">
        <w:r w:rsidRPr="00962EDE">
          <w:rPr>
            <w:rStyle w:val="Hyperlink"/>
          </w:rPr>
          <w:t>damaging for confidence</w:t>
        </w:r>
      </w:hyperlink>
      <w:r w:rsidRPr="00962EDE">
        <w:t xml:space="preserve"> and, coming </w:t>
      </w:r>
      <w:r w:rsidR="00FF58C3" w:rsidRPr="00962EDE">
        <w:t>alongside</w:t>
      </w:r>
      <w:r w:rsidRPr="00962EDE">
        <w:t xml:space="preserve"> the impact of the NICs increase, means a relatively soft outlook for business investment</w:t>
      </w:r>
      <w:r w:rsidR="00FF58C3" w:rsidRPr="00962EDE">
        <w:t xml:space="preserve"> in 2025</w:t>
      </w:r>
      <w:r w:rsidRPr="00962EDE">
        <w:t>.</w:t>
      </w:r>
      <w:r w:rsidR="00E17B43" w:rsidRPr="00962EDE">
        <w:t xml:space="preserve"> But the impact on the UK should be offset by stronger global demand, stoked by looser US fiscal policy.</w:t>
      </w:r>
    </w:p>
    <w:p w14:paraId="192B2B83" w14:textId="058704E0" w:rsidR="008162C7" w:rsidRPr="00962EDE" w:rsidRDefault="004F3EA8" w:rsidP="00DF05A4">
      <w:r w:rsidRPr="00962EDE">
        <w:t xml:space="preserve">Even if Trump follows through on his campaign rhetoric and imposes large across-the-board tariff increases, we think the macroeconomic impact would be limited. Our </w:t>
      </w:r>
      <w:hyperlink r:id="rId26" w:history="1">
        <w:r w:rsidRPr="00962EDE">
          <w:rPr>
            <w:rStyle w:val="Hyperlink"/>
          </w:rPr>
          <w:t>'full-blown Trump' scenario</w:t>
        </w:r>
      </w:hyperlink>
      <w:r w:rsidRPr="00962EDE">
        <w:t xml:space="preserve"> assumes across-the-board tariffs of 10% on all goods imported into the US and 60% tariffs on imports from China, </w:t>
      </w:r>
      <w:r w:rsidR="00021CDC">
        <w:t>raising</w:t>
      </w:r>
      <w:r w:rsidR="00021CDC" w:rsidRPr="00962EDE">
        <w:t xml:space="preserve"> </w:t>
      </w:r>
      <w:r w:rsidRPr="00962EDE">
        <w:t xml:space="preserve">the average US tariff to </w:t>
      </w:r>
      <w:r w:rsidR="00021CDC">
        <w:t>a</w:t>
      </w:r>
      <w:r w:rsidRPr="00962EDE">
        <w:t xml:space="preserve"> level </w:t>
      </w:r>
      <w:r w:rsidR="00021CDC">
        <w:t xml:space="preserve">last </w:t>
      </w:r>
      <w:r w:rsidRPr="00962EDE">
        <w:t xml:space="preserve">seen in the 1930s. It also assumes US fiscal policy is more aggressive than in </w:t>
      </w:r>
      <w:r w:rsidR="00021CDC">
        <w:t>our</w:t>
      </w:r>
      <w:r w:rsidR="00021CDC" w:rsidRPr="00962EDE">
        <w:t xml:space="preserve"> </w:t>
      </w:r>
      <w:r w:rsidRPr="00962EDE">
        <w:t>baseline forecast and curbs on immigration are higher. As with the baseline, we assume that it takes time for higher tariffs to be implemented. We also assume full retaliation by other countries, including the UK.</w:t>
      </w:r>
    </w:p>
    <w:p w14:paraId="224B1AA9" w14:textId="44B0EFA6" w:rsidR="003B06B6" w:rsidRPr="00962EDE" w:rsidRDefault="003B06B6" w:rsidP="00DF05A4">
      <w:r w:rsidRPr="00962EDE">
        <w:t>This scenario shows a peak impact on UK GDP of 0.2ppts, with prices rising 0.3ppts above the baseline (</w:t>
      </w:r>
      <w:r w:rsidR="00730D97" w:rsidRPr="00D4338F">
        <w:rPr>
          <w:b/>
          <w:color w:val="003469"/>
        </w:rPr>
        <w:fldChar w:fldCharType="begin"/>
      </w:r>
      <w:r w:rsidR="00D4338F" w:rsidRPr="00D4338F">
        <w:rPr>
          <w:b/>
          <w:color w:val="003469"/>
        </w:rPr>
        <w:instrText xml:space="preserve">REF _Ref183444729 \h \* Charformat </w:instrText>
      </w:r>
      <w:r w:rsidR="00D4338F" w:rsidRPr="00D4338F">
        <w:rPr>
          <w:b/>
          <w:color w:val="003469"/>
        </w:rPr>
      </w:r>
      <w:r w:rsidR="00730D97" w:rsidRPr="00D4338F">
        <w:rPr>
          <w:b/>
          <w:color w:val="003469"/>
        </w:rPr>
        <w:fldChar w:fldCharType="separate"/>
      </w:r>
      <w:r w:rsidR="00D4338F" w:rsidRPr="00D4338F">
        <w:rPr>
          <w:b/>
          <w:color w:val="003469"/>
        </w:rPr>
        <w:t>Chart 4</w:t>
      </w:r>
      <w:r w:rsidR="00730D97" w:rsidRPr="00D4338F">
        <w:rPr>
          <w:b/>
          <w:color w:val="003469"/>
        </w:rPr>
        <w:fldChar w:fldCharType="end"/>
      </w:r>
      <w:r w:rsidRPr="00962EDE">
        <w:t xml:space="preserve">). </w:t>
      </w:r>
      <w:r w:rsidR="009411C9" w:rsidRPr="00962EDE">
        <w:t xml:space="preserve">Furthermore, retaliation </w:t>
      </w:r>
      <w:r w:rsidR="00021CDC">
        <w:t xml:space="preserve">by the </w:t>
      </w:r>
      <w:r w:rsidR="00021CDC" w:rsidRPr="00962EDE">
        <w:t xml:space="preserve">UK </w:t>
      </w:r>
      <w:r w:rsidR="009411C9" w:rsidRPr="00962EDE">
        <w:t xml:space="preserve">is responsible for a large part of the increase in inflation. But we think it's far from given that the UK would </w:t>
      </w:r>
      <w:r w:rsidR="002C1643">
        <w:t>hit back</w:t>
      </w:r>
      <w:r w:rsidR="002C1643" w:rsidRPr="00962EDE">
        <w:t xml:space="preserve"> </w:t>
      </w:r>
      <w:r w:rsidR="009411C9" w:rsidRPr="00962EDE">
        <w:t>in this situation. The UK has a much heavier reliance on goods imported from the US than the other way around, suggesting that retaliation would be self-defeating. So the impact could turn out even smaller than we estimate.</w:t>
      </w:r>
    </w:p>
    <w:p w14:paraId="319AA59C" w14:textId="6ADAFA87" w:rsidR="008162C7" w:rsidRPr="00962EDE" w:rsidRDefault="008162C7" w:rsidP="00875BE8">
      <w:pPr>
        <w:pStyle w:val="ExhibitTitle"/>
      </w:pPr>
      <w:bookmarkStart w:id="3" w:name="_Ref183444729"/>
      <w:r w:rsidRPr="00962EDE">
        <w:lastRenderedPageBreak/>
        <w:t xml:space="preserve">Chart </w:t>
      </w:r>
      <w:r w:rsidRPr="00962EDE">
        <w:fldChar w:fldCharType="begin"/>
      </w:r>
      <w:r w:rsidR="00730D97" w:rsidRPr="00962EDE">
        <w:instrText>SEQ CHART</w:instrText>
      </w:r>
      <w:r w:rsidRPr="00962EDE">
        <w:fldChar w:fldCharType="separate"/>
      </w:r>
      <w:r w:rsidR="0018236F">
        <w:rPr>
          <w:noProof/>
        </w:rPr>
        <w:t>4</w:t>
      </w:r>
      <w:r w:rsidRPr="00962EDE">
        <w:fldChar w:fldCharType="end"/>
      </w:r>
      <w:bookmarkEnd w:id="3"/>
      <w:r w:rsidRPr="00962EDE">
        <w:t xml:space="preserve">: </w:t>
      </w:r>
      <w:r w:rsidR="004F3EA8" w:rsidRPr="00962EDE">
        <w:t>Even the most extreme Trump scenario would have a limited impact on UK GDP and prices</w:t>
      </w:r>
    </w:p>
    <w:p w14:paraId="54C82CFF" w14:textId="41337927" w:rsidR="004F3EA8" w:rsidRPr="00962EDE" w:rsidRDefault="004F3EA8" w:rsidP="00875BE8">
      <w:pPr>
        <w:spacing w:after="0"/>
      </w:pPr>
      <w:r w:rsidRPr="00962EDE">
        <w:rPr>
          <w:noProof/>
        </w:rPr>
        <w:drawing>
          <wp:inline distT="0" distB="0" distL="0" distR="0" wp14:anchorId="6EBBA847" wp14:editId="39FD8793">
            <wp:extent cx="3250933" cy="2548068"/>
            <wp:effectExtent l="0" t="0" r="6985" b="5080"/>
            <wp:docPr id="16294160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16001" name=""/>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rcRect b="1886"/>
                    <a:stretch>
                      <a:fillRect/>
                    </a:stretch>
                  </pic:blipFill>
                  <pic:spPr>
                    <a:xfrm>
                      <a:off x="0" y="0"/>
                      <a:ext cx="3250933" cy="2548068"/>
                    </a:xfrm>
                    <a:prstGeom prst="rect">
                      <a:avLst/>
                    </a:prstGeom>
                  </pic:spPr>
                </pic:pic>
              </a:graphicData>
            </a:graphic>
          </wp:inline>
        </w:drawing>
      </w:r>
    </w:p>
    <w:p w14:paraId="413C1CD6" w14:textId="24767DC9" w:rsidR="008162C7" w:rsidRPr="00962EDE" w:rsidRDefault="004F3EA8" w:rsidP="00875BE8">
      <w:pPr>
        <w:pStyle w:val="ExhibitSource"/>
      </w:pPr>
      <w:r w:rsidRPr="00962EDE">
        <w:t>Sources: Oxford Economics, Haver Analytics</w:t>
      </w:r>
    </w:p>
    <w:p w14:paraId="64C22192" w14:textId="16DEAA21" w:rsidR="0090516C" w:rsidRPr="00962EDE" w:rsidRDefault="0090516C" w:rsidP="00875BE8">
      <w:pPr>
        <w:pStyle w:val="Heading3"/>
      </w:pPr>
      <w:r w:rsidRPr="00962EDE">
        <w:t xml:space="preserve">Theme </w:t>
      </w:r>
      <w:r w:rsidR="00DF05A4" w:rsidRPr="00962EDE">
        <w:t>4</w:t>
      </w:r>
      <w:r w:rsidRPr="00962EDE">
        <w:t xml:space="preserve">: UK asset prices </w:t>
      </w:r>
      <w:r w:rsidR="00FD225A" w:rsidRPr="00962EDE">
        <w:t>may</w:t>
      </w:r>
      <w:r w:rsidRPr="00962EDE">
        <w:t xml:space="preserve"> continue to carry a high risk premium</w:t>
      </w:r>
    </w:p>
    <w:p w14:paraId="068EC5E5" w14:textId="0065E23F" w:rsidR="0090516C" w:rsidRPr="00962EDE" w:rsidRDefault="00F96451" w:rsidP="0090516C">
      <w:r w:rsidRPr="00962EDE">
        <w:t xml:space="preserve">Financial markets have taken a hawkish view of the implications of the UK Budget and Trump's US election victory. Market pricing now implies a terminal Bank Rate of around 3.75%, </w:t>
      </w:r>
      <w:r w:rsidR="00500C32" w:rsidRPr="00962EDE">
        <w:t>up from 3.5% in mid-October (</w:t>
      </w:r>
      <w:r w:rsidR="00730D97" w:rsidRPr="00D4338F">
        <w:rPr>
          <w:b/>
          <w:color w:val="003469"/>
        </w:rPr>
        <w:fldChar w:fldCharType="begin"/>
      </w:r>
      <w:r w:rsidR="00D4338F" w:rsidRPr="00D4338F">
        <w:rPr>
          <w:b/>
          <w:color w:val="003469"/>
        </w:rPr>
        <w:instrText xml:space="preserve">REF _Ref183444729 \h \* Charformat </w:instrText>
      </w:r>
      <w:r w:rsidR="00D4338F" w:rsidRPr="00D4338F">
        <w:rPr>
          <w:b/>
          <w:color w:val="003469"/>
        </w:rPr>
      </w:r>
      <w:r w:rsidR="00730D97" w:rsidRPr="00D4338F">
        <w:rPr>
          <w:b/>
          <w:color w:val="003469"/>
        </w:rPr>
        <w:fldChar w:fldCharType="separate"/>
      </w:r>
      <w:r w:rsidR="00D4338F" w:rsidRPr="00D4338F">
        <w:rPr>
          <w:b/>
          <w:color w:val="003469"/>
        </w:rPr>
        <w:t>Chart 4</w:t>
      </w:r>
      <w:r w:rsidR="00730D97" w:rsidRPr="00D4338F">
        <w:rPr>
          <w:b/>
          <w:color w:val="003469"/>
        </w:rPr>
        <w:fldChar w:fldCharType="end"/>
      </w:r>
      <w:r w:rsidR="00500C32" w:rsidRPr="00962EDE">
        <w:t xml:space="preserve">). At the longer end of the curve, </w:t>
      </w:r>
      <w:r w:rsidR="00FA7FFC" w:rsidRPr="00962EDE">
        <w:t xml:space="preserve">10-year gilt yields are up around </w:t>
      </w:r>
      <w:r w:rsidR="00514D18" w:rsidRPr="00962EDE">
        <w:t>3</w:t>
      </w:r>
      <w:r w:rsidR="00884531">
        <w:t>0</w:t>
      </w:r>
      <w:r w:rsidR="00FA7FFC" w:rsidRPr="00962EDE">
        <w:t>bp</w:t>
      </w:r>
      <w:r w:rsidR="002C1643">
        <w:t>s</w:t>
      </w:r>
      <w:r w:rsidR="00B10B51" w:rsidRPr="00962EDE">
        <w:t xml:space="preserve"> over the same period</w:t>
      </w:r>
      <w:r w:rsidR="0090516C" w:rsidRPr="00962EDE">
        <w:t>.</w:t>
      </w:r>
    </w:p>
    <w:p w14:paraId="531A5CBE" w14:textId="12142320" w:rsidR="00C15149" w:rsidRPr="00962EDE" w:rsidRDefault="00C15149" w:rsidP="00875BE8">
      <w:pPr>
        <w:pStyle w:val="ExhibitTitle"/>
      </w:pPr>
      <w:r w:rsidRPr="00962EDE">
        <w:t xml:space="preserve">Chart </w:t>
      </w:r>
      <w:r w:rsidRPr="00962EDE">
        <w:fldChar w:fldCharType="begin"/>
      </w:r>
      <w:r w:rsidR="0018236F">
        <w:instrText>SEQ CHART</w:instrText>
      </w:r>
      <w:r w:rsidRPr="00962EDE">
        <w:fldChar w:fldCharType="separate"/>
      </w:r>
      <w:r w:rsidR="0018236F">
        <w:rPr>
          <w:noProof/>
        </w:rPr>
        <w:t>5</w:t>
      </w:r>
      <w:r w:rsidRPr="00962EDE">
        <w:fldChar w:fldCharType="end"/>
      </w:r>
      <w:r w:rsidRPr="00962EDE">
        <w:t xml:space="preserve">: </w:t>
      </w:r>
      <w:r w:rsidR="00FA7FFC" w:rsidRPr="00962EDE">
        <w:t>Looser UK fiscal policy and Trump's victory have raised the likely terminal Bank Rate</w:t>
      </w:r>
    </w:p>
    <w:p w14:paraId="23F530E0" w14:textId="6E706288" w:rsidR="0018236F" w:rsidRDefault="0018236F" w:rsidP="00875BE8">
      <w:pPr>
        <w:spacing w:after="0"/>
        <w:rPr>
          <w:noProof/>
        </w:rPr>
      </w:pPr>
      <w:r>
        <w:rPr>
          <w:noProof/>
        </w:rPr>
        <w:drawing>
          <wp:inline distT="0" distB="0" distL="0" distR="0" wp14:anchorId="6880DD56" wp14:editId="11607E05">
            <wp:extent cx="3250933" cy="2548068"/>
            <wp:effectExtent l="0" t="0" r="6985" b="5080"/>
            <wp:docPr id="19257908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90871" name=""/>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rcRect b="1886"/>
                    <a:stretch>
                      <a:fillRect/>
                    </a:stretch>
                  </pic:blipFill>
                  <pic:spPr>
                    <a:xfrm>
                      <a:off x="0" y="0"/>
                      <a:ext cx="3250933" cy="2548068"/>
                    </a:xfrm>
                    <a:prstGeom prst="rect">
                      <a:avLst/>
                    </a:prstGeom>
                  </pic:spPr>
                </pic:pic>
              </a:graphicData>
            </a:graphic>
          </wp:inline>
        </w:drawing>
      </w:r>
    </w:p>
    <w:p w14:paraId="088B64B5" w14:textId="2FFD88D2" w:rsidR="00C15149" w:rsidRPr="00962EDE" w:rsidRDefault="0018236F" w:rsidP="00875BE8">
      <w:pPr>
        <w:pStyle w:val="ExhibitSource"/>
      </w:pPr>
      <w:r>
        <w:t>Sources: Oxford Economics, Haver Analytics</w:t>
      </w:r>
    </w:p>
    <w:p w14:paraId="536F1257" w14:textId="5B7BF1B0" w:rsidR="00C15149" w:rsidRPr="00962EDE" w:rsidRDefault="00B10B51" w:rsidP="0090516C">
      <w:r w:rsidRPr="00962EDE">
        <w:t xml:space="preserve">Using </w:t>
      </w:r>
      <w:hyperlink r:id="rId31" w:history="1">
        <w:r w:rsidRPr="00962EDE">
          <w:rPr>
            <w:rStyle w:val="Hyperlink"/>
          </w:rPr>
          <w:t xml:space="preserve">our </w:t>
        </w:r>
        <w:r w:rsidR="008B56E1" w:rsidRPr="00962EDE">
          <w:rPr>
            <w:rStyle w:val="Hyperlink"/>
          </w:rPr>
          <w:t xml:space="preserve">framework for estimating </w:t>
        </w:r>
        <w:r w:rsidRPr="00962EDE">
          <w:rPr>
            <w:rStyle w:val="Hyperlink"/>
          </w:rPr>
          <w:t>neutral interest rate</w:t>
        </w:r>
        <w:r w:rsidR="008B56E1" w:rsidRPr="00962EDE">
          <w:rPr>
            <w:rStyle w:val="Hyperlink"/>
          </w:rPr>
          <w:t>s</w:t>
        </w:r>
      </w:hyperlink>
      <w:r w:rsidR="008B56E1" w:rsidRPr="00962EDE">
        <w:t>, we've recently raised our long-term forecasts for Bank Rate and gilt yields</w:t>
      </w:r>
      <w:r w:rsidRPr="00962EDE">
        <w:t xml:space="preserve"> by 50bps. </w:t>
      </w:r>
      <w:r w:rsidR="00FA1196" w:rsidRPr="00962EDE">
        <w:t>A</w:t>
      </w:r>
      <w:r w:rsidRPr="00962EDE">
        <w:t>dopti</w:t>
      </w:r>
      <w:r w:rsidR="00FA1196" w:rsidRPr="00962EDE">
        <w:t>ng</w:t>
      </w:r>
      <w:r w:rsidRPr="00962EDE">
        <w:t xml:space="preserve"> less restrictive fiscal rules and run</w:t>
      </w:r>
      <w:r w:rsidR="00FA1196" w:rsidRPr="00962EDE">
        <w:t>ning</w:t>
      </w:r>
      <w:r w:rsidRPr="00962EDE">
        <w:t xml:space="preserve"> higher deficits means that government debt is likely to be higher than we previously forecast. This is consistent with a higher real neutral interest rate. </w:t>
      </w:r>
      <w:r w:rsidR="00FA1196" w:rsidRPr="00962EDE">
        <w:t>Meanwhile</w:t>
      </w:r>
      <w:r w:rsidRPr="00962EDE">
        <w:t xml:space="preserve">, </w:t>
      </w:r>
      <w:r w:rsidR="00FA1196" w:rsidRPr="00962EDE">
        <w:t xml:space="preserve">prospective </w:t>
      </w:r>
      <w:r w:rsidRPr="00962EDE">
        <w:t>US policy</w:t>
      </w:r>
      <w:r w:rsidR="008B56E1" w:rsidRPr="00962EDE">
        <w:t xml:space="preserve"> changes </w:t>
      </w:r>
      <w:r w:rsidRPr="00962EDE">
        <w:t>imply higher inflation expectations globally.</w:t>
      </w:r>
    </w:p>
    <w:p w14:paraId="7CF26316" w14:textId="17AA4DF3" w:rsidR="0090516C" w:rsidRPr="00962EDE" w:rsidRDefault="00944FBD" w:rsidP="00DC0460">
      <w:r w:rsidRPr="00962EDE">
        <w:t>Th</w:t>
      </w:r>
      <w:r w:rsidR="00DC24E0" w:rsidRPr="00962EDE">
        <w:t>e</w:t>
      </w:r>
      <w:r w:rsidRPr="00962EDE">
        <w:t>s</w:t>
      </w:r>
      <w:r w:rsidR="00DC24E0" w:rsidRPr="00962EDE">
        <w:t>e changes</w:t>
      </w:r>
      <w:r w:rsidRPr="00962EDE">
        <w:t xml:space="preserve"> took our long-run Bank Rate forecast to 2.5%, with 10-year gilt yields </w:t>
      </w:r>
      <w:r w:rsidR="0089356A" w:rsidRPr="00962EDE">
        <w:t xml:space="preserve">projected to </w:t>
      </w:r>
      <w:r w:rsidRPr="00962EDE">
        <w:t>settl</w:t>
      </w:r>
      <w:r w:rsidR="0089356A" w:rsidRPr="00962EDE">
        <w:t>e</w:t>
      </w:r>
      <w:r w:rsidRPr="00962EDE">
        <w:t xml:space="preserve"> at 3.35%. </w:t>
      </w:r>
      <w:r w:rsidR="00637740" w:rsidRPr="00962EDE">
        <w:t xml:space="preserve">These forecasts are well below </w:t>
      </w:r>
      <w:r w:rsidR="00B378D9" w:rsidRPr="00962EDE">
        <w:t>the levels</w:t>
      </w:r>
      <w:r w:rsidR="00637740" w:rsidRPr="00962EDE">
        <w:t xml:space="preserve"> implied by current market pricing.</w:t>
      </w:r>
      <w:r w:rsidRPr="00962EDE">
        <w:t xml:space="preserve"> </w:t>
      </w:r>
      <w:r w:rsidR="001E2AEB" w:rsidRPr="00962EDE">
        <w:t xml:space="preserve">If we're right, </w:t>
      </w:r>
      <w:r w:rsidR="000C59D2" w:rsidRPr="00962EDE">
        <w:t>it may</w:t>
      </w:r>
      <w:r w:rsidR="001E2AEB" w:rsidRPr="00962EDE">
        <w:t xml:space="preserve"> take some time for markets to adjust</w:t>
      </w:r>
      <w:r w:rsidR="000C59D2" w:rsidRPr="00962EDE">
        <w:t xml:space="preserve"> fully</w:t>
      </w:r>
      <w:r w:rsidR="001E2AEB" w:rsidRPr="00962EDE">
        <w:t xml:space="preserve">, with the question of the </w:t>
      </w:r>
      <w:r w:rsidR="008C531A" w:rsidRPr="00962EDE">
        <w:t xml:space="preserve">level of the </w:t>
      </w:r>
      <w:r w:rsidR="001E2AEB" w:rsidRPr="00962EDE">
        <w:t xml:space="preserve">terminal rate only coming into sharper focus once Bank Rate is a lot closer to where markets think </w:t>
      </w:r>
      <w:r w:rsidR="008C531A" w:rsidRPr="00962EDE">
        <w:t xml:space="preserve">a </w:t>
      </w:r>
      <w:r w:rsidR="001E2AEB" w:rsidRPr="00962EDE">
        <w:t xml:space="preserve">neutral </w:t>
      </w:r>
      <w:r w:rsidR="008C531A" w:rsidRPr="00962EDE">
        <w:t xml:space="preserve">level </w:t>
      </w:r>
      <w:r w:rsidR="001E2AEB" w:rsidRPr="00962EDE">
        <w:t>might be.</w:t>
      </w:r>
      <w:r w:rsidR="000C59D2" w:rsidRPr="00962EDE">
        <w:t xml:space="preserve"> Nevertheless, if (as we expect) pay growth and services inflation </w:t>
      </w:r>
      <w:r w:rsidR="00514D18" w:rsidRPr="00962EDE">
        <w:t>drop closer to</w:t>
      </w:r>
      <w:r w:rsidR="000C59D2" w:rsidRPr="00962EDE">
        <w:t xml:space="preserve"> target-consistent rates in 2025, then the risk premium in front</w:t>
      </w:r>
      <w:r w:rsidR="002C1643">
        <w:t>-</w:t>
      </w:r>
      <w:r w:rsidR="000C59D2" w:rsidRPr="00962EDE">
        <w:t>end rate expectations probably will decline in 2025.</w:t>
      </w:r>
    </w:p>
    <w:p w14:paraId="6E57EA41" w14:textId="26B870A8" w:rsidR="00E30305" w:rsidRPr="00962EDE" w:rsidRDefault="00B503F9" w:rsidP="00DC0460">
      <w:r w:rsidRPr="00962EDE">
        <w:lastRenderedPageBreak/>
        <w:t>W</w:t>
      </w:r>
      <w:r w:rsidR="0089356A" w:rsidRPr="00962EDE">
        <w:t xml:space="preserve">e think the term premium will remain elevated. </w:t>
      </w:r>
      <w:r w:rsidR="00BE4587" w:rsidRPr="00962EDE">
        <w:t>US policy changes</w:t>
      </w:r>
      <w:r w:rsidR="008C531A" w:rsidRPr="00962EDE">
        <w:t xml:space="preserve"> mean </w:t>
      </w:r>
      <w:hyperlink r:id="rId32" w:history="1">
        <w:r w:rsidR="008C531A" w:rsidRPr="00962EDE">
          <w:rPr>
            <w:rStyle w:val="Hyperlink"/>
          </w:rPr>
          <w:t>high term premia</w:t>
        </w:r>
      </w:hyperlink>
      <w:r w:rsidR="008C531A" w:rsidRPr="00962EDE">
        <w:t xml:space="preserve"> are likely to be </w:t>
      </w:r>
      <w:r w:rsidR="00A8035C" w:rsidRPr="00962EDE">
        <w:t xml:space="preserve">a </w:t>
      </w:r>
      <w:r w:rsidR="008C531A" w:rsidRPr="00962EDE">
        <w:t xml:space="preserve">feature across the world. But there's several domestic factors that suggest investors will remain wary </w:t>
      </w:r>
      <w:r w:rsidR="00BE4587" w:rsidRPr="00962EDE">
        <w:t>about</w:t>
      </w:r>
      <w:r w:rsidR="008C531A" w:rsidRPr="00962EDE">
        <w:t xml:space="preserve"> the UK specifically</w:t>
      </w:r>
      <w:r w:rsidR="003B325A" w:rsidRPr="00962EDE">
        <w:t xml:space="preserve"> (</w:t>
      </w:r>
      <w:r w:rsidR="00730D97" w:rsidRPr="00D4338F">
        <w:rPr>
          <w:b/>
          <w:color w:val="003469"/>
        </w:rPr>
        <w:fldChar w:fldCharType="begin"/>
      </w:r>
      <w:r w:rsidR="00D4338F" w:rsidRPr="00D4338F">
        <w:rPr>
          <w:b/>
          <w:color w:val="003469"/>
        </w:rPr>
        <w:instrText xml:space="preserve">REF _Ref183444730 \h \* Charformat </w:instrText>
      </w:r>
      <w:r w:rsidR="00D4338F" w:rsidRPr="00D4338F">
        <w:rPr>
          <w:b/>
          <w:color w:val="003469"/>
        </w:rPr>
      </w:r>
      <w:r w:rsidR="00730D97" w:rsidRPr="00D4338F">
        <w:rPr>
          <w:b/>
          <w:color w:val="003469"/>
        </w:rPr>
        <w:fldChar w:fldCharType="separate"/>
      </w:r>
      <w:r w:rsidR="00D4338F" w:rsidRPr="00D4338F">
        <w:rPr>
          <w:b/>
          <w:color w:val="003469"/>
        </w:rPr>
        <w:t>Chart 6</w:t>
      </w:r>
      <w:r w:rsidR="00730D97" w:rsidRPr="00D4338F">
        <w:rPr>
          <w:b/>
          <w:color w:val="003469"/>
        </w:rPr>
        <w:fldChar w:fldCharType="end"/>
      </w:r>
      <w:r w:rsidR="003B325A" w:rsidRPr="00962EDE">
        <w:t>)</w:t>
      </w:r>
      <w:r w:rsidR="008C531A" w:rsidRPr="00962EDE">
        <w:t>.</w:t>
      </w:r>
    </w:p>
    <w:p w14:paraId="776CD74C" w14:textId="39648D28" w:rsidR="003B325A" w:rsidRPr="00962EDE" w:rsidRDefault="003B325A" w:rsidP="00875BE8">
      <w:pPr>
        <w:pStyle w:val="ExhibitTitle"/>
      </w:pPr>
      <w:bookmarkStart w:id="4" w:name="_Ref183444730"/>
      <w:r w:rsidRPr="00962EDE">
        <w:t xml:space="preserve">Chart </w:t>
      </w:r>
      <w:r w:rsidRPr="00962EDE">
        <w:fldChar w:fldCharType="begin"/>
      </w:r>
      <w:r w:rsidR="00730D97" w:rsidRPr="00962EDE">
        <w:instrText>SEQ CHART</w:instrText>
      </w:r>
      <w:r w:rsidRPr="00962EDE">
        <w:fldChar w:fldCharType="separate"/>
      </w:r>
      <w:r w:rsidR="0018236F">
        <w:rPr>
          <w:noProof/>
        </w:rPr>
        <w:t>6</w:t>
      </w:r>
      <w:r w:rsidRPr="00962EDE">
        <w:fldChar w:fldCharType="end"/>
      </w:r>
      <w:bookmarkEnd w:id="4"/>
      <w:r w:rsidRPr="00962EDE">
        <w:t xml:space="preserve">: </w:t>
      </w:r>
      <w:r w:rsidR="009F047F" w:rsidRPr="00962EDE">
        <w:t>UK term-premium is likely to remain elevated in 2025</w:t>
      </w:r>
    </w:p>
    <w:p w14:paraId="55783F8E" w14:textId="6D2FBA6B" w:rsidR="003B325A" w:rsidRPr="00962EDE" w:rsidRDefault="003B325A" w:rsidP="00875BE8">
      <w:pPr>
        <w:spacing w:after="0"/>
      </w:pPr>
      <w:r w:rsidRPr="00962EDE">
        <w:rPr>
          <w:noProof/>
        </w:rPr>
        <w:drawing>
          <wp:inline distT="0" distB="0" distL="0" distR="0" wp14:anchorId="5B0F8FAF" wp14:editId="50D02FB0">
            <wp:extent cx="3250933" cy="2548068"/>
            <wp:effectExtent l="0" t="0" r="6985" b="5080"/>
            <wp:docPr id="178034223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42239" name=""/>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rcRect b="1886"/>
                    <a:stretch>
                      <a:fillRect/>
                    </a:stretch>
                  </pic:blipFill>
                  <pic:spPr>
                    <a:xfrm>
                      <a:off x="0" y="0"/>
                      <a:ext cx="3250933" cy="2548068"/>
                    </a:xfrm>
                    <a:prstGeom prst="rect">
                      <a:avLst/>
                    </a:prstGeom>
                  </pic:spPr>
                </pic:pic>
              </a:graphicData>
            </a:graphic>
          </wp:inline>
        </w:drawing>
      </w:r>
    </w:p>
    <w:p w14:paraId="7B838C9E" w14:textId="30DE9FC7" w:rsidR="003B325A" w:rsidRPr="00962EDE" w:rsidRDefault="003B325A" w:rsidP="00875BE8">
      <w:pPr>
        <w:pStyle w:val="ExhibitSource"/>
      </w:pPr>
      <w:r w:rsidRPr="00962EDE">
        <w:t>Sources: Oxford Economics, Haver Analytics</w:t>
      </w:r>
    </w:p>
    <w:p w14:paraId="19684E14" w14:textId="0AD8593D" w:rsidR="00FA1196" w:rsidRPr="00962EDE" w:rsidRDefault="00FA1196" w:rsidP="00FA1196">
      <w:r w:rsidRPr="00962EDE">
        <w:t xml:space="preserve">The market has to absorb a lot of extra gilt issuance as a result of the much higher borrowing plans announced in the Budget, with </w:t>
      </w:r>
      <w:hyperlink r:id="rId35" w:history="1">
        <w:r w:rsidRPr="00962EDE">
          <w:rPr>
            <w:rStyle w:val="Hyperlink"/>
          </w:rPr>
          <w:t>a lot of that extra supply coming at the medium- and long-end</w:t>
        </w:r>
      </w:hyperlink>
      <w:r w:rsidRPr="00962EDE">
        <w:t xml:space="preserve">. As we've established, concerns about fiscal sustainability are unlikely to go away. Furthermore, the government is yet to offer </w:t>
      </w:r>
      <w:r w:rsidR="001E47F6" w:rsidRPr="00962EDE">
        <w:t xml:space="preserve">detailed policies that might convince markets that it </w:t>
      </w:r>
      <w:r w:rsidRPr="00962EDE">
        <w:t>can orchestrate a recovery from the dismal productivity performance that has now lasted almost two decades.</w:t>
      </w:r>
    </w:p>
    <w:p w14:paraId="5DA35493" w14:textId="3B5AE230" w:rsidR="001E2AEB" w:rsidRPr="00962EDE" w:rsidRDefault="008C531A" w:rsidP="00DC0460">
      <w:r w:rsidRPr="00962EDE">
        <w:t xml:space="preserve">More broadly, </w:t>
      </w:r>
      <w:r w:rsidR="00F869D7" w:rsidRPr="00962EDE">
        <w:t xml:space="preserve">a more stable political backdrop </w:t>
      </w:r>
      <w:r w:rsidR="008C62C4" w:rsidRPr="00962EDE">
        <w:t>sh</w:t>
      </w:r>
      <w:r w:rsidR="00F869D7" w:rsidRPr="00962EDE">
        <w:t xml:space="preserve">ould </w:t>
      </w:r>
      <w:r w:rsidR="008C62C4" w:rsidRPr="00962EDE">
        <w:t>theoretically</w:t>
      </w:r>
      <w:r w:rsidR="00105988" w:rsidRPr="00962EDE">
        <w:t xml:space="preserve"> </w:t>
      </w:r>
      <w:r w:rsidR="00F869D7" w:rsidRPr="00962EDE">
        <w:t>support sentiment around UK assets, after the turbulence of recent years</w:t>
      </w:r>
      <w:r w:rsidR="00105988" w:rsidRPr="00962EDE">
        <w:t xml:space="preserve">. But </w:t>
      </w:r>
      <w:r w:rsidR="00F869D7" w:rsidRPr="00962EDE">
        <w:t>the new Labour administration has had a relatively rocky start</w:t>
      </w:r>
      <w:r w:rsidR="001D7B6E" w:rsidRPr="00962EDE">
        <w:t>. A</w:t>
      </w:r>
      <w:r w:rsidR="00105988" w:rsidRPr="00962EDE">
        <w:t xml:space="preserve">nd markets will want to see more tangible evidence that the government </w:t>
      </w:r>
      <w:r w:rsidR="00243B74" w:rsidRPr="00962EDE">
        <w:t xml:space="preserve">is getting a grip on the many structural problems it has inherited before they are willing to give </w:t>
      </w:r>
      <w:r w:rsidR="008F7EDD" w:rsidRPr="00962EDE">
        <w:t>the UK</w:t>
      </w:r>
      <w:r w:rsidR="00243B74" w:rsidRPr="00962EDE">
        <w:t xml:space="preserve"> the benefit of the doubt</w:t>
      </w:r>
      <w:r w:rsidR="00F869D7" w:rsidRPr="00962EDE">
        <w:t>.</w:t>
      </w:r>
    </w:p>
    <w:sectPr w:rsidR="001E2AEB" w:rsidRPr="00962EDE" w:rsidSect="00687187">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A8883" w14:textId="77777777" w:rsidR="00DA3627" w:rsidRDefault="00DA3627" w:rsidP="00A76F53">
      <w:pPr>
        <w:spacing w:before="0" w:after="0"/>
      </w:pPr>
      <w:r>
        <w:separator/>
      </w:r>
    </w:p>
  </w:endnote>
  <w:endnote w:type="continuationSeparator" w:id="0">
    <w:p w14:paraId="31410D3A" w14:textId="77777777" w:rsidR="00DA3627" w:rsidRDefault="00DA3627" w:rsidP="00A76F5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4DA21" w14:textId="3B16D6F9" w:rsidR="00A76F53" w:rsidRPr="00A76F53" w:rsidRDefault="00A76F53" w:rsidP="00A76F53">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A523E" w14:textId="6A755A3D" w:rsidR="00A76F53" w:rsidRDefault="00A76F53" w:rsidP="00A76F53">
    <w:pPr>
      <w:pStyle w:val="Author"/>
    </w:pPr>
    <w:r>
      <w:t>Andrew Goodwin</w:t>
    </w:r>
    <w:r w:rsidR="00875BE8">
      <w:t xml:space="preserve"> - </w:t>
    </w:r>
    <w:r>
      <w:t>Chief UK Economist</w:t>
    </w:r>
    <w:r w:rsidR="00875BE8">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53FDA" w14:textId="77777777" w:rsidR="00DA3627" w:rsidRDefault="00DA3627" w:rsidP="00A76F53">
      <w:pPr>
        <w:spacing w:before="0" w:after="0"/>
      </w:pPr>
      <w:r>
        <w:separator/>
      </w:r>
    </w:p>
  </w:footnote>
  <w:footnote w:type="continuationSeparator" w:id="0">
    <w:p w14:paraId="1015DF3B" w14:textId="77777777" w:rsidR="00DA3627" w:rsidRDefault="00DA3627" w:rsidP="00A76F5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376A7" w14:textId="77777777" w:rsidR="00A76F53" w:rsidRDefault="00A76F53">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D605A" w14:textId="7B96424F" w:rsidR="00A76F53" w:rsidRDefault="00A76F53" w:rsidP="00A76F53">
    <w:pPr>
      <w:pStyle w:val="Headline"/>
      <w:spacing w:before="120"/>
      <w:ind w:right="-1000"/>
    </w:pPr>
    <w:r w:rsidRPr="00A76F53">
      <w:rPr>
        <w:noProof/>
      </w:rPr>
      <w:drawing>
        <wp:anchor distT="0" distB="0" distL="114300" distR="114300" simplePos="0" relativeHeight="251658239" behindDoc="1" locked="1" layoutInCell="1" allowOverlap="1" wp14:anchorId="068A93F0" wp14:editId="67943E45">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Pr="00A76F53">
      <w:t xml:space="preserve">Key themes 2025 – </w:t>
    </w:r>
    <w:r w:rsidR="0057331F" w:rsidRPr="0057331F">
      <w:t>Worrying debt dynamics shift into focus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15456" w14:textId="5EB3A819" w:rsidR="00A76F53" w:rsidRDefault="00A76F53" w:rsidP="00A76F53">
    <w:r w:rsidRPr="00A76F53">
      <w:rPr>
        <w:noProof/>
      </w:rPr>
      <w:drawing>
        <wp:anchor distT="0" distB="0" distL="114300" distR="114300" simplePos="0" relativeHeight="251659264" behindDoc="1" locked="1" layoutInCell="1" allowOverlap="1" wp14:anchorId="2D44BC0C" wp14:editId="64202C02">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98440363"/>
      <w:lock w:val="sdtLocked"/>
      <w:placeholder>
        <w:docPart w:val="DefaultPlaceholder_-1854013437"/>
      </w:placeholder>
      <w:date w:fullDate="2024-11-26T00:00:00Z">
        <w:dateFormat w:val="d MMMM yyyy"/>
        <w:lid w:val="en-GB"/>
        <w:storeMappedDataAs w:val="dateTime"/>
        <w:calendar w:val="gregorian"/>
      </w:date>
    </w:sdtPr>
    <w:sdtEndPr/>
    <w:sdtContent>
      <w:p w14:paraId="3D20688C" w14:textId="76648F35" w:rsidR="00A76F53" w:rsidRDefault="00A76F53" w:rsidP="00A76F53">
        <w:pPr>
          <w:pStyle w:val="PublishDate"/>
          <w:framePr w:w="2835" w:h="340" w:hRule="exact" w:hSpace="180" w:wrap="around" w:vAnchor="page" w:hAnchor="page" w:x="7801" w:y="601" w:anchorLock="1"/>
        </w:pPr>
        <w:r>
          <w:t>26 November 2024</w:t>
        </w:r>
      </w:p>
    </w:sdtContent>
  </w:sdt>
  <w:p w14:paraId="7BCB9776" w14:textId="42700A85" w:rsidR="00A76F53" w:rsidRDefault="00A76F53" w:rsidP="00A76F53">
    <w:pPr>
      <w:pStyle w:val="ProductDescription"/>
      <w:framePr w:w="11339" w:h="1474" w:hRule="exact" w:hSpace="180" w:wrap="around" w:vAnchor="page" w:hAnchor="page" w:x="401" w:y="1141" w:anchorLock="1"/>
      <w:spacing w:after="200"/>
    </w:pPr>
    <w:r>
      <w:t>Research Briefing | UK</w:t>
    </w:r>
  </w:p>
  <w:p w14:paraId="7DA501E5" w14:textId="3B7936AF" w:rsidR="00A76F53" w:rsidRDefault="00A76F53" w:rsidP="00A76F53">
    <w:pPr>
      <w:pStyle w:val="Headline"/>
      <w:framePr w:w="11339" w:h="1474" w:hRule="exact" w:hSpace="180" w:wrap="around" w:vAnchor="page" w:hAnchor="page" w:x="401" w:y="1141" w:anchorLock="1"/>
      <w:spacing w:line="200" w:lineRule="auto"/>
    </w:pPr>
    <w:r w:rsidRPr="00A76F53">
      <w:t>Key themes 2025 –</w:t>
    </w:r>
    <w:r>
      <w:t xml:space="preserve"> </w:t>
    </w:r>
    <w:r w:rsidR="0057331F" w:rsidRPr="0057331F">
      <w:t>Worrying debt dynamics shift into focus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F53"/>
    <w:rsid w:val="00003BA7"/>
    <w:rsid w:val="00003DA6"/>
    <w:rsid w:val="0001485C"/>
    <w:rsid w:val="0001737F"/>
    <w:rsid w:val="00021CDC"/>
    <w:rsid w:val="00022761"/>
    <w:rsid w:val="00024FAE"/>
    <w:rsid w:val="00046C05"/>
    <w:rsid w:val="00072FD9"/>
    <w:rsid w:val="0008235A"/>
    <w:rsid w:val="0009267D"/>
    <w:rsid w:val="000A029A"/>
    <w:rsid w:val="000C0ADF"/>
    <w:rsid w:val="000C59D2"/>
    <w:rsid w:val="000D3E43"/>
    <w:rsid w:val="000D58EB"/>
    <w:rsid w:val="000E2BD3"/>
    <w:rsid w:val="000E4668"/>
    <w:rsid w:val="000E4A23"/>
    <w:rsid w:val="000F3F52"/>
    <w:rsid w:val="000F64B3"/>
    <w:rsid w:val="001018E9"/>
    <w:rsid w:val="00105988"/>
    <w:rsid w:val="00120D7A"/>
    <w:rsid w:val="00124E58"/>
    <w:rsid w:val="00141C0E"/>
    <w:rsid w:val="00160F71"/>
    <w:rsid w:val="0016316B"/>
    <w:rsid w:val="0017078A"/>
    <w:rsid w:val="00181C1C"/>
    <w:rsid w:val="0018236F"/>
    <w:rsid w:val="00186F44"/>
    <w:rsid w:val="00192CDF"/>
    <w:rsid w:val="00196A0A"/>
    <w:rsid w:val="001A5775"/>
    <w:rsid w:val="001A6993"/>
    <w:rsid w:val="001A749F"/>
    <w:rsid w:val="001A7A2D"/>
    <w:rsid w:val="001B2B67"/>
    <w:rsid w:val="001B2C32"/>
    <w:rsid w:val="001C15D3"/>
    <w:rsid w:val="001D7057"/>
    <w:rsid w:val="001D7B6E"/>
    <w:rsid w:val="001E0785"/>
    <w:rsid w:val="001E0C4A"/>
    <w:rsid w:val="001E104F"/>
    <w:rsid w:val="001E2AEB"/>
    <w:rsid w:val="001E47F6"/>
    <w:rsid w:val="001F1DDB"/>
    <w:rsid w:val="001F3317"/>
    <w:rsid w:val="00226A43"/>
    <w:rsid w:val="0023371E"/>
    <w:rsid w:val="00242E5E"/>
    <w:rsid w:val="00243B74"/>
    <w:rsid w:val="00250D5D"/>
    <w:rsid w:val="002615F6"/>
    <w:rsid w:val="00262D94"/>
    <w:rsid w:val="00263E48"/>
    <w:rsid w:val="002745D6"/>
    <w:rsid w:val="00282A8A"/>
    <w:rsid w:val="00286754"/>
    <w:rsid w:val="0029566B"/>
    <w:rsid w:val="002A1CC4"/>
    <w:rsid w:val="002C1643"/>
    <w:rsid w:val="002C1955"/>
    <w:rsid w:val="002C7076"/>
    <w:rsid w:val="002D0DC9"/>
    <w:rsid w:val="003017D9"/>
    <w:rsid w:val="0031169C"/>
    <w:rsid w:val="00316CBE"/>
    <w:rsid w:val="00340EB5"/>
    <w:rsid w:val="003438DD"/>
    <w:rsid w:val="003539D5"/>
    <w:rsid w:val="00370974"/>
    <w:rsid w:val="00374E02"/>
    <w:rsid w:val="00393F91"/>
    <w:rsid w:val="003A7026"/>
    <w:rsid w:val="003B06B6"/>
    <w:rsid w:val="003B0CAB"/>
    <w:rsid w:val="003B325A"/>
    <w:rsid w:val="003B715A"/>
    <w:rsid w:val="003E7F3C"/>
    <w:rsid w:val="003F0F4E"/>
    <w:rsid w:val="00400A9F"/>
    <w:rsid w:val="0040359C"/>
    <w:rsid w:val="00405A12"/>
    <w:rsid w:val="00405D65"/>
    <w:rsid w:val="004064B2"/>
    <w:rsid w:val="0042326A"/>
    <w:rsid w:val="004258C9"/>
    <w:rsid w:val="004458BB"/>
    <w:rsid w:val="004602D9"/>
    <w:rsid w:val="0046292D"/>
    <w:rsid w:val="004677EA"/>
    <w:rsid w:val="004678D3"/>
    <w:rsid w:val="00476174"/>
    <w:rsid w:val="00480C4F"/>
    <w:rsid w:val="004827E3"/>
    <w:rsid w:val="00495DE7"/>
    <w:rsid w:val="004A2A92"/>
    <w:rsid w:val="004A2F89"/>
    <w:rsid w:val="004B4F66"/>
    <w:rsid w:val="004C05B4"/>
    <w:rsid w:val="004C7923"/>
    <w:rsid w:val="004D473F"/>
    <w:rsid w:val="004D5B83"/>
    <w:rsid w:val="004D650E"/>
    <w:rsid w:val="004E444A"/>
    <w:rsid w:val="004F3EA8"/>
    <w:rsid w:val="00500C32"/>
    <w:rsid w:val="0050447B"/>
    <w:rsid w:val="00514D18"/>
    <w:rsid w:val="005176F2"/>
    <w:rsid w:val="0052283C"/>
    <w:rsid w:val="00535C71"/>
    <w:rsid w:val="005414BA"/>
    <w:rsid w:val="0054280C"/>
    <w:rsid w:val="005473C6"/>
    <w:rsid w:val="00563FEB"/>
    <w:rsid w:val="0057331F"/>
    <w:rsid w:val="00576CB8"/>
    <w:rsid w:val="00592138"/>
    <w:rsid w:val="005C58C8"/>
    <w:rsid w:val="005E1FB7"/>
    <w:rsid w:val="005F0616"/>
    <w:rsid w:val="00606699"/>
    <w:rsid w:val="006125A3"/>
    <w:rsid w:val="00613CF4"/>
    <w:rsid w:val="006166EE"/>
    <w:rsid w:val="0062084A"/>
    <w:rsid w:val="00630EB3"/>
    <w:rsid w:val="00637740"/>
    <w:rsid w:val="00651BF1"/>
    <w:rsid w:val="00671564"/>
    <w:rsid w:val="006739BF"/>
    <w:rsid w:val="0067595A"/>
    <w:rsid w:val="00687187"/>
    <w:rsid w:val="006A1630"/>
    <w:rsid w:val="006A676D"/>
    <w:rsid w:val="006A7D5D"/>
    <w:rsid w:val="006B76A5"/>
    <w:rsid w:val="006C0076"/>
    <w:rsid w:val="006C7306"/>
    <w:rsid w:val="006C7C06"/>
    <w:rsid w:val="006F60F1"/>
    <w:rsid w:val="006F7802"/>
    <w:rsid w:val="0072113B"/>
    <w:rsid w:val="00721869"/>
    <w:rsid w:val="00730D97"/>
    <w:rsid w:val="0074065A"/>
    <w:rsid w:val="0074653F"/>
    <w:rsid w:val="007723AE"/>
    <w:rsid w:val="00777B7B"/>
    <w:rsid w:val="00796527"/>
    <w:rsid w:val="007A0F18"/>
    <w:rsid w:val="007B57CD"/>
    <w:rsid w:val="007F5D5D"/>
    <w:rsid w:val="0080288F"/>
    <w:rsid w:val="008162C7"/>
    <w:rsid w:val="00831203"/>
    <w:rsid w:val="008404FA"/>
    <w:rsid w:val="00847933"/>
    <w:rsid w:val="00855D68"/>
    <w:rsid w:val="0086090E"/>
    <w:rsid w:val="00874B7C"/>
    <w:rsid w:val="00875BE8"/>
    <w:rsid w:val="0088240B"/>
    <w:rsid w:val="00884531"/>
    <w:rsid w:val="0088455B"/>
    <w:rsid w:val="0089356A"/>
    <w:rsid w:val="008944B9"/>
    <w:rsid w:val="008B56E1"/>
    <w:rsid w:val="008C531A"/>
    <w:rsid w:val="008C62C4"/>
    <w:rsid w:val="008D4F08"/>
    <w:rsid w:val="008E11F0"/>
    <w:rsid w:val="008E721D"/>
    <w:rsid w:val="008F1A70"/>
    <w:rsid w:val="008F7EDD"/>
    <w:rsid w:val="0090516C"/>
    <w:rsid w:val="009119FB"/>
    <w:rsid w:val="00917858"/>
    <w:rsid w:val="00920D15"/>
    <w:rsid w:val="00931F4F"/>
    <w:rsid w:val="00933B30"/>
    <w:rsid w:val="009411C9"/>
    <w:rsid w:val="00944FBD"/>
    <w:rsid w:val="009530E5"/>
    <w:rsid w:val="00962EDE"/>
    <w:rsid w:val="009634AC"/>
    <w:rsid w:val="00963AA5"/>
    <w:rsid w:val="009869A6"/>
    <w:rsid w:val="00991F72"/>
    <w:rsid w:val="00995E6B"/>
    <w:rsid w:val="00996BCF"/>
    <w:rsid w:val="009B723B"/>
    <w:rsid w:val="009C10C5"/>
    <w:rsid w:val="009C7C16"/>
    <w:rsid w:val="009E07F1"/>
    <w:rsid w:val="009E5F70"/>
    <w:rsid w:val="009E6BF3"/>
    <w:rsid w:val="009F047F"/>
    <w:rsid w:val="009F37D1"/>
    <w:rsid w:val="009F3F01"/>
    <w:rsid w:val="00A00533"/>
    <w:rsid w:val="00A12FD7"/>
    <w:rsid w:val="00A25234"/>
    <w:rsid w:val="00A332D4"/>
    <w:rsid w:val="00A50835"/>
    <w:rsid w:val="00A509F9"/>
    <w:rsid w:val="00A52669"/>
    <w:rsid w:val="00A576A0"/>
    <w:rsid w:val="00A63323"/>
    <w:rsid w:val="00A648C9"/>
    <w:rsid w:val="00A66B32"/>
    <w:rsid w:val="00A76F53"/>
    <w:rsid w:val="00A77085"/>
    <w:rsid w:val="00A8035C"/>
    <w:rsid w:val="00A9430E"/>
    <w:rsid w:val="00A95872"/>
    <w:rsid w:val="00AB24B7"/>
    <w:rsid w:val="00AB6B99"/>
    <w:rsid w:val="00AC3F8B"/>
    <w:rsid w:val="00AD07ED"/>
    <w:rsid w:val="00AE76E6"/>
    <w:rsid w:val="00AF639F"/>
    <w:rsid w:val="00B04E07"/>
    <w:rsid w:val="00B10B51"/>
    <w:rsid w:val="00B16B5A"/>
    <w:rsid w:val="00B35EED"/>
    <w:rsid w:val="00B378D9"/>
    <w:rsid w:val="00B503F9"/>
    <w:rsid w:val="00B67A8D"/>
    <w:rsid w:val="00B7343B"/>
    <w:rsid w:val="00B7793F"/>
    <w:rsid w:val="00B846EA"/>
    <w:rsid w:val="00B910EA"/>
    <w:rsid w:val="00BA7456"/>
    <w:rsid w:val="00BB6195"/>
    <w:rsid w:val="00BC0B6C"/>
    <w:rsid w:val="00BE1485"/>
    <w:rsid w:val="00BE4587"/>
    <w:rsid w:val="00BF6A2A"/>
    <w:rsid w:val="00C15149"/>
    <w:rsid w:val="00C17065"/>
    <w:rsid w:val="00C37D8C"/>
    <w:rsid w:val="00C54E1A"/>
    <w:rsid w:val="00C552D2"/>
    <w:rsid w:val="00C56928"/>
    <w:rsid w:val="00C61C47"/>
    <w:rsid w:val="00C65519"/>
    <w:rsid w:val="00C65A69"/>
    <w:rsid w:val="00C72052"/>
    <w:rsid w:val="00C75153"/>
    <w:rsid w:val="00C76458"/>
    <w:rsid w:val="00C84AD7"/>
    <w:rsid w:val="00C90D41"/>
    <w:rsid w:val="00C93538"/>
    <w:rsid w:val="00C93EC0"/>
    <w:rsid w:val="00C9768F"/>
    <w:rsid w:val="00CA24DE"/>
    <w:rsid w:val="00CA27D5"/>
    <w:rsid w:val="00CA4BF3"/>
    <w:rsid w:val="00CB23EC"/>
    <w:rsid w:val="00CB7716"/>
    <w:rsid w:val="00CC3321"/>
    <w:rsid w:val="00CE3160"/>
    <w:rsid w:val="00CE7395"/>
    <w:rsid w:val="00CF4E1A"/>
    <w:rsid w:val="00D01AEE"/>
    <w:rsid w:val="00D051F6"/>
    <w:rsid w:val="00D11FAB"/>
    <w:rsid w:val="00D1596B"/>
    <w:rsid w:val="00D379EC"/>
    <w:rsid w:val="00D41B2F"/>
    <w:rsid w:val="00D4338F"/>
    <w:rsid w:val="00D44219"/>
    <w:rsid w:val="00D46A76"/>
    <w:rsid w:val="00D57981"/>
    <w:rsid w:val="00D645EE"/>
    <w:rsid w:val="00D7697E"/>
    <w:rsid w:val="00D82250"/>
    <w:rsid w:val="00D86E71"/>
    <w:rsid w:val="00DA2452"/>
    <w:rsid w:val="00DA3627"/>
    <w:rsid w:val="00DA564D"/>
    <w:rsid w:val="00DB0BE6"/>
    <w:rsid w:val="00DB6811"/>
    <w:rsid w:val="00DB73BA"/>
    <w:rsid w:val="00DC0460"/>
    <w:rsid w:val="00DC17C2"/>
    <w:rsid w:val="00DC24E0"/>
    <w:rsid w:val="00DC3B6C"/>
    <w:rsid w:val="00DE568D"/>
    <w:rsid w:val="00DE632F"/>
    <w:rsid w:val="00DF05A4"/>
    <w:rsid w:val="00DF68CB"/>
    <w:rsid w:val="00DF73F9"/>
    <w:rsid w:val="00E10235"/>
    <w:rsid w:val="00E17B43"/>
    <w:rsid w:val="00E213A8"/>
    <w:rsid w:val="00E23560"/>
    <w:rsid w:val="00E30305"/>
    <w:rsid w:val="00E42350"/>
    <w:rsid w:val="00E438FF"/>
    <w:rsid w:val="00E442E3"/>
    <w:rsid w:val="00E44FFF"/>
    <w:rsid w:val="00E65288"/>
    <w:rsid w:val="00E67B08"/>
    <w:rsid w:val="00E67E9F"/>
    <w:rsid w:val="00E717D4"/>
    <w:rsid w:val="00EA0803"/>
    <w:rsid w:val="00EA2025"/>
    <w:rsid w:val="00EA73A5"/>
    <w:rsid w:val="00EC10CA"/>
    <w:rsid w:val="00ED615F"/>
    <w:rsid w:val="00ED6FF0"/>
    <w:rsid w:val="00EE47B1"/>
    <w:rsid w:val="00F2643F"/>
    <w:rsid w:val="00F3482C"/>
    <w:rsid w:val="00F52C66"/>
    <w:rsid w:val="00F5647C"/>
    <w:rsid w:val="00F6555D"/>
    <w:rsid w:val="00F72F2A"/>
    <w:rsid w:val="00F869D7"/>
    <w:rsid w:val="00F96451"/>
    <w:rsid w:val="00FA1196"/>
    <w:rsid w:val="00FA377B"/>
    <w:rsid w:val="00FA7FFC"/>
    <w:rsid w:val="00FC0E4A"/>
    <w:rsid w:val="00FC1EA7"/>
    <w:rsid w:val="00FD225A"/>
    <w:rsid w:val="00FE0972"/>
    <w:rsid w:val="00FE0EF6"/>
    <w:rsid w:val="00FE5C10"/>
    <w:rsid w:val="00FE67A6"/>
    <w:rsid w:val="00FF58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7BF51A"/>
  <w15:chartTrackingRefBased/>
  <w15:docId w15:val="{2989BCD6-EF6F-4341-87DE-0D7424152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F53"/>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A76F53"/>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A76F53"/>
    <w:pPr>
      <w:outlineLvl w:val="1"/>
    </w:pPr>
    <w:rPr>
      <w:sz w:val="28"/>
    </w:rPr>
  </w:style>
  <w:style w:type="paragraph" w:styleId="Heading3">
    <w:name w:val="heading 3"/>
    <w:basedOn w:val="Normal"/>
    <w:next w:val="Normal"/>
    <w:link w:val="Heading3Char"/>
    <w:uiPriority w:val="9"/>
    <w:unhideWhenUsed/>
    <w:qFormat/>
    <w:rsid w:val="00A76F53"/>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A76F53"/>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A76F5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A76F5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A76F5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A76F5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A76F5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A76F53"/>
    <w:pPr>
      <w:tabs>
        <w:tab w:val="center" w:pos="4320"/>
        <w:tab w:val="right" w:pos="8640"/>
      </w:tabs>
    </w:pPr>
  </w:style>
  <w:style w:type="character" w:customStyle="1" w:styleId="HeaderChar">
    <w:name w:val="Header Char"/>
    <w:basedOn w:val="DefaultParagraphFont"/>
    <w:link w:val="Header"/>
    <w:uiPriority w:val="99"/>
    <w:rsid w:val="00A76F53"/>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A76F53"/>
    <w:pPr>
      <w:tabs>
        <w:tab w:val="center" w:pos="4320"/>
        <w:tab w:val="right" w:pos="8640"/>
      </w:tabs>
    </w:pPr>
  </w:style>
  <w:style w:type="character" w:customStyle="1" w:styleId="FooterChar">
    <w:name w:val="Footer Char"/>
    <w:basedOn w:val="DefaultParagraphFont"/>
    <w:link w:val="Footer"/>
    <w:uiPriority w:val="99"/>
    <w:rsid w:val="00A76F53"/>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A76F53"/>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A76F53"/>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A76F53"/>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A76F53"/>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A76F53"/>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A76F53"/>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A76F53"/>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A76F53"/>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A76F53"/>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A76F53"/>
    <w:rPr>
      <w:noProof w:val="0"/>
    </w:rPr>
  </w:style>
  <w:style w:type="character" w:styleId="Hyperlink">
    <w:name w:val="Hyperlink"/>
    <w:basedOn w:val="DefaultParagraphFont"/>
    <w:uiPriority w:val="99"/>
    <w:unhideWhenUsed/>
    <w:rsid w:val="00A76F53"/>
    <w:rPr>
      <w:noProof w:val="0"/>
      <w:color w:val="0563C1" w:themeColor="hyperlink"/>
      <w:u w:val="single"/>
    </w:rPr>
  </w:style>
  <w:style w:type="paragraph" w:styleId="ListParagraph">
    <w:name w:val="List Paragraph"/>
    <w:next w:val="Normal"/>
    <w:link w:val="ListParagraphChar"/>
    <w:uiPriority w:val="34"/>
    <w:locked/>
    <w:rsid w:val="00A76F53"/>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A76F53"/>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A76F53"/>
    <w:pPr>
      <w:spacing w:after="120"/>
    </w:pPr>
    <w:rPr>
      <w:b/>
      <w:bCs/>
      <w:color w:val="FFFFFF"/>
      <w:sz w:val="32"/>
      <w:szCs w:val="32"/>
    </w:rPr>
  </w:style>
  <w:style w:type="paragraph" w:customStyle="1" w:styleId="Headline">
    <w:name w:val="Headline"/>
    <w:basedOn w:val="Normal"/>
    <w:next w:val="Normal"/>
    <w:link w:val="HeadlineChar"/>
    <w:qFormat/>
    <w:rsid w:val="00A76F53"/>
    <w:rPr>
      <w:rFonts w:ascii="Segoe UI Semilight" w:hAnsi="Segoe UI Semilight" w:cs="Segoe UI Semilight"/>
      <w:b/>
      <w:bCs/>
      <w:color w:val="FFFFFF"/>
      <w:sz w:val="40"/>
      <w:szCs w:val="40"/>
    </w:rPr>
  </w:style>
  <w:style w:type="paragraph" w:customStyle="1" w:styleId="ExhibitTitle">
    <w:name w:val="Exhibit Title"/>
    <w:basedOn w:val="Normal"/>
    <w:qFormat/>
    <w:rsid w:val="00A76F53"/>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A76F53"/>
    <w:pPr>
      <w:shd w:val="clear" w:color="auto" w:fill="D6E2FA"/>
      <w:spacing w:after="0"/>
    </w:pPr>
    <w:rPr>
      <w:color w:val="595959" w:themeColor="text1" w:themeTint="A6"/>
      <w:sz w:val="18"/>
    </w:rPr>
  </w:style>
  <w:style w:type="paragraph" w:customStyle="1" w:styleId="ExhibitSource">
    <w:name w:val="Exhibit Source"/>
    <w:next w:val="Normal"/>
    <w:qFormat/>
    <w:rsid w:val="00A76F53"/>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A76F53"/>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A76F53"/>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A76F53"/>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A76F53"/>
    <w:pPr>
      <w:ind w:left="862" w:right="862"/>
      <w:jc w:val="center"/>
    </w:pPr>
    <w:rPr>
      <w:i/>
      <w:iCs/>
      <w:color w:val="404040" w:themeColor="text1" w:themeTint="BF"/>
    </w:rPr>
  </w:style>
  <w:style w:type="character" w:customStyle="1" w:styleId="QuoteChar">
    <w:name w:val="Quote Char"/>
    <w:basedOn w:val="DefaultParagraphFont"/>
    <w:link w:val="Quote"/>
    <w:uiPriority w:val="29"/>
    <w:rsid w:val="00A76F53"/>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A76F53"/>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A76F53"/>
    <w:rPr>
      <w:rFonts w:ascii="Segoe UI" w:hAnsi="Segoe UI" w:cs="Segoe UI"/>
      <w:noProof w:val="0"/>
      <w:color w:val="000000" w:themeColor="text1"/>
    </w:rPr>
  </w:style>
  <w:style w:type="paragraph" w:customStyle="1" w:styleId="Summary">
    <w:name w:val="Summary"/>
    <w:basedOn w:val="Normal"/>
    <w:link w:val="SummaryChar"/>
    <w:qFormat/>
    <w:rsid w:val="00A76F53"/>
    <w:pPr>
      <w:numPr>
        <w:numId w:val="1"/>
      </w:numPr>
      <w:ind w:left="1797" w:hanging="357"/>
    </w:pPr>
    <w:rPr>
      <w:kern w:val="2"/>
      <w:sz w:val="22"/>
      <w14:ligatures w14:val="standardContextual"/>
    </w:rPr>
  </w:style>
  <w:style w:type="paragraph" w:customStyle="1" w:styleId="TableData">
    <w:name w:val="Table Data"/>
    <w:link w:val="TableDataChar"/>
    <w:qFormat/>
    <w:rsid w:val="00A76F53"/>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A76F53"/>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A76F53"/>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A76F53"/>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A76F53"/>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A76F53"/>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A76F53"/>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A76F53"/>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A76F53"/>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A76F53"/>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A76F53"/>
    <w:rPr>
      <w:color w:val="003469"/>
    </w:rPr>
  </w:style>
  <w:style w:type="character" w:customStyle="1" w:styleId="RepeatingFooterChar">
    <w:name w:val="Repeating Footer Char"/>
    <w:basedOn w:val="FooterChar"/>
    <w:link w:val="RepeatingFooter"/>
    <w:rsid w:val="00A76F53"/>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A76F53"/>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A76F53"/>
    <w:rPr>
      <w:b/>
      <w:bCs/>
      <w:noProof w:val="0"/>
    </w:rPr>
  </w:style>
  <w:style w:type="character" w:customStyle="1" w:styleId="Italics">
    <w:name w:val="Italics"/>
    <w:uiPriority w:val="1"/>
    <w:qFormat/>
    <w:rsid w:val="00A76F53"/>
    <w:rPr>
      <w:i/>
      <w:iCs/>
      <w:noProof w:val="0"/>
    </w:rPr>
  </w:style>
  <w:style w:type="table" w:customStyle="1" w:styleId="TableGridHeader">
    <w:name w:val="Table Grid Header"/>
    <w:basedOn w:val="TableNormal"/>
    <w:uiPriority w:val="99"/>
    <w:rsid w:val="00A76F53"/>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my.oxfordeconomics.com/reportaction/6558E9Db95634cBc81c2d2/Toc" TargetMode="External"/><Relationship Id="rId26" Type="http://schemas.openxmlformats.org/officeDocument/2006/relationships/hyperlink" Target="https://my.oxfordeconomics.com/reports/Ab0B7d875ab545cc8b5255" TargetMode="External"/><Relationship Id="rId21" Type="http://schemas.openxmlformats.org/officeDocument/2006/relationships/image" Target="media/image7.png"/><Relationship Id="rId34" Type="http://schemas.openxmlformats.org/officeDocument/2006/relationships/image" Target="media/image14.sv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s://my.oxfordeconomics.com/reports/93633b6d67E24d1cb194ae" TargetMode="External"/><Relationship Id="rId25" Type="http://schemas.openxmlformats.org/officeDocument/2006/relationships/hyperlink" Target="https://my.oxfordeconomics.com/reportaction/d486A65769644d9fa42298/Toc" TargetMode="External"/><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sv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yperlink" Target="https://my.oxfordeconomics.com/reports/A0A097AB26dc46fcAfC889" TargetMode="External"/><Relationship Id="rId32" Type="http://schemas.openxmlformats.org/officeDocument/2006/relationships/hyperlink" Target="https://my.oxfordeconomics.com/chapters/dea324C3A81B451E83b06f/GAANovember2024Stays" TargetMode="External"/><Relationship Id="rId37"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www.bankofengland.co.uk/markets/market-intelligence/survey-results/2024/market-participants-survey-results-november-2024" TargetMode="External"/><Relationship Id="rId28" Type="http://schemas.openxmlformats.org/officeDocument/2006/relationships/image" Target="media/image10.sv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hyperlink" Target="https://my.oxfordeconomics.com/reportaction/29dFb1fe0FDA480da366Ff/To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8.svg"/><Relationship Id="rId27" Type="http://schemas.openxmlformats.org/officeDocument/2006/relationships/image" Target="media/image9.png"/><Relationship Id="rId30" Type="http://schemas.openxmlformats.org/officeDocument/2006/relationships/image" Target="media/image12.svg"/><Relationship Id="rId35" Type="http://schemas.openxmlformats.org/officeDocument/2006/relationships/hyperlink" Target="https://www.dmo.gov.uk/media/4jlk3rxj/sa301024.pdf" TargetMode="External"/><Relationship Id="rId8" Type="http://schemas.openxmlformats.org/officeDocument/2006/relationships/footnotes" Target="footnote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6B927A1F-01BF-48BE-86BA-009C2F7589F1}"/>
      </w:docPartPr>
      <w:docPartBody>
        <w:p w:rsidR="001B12DB" w:rsidRDefault="001B12DB">
          <w:r w:rsidRPr="005D4DBE">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2DB"/>
    <w:rsid w:val="001B12DB"/>
    <w:rsid w:val="008D53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224F7DA3-CED3-4149-B2FF-8922E0FBF9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327B14-542D-431E-A998-9156026A91FB}">
  <ds:schemaRefs>
    <ds:schemaRef ds:uri="http://schemas.microsoft.com/sharepoint/v3/contenttype/forms"/>
  </ds:schemaRefs>
</ds:datastoreItem>
</file>

<file path=customXml/itemProps3.xml><?xml version="1.0" encoding="utf-8"?>
<ds:datastoreItem xmlns:ds="http://schemas.openxmlformats.org/officeDocument/2006/customXml" ds:itemID="{02A5F9CD-9E2E-45A8-BD5D-98B1543364C8}">
  <ds:schemaRefs>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2578</Words>
  <Characters>13278</Characters>
  <Application>Microsoft Office Word</Application>
  <DocSecurity>0</DocSecurity>
  <Lines>181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29</cp:revision>
  <dcterms:created xsi:type="dcterms:W3CDTF">2024-11-26T11:33:00Z</dcterms:created>
  <dcterms:modified xsi:type="dcterms:W3CDTF">2024-11-26T12:44:00Z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2024-11-26T12:17:51.000Z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Briefing\20241126 RB UK Key Themes 2025 - Charts.xlsx</vt:lpwstr>
  </property>
  <property fmtid="{D5CDD505-2E9C-101B-9397-08002B2CF9AE}" pid="15" name="OEP_CATEGORIES">
    <vt:lpwstr>AnalysisbyRegion-Europe-UnitedKingdom,Macro-ResearchBriefings-UnitedKingdom</vt:lpwstr>
  </property>
  <property fmtid="{D5CDD505-2E9C-101B-9397-08002B2CF9AE}" pid="16" name="ContentTypeId">
    <vt:lpwstr>0x01010009401BB7205AF745BAD4FA98BDE0B98F</vt:lpwstr>
  </property>
  <property fmtid="{D5CDD505-2E9C-101B-9397-08002B2CF9AE}" pid="17" name="OEP_PRODUCT_CODE">
    <vt:lpwstr>620E83Dc12B949F4a31505</vt:lpwstr>
  </property>
  <property fmtid="{D5CDD505-2E9C-101B-9397-08002B2CF9AE}" pid="18" name="OEP_PUBLISH_DATE">
    <vt:lpwstr/>
  </property>
  <property fmtid="{D5CDD505-2E9C-101B-9397-08002B2CF9AE}" pid="19" name="OEP_TAGS">
    <vt:lpwstr>Key Themes:fiscal policy,politics,monetary policy,global trade,financial markets</vt:lpwstr>
  </property>
</Properties>
</file>