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55C80" w14:textId="0657B5AF" w:rsidR="00403E1A" w:rsidRDefault="00CD0078" w:rsidP="00403E1A">
      <w:pPr>
        <w:pStyle w:val="Bullet"/>
      </w:pPr>
      <w:r>
        <w:t xml:space="preserve">The recent change to the </w:t>
      </w:r>
      <w:r w:rsidR="00D956E6">
        <w:t xml:space="preserve">UK's </w:t>
      </w:r>
      <w:r w:rsidR="00B50A7F">
        <w:t xml:space="preserve">fiscal rules </w:t>
      </w:r>
      <w:r>
        <w:t>suggests policy will be looser in future</w:t>
      </w:r>
      <w:r w:rsidR="00B50A7F">
        <w:t xml:space="preserve">, </w:t>
      </w:r>
      <w:r w:rsidR="00D956E6">
        <w:t xml:space="preserve">and </w:t>
      </w:r>
      <w:r w:rsidR="00B50A7F">
        <w:t>we expect the new US policy landscape will mean higher</w:t>
      </w:r>
      <w:r w:rsidR="00CE3E96">
        <w:t>,</w:t>
      </w:r>
      <w:r w:rsidR="00B50A7F">
        <w:t xml:space="preserve"> more volatile</w:t>
      </w:r>
      <w:r w:rsidR="00146BB9">
        <w:t xml:space="preserve"> </w:t>
      </w:r>
      <w:r w:rsidR="00CE3E96">
        <w:t xml:space="preserve">inflation </w:t>
      </w:r>
      <w:r w:rsidR="00146BB9">
        <w:t>across the world</w:t>
      </w:r>
      <w:r w:rsidR="00B50A7F">
        <w:t>.</w:t>
      </w:r>
      <w:r w:rsidR="00D956E6" w:rsidRPr="00D956E6">
        <w:t xml:space="preserve"> </w:t>
      </w:r>
      <w:r w:rsidR="00CE3E96">
        <w:t>As a result</w:t>
      </w:r>
      <w:r w:rsidR="00D956E6">
        <w:t>, we've raised our forecast for the long-run neutral UK interest rate by 50bps to 2.5%.</w:t>
      </w:r>
    </w:p>
    <w:p w14:paraId="0AEEC74B" w14:textId="4A17B93C" w:rsidR="008534C8" w:rsidRDefault="00B50A7F" w:rsidP="00403E1A">
      <w:pPr>
        <w:pStyle w:val="Bullet"/>
      </w:pPr>
      <w:r>
        <w:t xml:space="preserve">Our forecast for </w:t>
      </w:r>
      <w:r w:rsidR="00360F5A">
        <w:t>Bank Rate over the long term</w:t>
      </w:r>
      <w:r>
        <w:t xml:space="preserve"> is around 125bps lower than the level implied by current market pricing</w:t>
      </w:r>
      <w:r w:rsidR="00403E1A">
        <w:t>.</w:t>
      </w:r>
      <w:r>
        <w:t xml:space="preserve"> We think the difference </w:t>
      </w:r>
      <w:r w:rsidR="003D4EE1">
        <w:t xml:space="preserve">is partly because </w:t>
      </w:r>
      <w:r>
        <w:t>markets anticipa</w:t>
      </w:r>
      <w:r w:rsidR="003D4EE1">
        <w:t>te</w:t>
      </w:r>
      <w:r>
        <w:t xml:space="preserve"> even higher inflation</w:t>
      </w:r>
      <w:r w:rsidR="003D4EE1">
        <w:t>. B</w:t>
      </w:r>
      <w:r>
        <w:t xml:space="preserve">ut </w:t>
      </w:r>
      <w:r w:rsidRPr="00B50A7F">
        <w:t xml:space="preserve">we </w:t>
      </w:r>
      <w:r>
        <w:t xml:space="preserve">also </w:t>
      </w:r>
      <w:r w:rsidR="003D4EE1">
        <w:t xml:space="preserve">expect </w:t>
      </w:r>
      <w:r w:rsidRPr="00B50A7F">
        <w:t>demographics and weak productivity growth</w:t>
      </w:r>
      <w:r w:rsidR="004156C0" w:rsidRPr="004156C0">
        <w:t xml:space="preserve"> </w:t>
      </w:r>
      <w:r w:rsidR="004156C0">
        <w:t xml:space="preserve">to exert a substantial </w:t>
      </w:r>
      <w:r w:rsidR="004156C0" w:rsidRPr="00B50A7F">
        <w:t xml:space="preserve">drag </w:t>
      </w:r>
      <w:r w:rsidR="004156C0">
        <w:t>on the real neutral rate</w:t>
      </w:r>
      <w:r>
        <w:t>.</w:t>
      </w:r>
      <w:r w:rsidR="008534C8">
        <w:t xml:space="preserve"> The path back to neutral is likely to be gradual</w:t>
      </w:r>
      <w:r w:rsidR="00403E1A">
        <w:t>.</w:t>
      </w:r>
    </w:p>
    <w:p w14:paraId="1A487364" w14:textId="51208B1B" w:rsidR="00403E1A" w:rsidRDefault="009945CE" w:rsidP="00403E1A">
      <w:pPr>
        <w:pStyle w:val="Bullet"/>
      </w:pPr>
      <w:r>
        <w:t>In the near-term, w</w:t>
      </w:r>
      <w:r w:rsidR="008534C8">
        <w:t xml:space="preserve">e expect the </w:t>
      </w:r>
      <w:r w:rsidR="005E59A7">
        <w:t xml:space="preserve">UK </w:t>
      </w:r>
      <w:r w:rsidR="008534C8">
        <w:t xml:space="preserve">term premium will remain elevated. </w:t>
      </w:r>
      <w:r w:rsidR="008534C8" w:rsidRPr="008534C8">
        <w:t>Concerns about fiscal sustainability are unlikely to go away</w:t>
      </w:r>
      <w:r w:rsidR="008534C8">
        <w:t>, while the government is yet to offer a convincing plan for boosting growth. Markets will also have to absorb a lot of extra gilt issuance at the medium- and long-end of the curve due to the increase in borrowing announced in the Budget.</w:t>
      </w:r>
    </w:p>
    <w:p w14:paraId="575F20C4" w14:textId="6C4089F0" w:rsidR="0035646F" w:rsidRDefault="00E00692" w:rsidP="0035646F">
      <w:r>
        <w:t xml:space="preserve">Earlier this year we set out </w:t>
      </w:r>
      <w:hyperlink r:id="rId10" w:history="1">
        <w:r w:rsidRPr="00E00692">
          <w:rPr>
            <w:rStyle w:val="Hyperlink"/>
          </w:rPr>
          <w:t>our approach</w:t>
        </w:r>
      </w:hyperlink>
      <w:r>
        <w:t xml:space="preserve"> for modelling </w:t>
      </w:r>
      <w:r w:rsidRPr="00E00692">
        <w:t xml:space="preserve">the </w:t>
      </w:r>
      <w:r w:rsidR="005E59A7">
        <w:t>UK's</w:t>
      </w:r>
      <w:r w:rsidR="005E59A7" w:rsidRPr="00E00692">
        <w:t xml:space="preserve"> </w:t>
      </w:r>
      <w:r w:rsidRPr="00E00692">
        <w:t>long-run neutral interest rate – the rate where monetary policy is neither stimulatory nor restrictive</w:t>
      </w:r>
      <w:r>
        <w:t>.</w:t>
      </w:r>
      <w:r w:rsidR="00951ABE">
        <w:t xml:space="preserve"> </w:t>
      </w:r>
      <w:r w:rsidR="005E59A7">
        <w:t>We</w:t>
      </w:r>
      <w:r w:rsidR="00951ABE">
        <w:t xml:space="preserve"> found that the neutral rate had risen to just below 3% in 2023, after the pandemic and energy shock had </w:t>
      </w:r>
      <w:r w:rsidR="005E59A7">
        <w:t xml:space="preserve">lifted </w:t>
      </w:r>
      <w:r w:rsidR="00951ABE">
        <w:t xml:space="preserve">inflation expectations. But with inflation expectations </w:t>
      </w:r>
      <w:r w:rsidR="005E59A7">
        <w:t xml:space="preserve">set </w:t>
      </w:r>
      <w:r w:rsidR="00951ABE">
        <w:t xml:space="preserve">to fall back again, we argued the structural forces that have pushed rates down since 1980 would reassert themselves. </w:t>
      </w:r>
      <w:r w:rsidR="005E59A7">
        <w:t xml:space="preserve">As a result, </w:t>
      </w:r>
      <w:r w:rsidR="00951ABE">
        <w:t xml:space="preserve">we </w:t>
      </w:r>
      <w:r w:rsidR="005E59A7">
        <w:t xml:space="preserve">had </w:t>
      </w:r>
      <w:r w:rsidR="00951ABE">
        <w:t>expect</w:t>
      </w:r>
      <w:r w:rsidR="00FD14D9">
        <w:t>ed</w:t>
      </w:r>
      <w:r w:rsidR="00951ABE">
        <w:t xml:space="preserve"> the neutral rate </w:t>
      </w:r>
      <w:r w:rsidR="00FD14D9">
        <w:t>would</w:t>
      </w:r>
      <w:r w:rsidR="00951ABE">
        <w:t xml:space="preserve"> fall to 2% by 2030.</w:t>
      </w:r>
    </w:p>
    <w:p w14:paraId="33E644E3" w14:textId="68D297B4" w:rsidR="005F1622" w:rsidRDefault="00FD14D9" w:rsidP="005F1622">
      <w:r>
        <w:t xml:space="preserve">Two recent events – the change in UK fiscal rules and the </w:t>
      </w:r>
      <w:r w:rsidR="005E59A7">
        <w:t xml:space="preserve">anticipated shift </w:t>
      </w:r>
      <w:r>
        <w:t xml:space="preserve">in US policy </w:t>
      </w:r>
      <w:r w:rsidR="005E59A7">
        <w:t xml:space="preserve">under President-elect </w:t>
      </w:r>
      <w:r>
        <w:t>Donald Trump</w:t>
      </w:r>
      <w:r w:rsidR="005E59A7">
        <w:t xml:space="preserve"> </w:t>
      </w:r>
      <w:r>
        <w:t xml:space="preserve">– </w:t>
      </w:r>
      <w:r w:rsidR="005E59A7">
        <w:t xml:space="preserve">now </w:t>
      </w:r>
      <w:r>
        <w:t xml:space="preserve">lead us to believe that the neutral rate will stay higher. We now expect </w:t>
      </w:r>
      <w:r w:rsidR="00360F5A">
        <w:t>Bank Rate</w:t>
      </w:r>
      <w:r>
        <w:t xml:space="preserve"> will settle at 2.5%</w:t>
      </w:r>
      <w:r w:rsidR="005E59A7">
        <w:t>,</w:t>
      </w:r>
      <w:r>
        <w:t xml:space="preserve"> </w:t>
      </w:r>
      <w:r w:rsidR="00E62BB9">
        <w:t xml:space="preserve">75bps below the median expectation for the neutral rate from </w:t>
      </w:r>
      <w:hyperlink r:id="rId11" w:history="1">
        <w:r w:rsidR="00E62BB9" w:rsidRPr="00F2788D">
          <w:rPr>
            <w:rStyle w:val="Hyperlink"/>
          </w:rPr>
          <w:t>November's Bank of England Market Participants Survey</w:t>
        </w:r>
      </w:hyperlink>
      <w:r w:rsidR="00E62BB9">
        <w:t xml:space="preserve">. Furthermore, our forecast for Bank Rate in 2030 is </w:t>
      </w:r>
      <w:r w:rsidR="00611C20">
        <w:t>around</w:t>
      </w:r>
      <w:r>
        <w:t xml:space="preserve"> 1</w:t>
      </w:r>
      <w:r w:rsidR="00611C20">
        <w:t>25</w:t>
      </w:r>
      <w:r>
        <w:t xml:space="preserve">bps lower than the </w:t>
      </w:r>
      <w:r w:rsidR="00360F5A">
        <w:t>level</w:t>
      </w:r>
      <w:r>
        <w:t xml:space="preserve"> implied by current market pricing (</w:t>
      </w:r>
      <w:r w:rsidR="00BF5A38" w:rsidRPr="00436E4C">
        <w:rPr>
          <w:b/>
          <w:color w:val="003469"/>
        </w:rPr>
        <w:fldChar w:fldCharType="begin"/>
      </w:r>
      <w:r w:rsidR="00436E4C" w:rsidRPr="00436E4C">
        <w:rPr>
          <w:b/>
          <w:color w:val="003469"/>
        </w:rPr>
        <w:instrText xml:space="preserve">REF _Ref184642768 \h \* Charformat </w:instrText>
      </w:r>
      <w:r w:rsidR="00BF5A38" w:rsidRPr="00436E4C">
        <w:rPr>
          <w:b/>
          <w:color w:val="003469"/>
        </w:rPr>
      </w:r>
      <w:r w:rsidR="00BF5A38" w:rsidRPr="00436E4C">
        <w:rPr>
          <w:b/>
          <w:color w:val="003469"/>
        </w:rPr>
        <w:fldChar w:fldCharType="separate"/>
      </w:r>
      <w:r w:rsidR="00436E4C" w:rsidRPr="00436E4C">
        <w:rPr>
          <w:b/>
          <w:color w:val="003469"/>
        </w:rPr>
        <w:t>Chart 1</w:t>
      </w:r>
      <w:r w:rsidR="00BF5A38" w:rsidRPr="00436E4C">
        <w:rPr>
          <w:b/>
          <w:color w:val="003469"/>
        </w:rPr>
        <w:fldChar w:fldCharType="end"/>
      </w:r>
      <w:r>
        <w:t>)</w:t>
      </w:r>
      <w:r w:rsidR="00F2788D">
        <w:t>.</w:t>
      </w:r>
    </w:p>
    <w:p w14:paraId="1C3EF78D" w14:textId="551851C8" w:rsidR="00403E1A" w:rsidRDefault="00403E1A" w:rsidP="005F1622">
      <w:pPr>
        <w:pStyle w:val="ExhibitTitle"/>
        <w:jc w:val="center"/>
      </w:pPr>
      <w:bookmarkStart w:id="0" w:name="_Ref184642768"/>
      <w:r>
        <w:t xml:space="preserve">Chart </w:t>
      </w:r>
      <w:r>
        <w:fldChar w:fldCharType="begin"/>
      </w:r>
      <w:r w:rsidR="005F1622">
        <w:instrText>SEQ CHART</w:instrText>
      </w:r>
      <w:r>
        <w:fldChar w:fldCharType="separate"/>
      </w:r>
      <w:r w:rsidR="005F1622">
        <w:rPr>
          <w:noProof/>
        </w:rPr>
        <w:t>1</w:t>
      </w:r>
      <w:r>
        <w:fldChar w:fldCharType="end"/>
      </w:r>
      <w:bookmarkEnd w:id="0"/>
      <w:r>
        <w:t xml:space="preserve">: </w:t>
      </w:r>
      <w:r w:rsidR="00613F43">
        <w:t xml:space="preserve">We raised our </w:t>
      </w:r>
      <w:r w:rsidR="006E2915">
        <w:t>long-run forecast for Bank Rate</w:t>
      </w:r>
      <w:r w:rsidR="00BE79C0">
        <w:t>,</w:t>
      </w:r>
      <w:r w:rsidR="00613F43">
        <w:t xml:space="preserve"> but it's still much lower than markets expect</w:t>
      </w:r>
    </w:p>
    <w:p w14:paraId="1714E259" w14:textId="7B6714A6" w:rsidR="005F1622" w:rsidRDefault="005F1622" w:rsidP="005F1622">
      <w:pPr>
        <w:spacing w:after="0"/>
        <w:jc w:val="center"/>
        <w:rPr>
          <w:noProof/>
        </w:rPr>
      </w:pPr>
      <w:r>
        <w:rPr>
          <w:noProof/>
        </w:rPr>
        <w:drawing>
          <wp:inline distT="0" distB="0" distL="0" distR="0" wp14:anchorId="3C902615" wp14:editId="3435A5E3">
            <wp:extent cx="4006964" cy="3140642"/>
            <wp:effectExtent l="0" t="0" r="0" b="3175"/>
            <wp:docPr id="21377471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47162"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26F57781" w14:textId="76215D28" w:rsidR="00403E1A" w:rsidRDefault="005F1622" w:rsidP="005F1622">
      <w:pPr>
        <w:pStyle w:val="ExhibitSource"/>
        <w:jc w:val="center"/>
      </w:pPr>
      <w:r>
        <w:t>Sources: Oxford Economics, Haver Analytics</w:t>
      </w:r>
    </w:p>
    <w:p w14:paraId="4D8B2FD6" w14:textId="1A360F4B" w:rsidR="00403E1A" w:rsidRDefault="00403E1A" w:rsidP="00403E1A">
      <w:pPr>
        <w:pStyle w:val="ExhibitSource"/>
        <w:jc w:val="center"/>
        <w:sectPr w:rsidR="00403E1A" w:rsidSect="005F1622">
          <w:headerReference w:type="even" r:id="rId14"/>
          <w:headerReference w:type="default" r:id="rId15"/>
          <w:footerReference w:type="default" r:id="rId16"/>
          <w:headerReference w:type="first" r:id="rId17"/>
          <w:footerReference w:type="first" r:id="rId18"/>
          <w:pgSz w:w="11906" w:h="16838"/>
          <w:pgMar w:top="2665" w:right="1276" w:bottom="838" w:left="1134" w:header="708" w:footer="300" w:gutter="0"/>
          <w:cols w:space="708"/>
          <w:titlePg/>
          <w:docGrid w:linePitch="360"/>
        </w:sectPr>
      </w:pPr>
    </w:p>
    <w:p w14:paraId="3A066934" w14:textId="64EC683F" w:rsidR="009F17EF" w:rsidRDefault="009F17EF" w:rsidP="007712A2">
      <w:pPr>
        <w:pStyle w:val="Heading3"/>
      </w:pPr>
      <w:r>
        <w:lastRenderedPageBreak/>
        <w:t>Looser fiscal rules and higher inflation expectations will increase the neutral rate</w:t>
      </w:r>
    </w:p>
    <w:p w14:paraId="33C5AEB1" w14:textId="79D75EA9" w:rsidR="00D12DBE" w:rsidRDefault="00C84C70" w:rsidP="00403E1A">
      <w:r>
        <w:t>Our earlier research found that rising government debt had been the main structural force put</w:t>
      </w:r>
      <w:r w:rsidR="00271677">
        <w:t>ting</w:t>
      </w:r>
      <w:r>
        <w:t xml:space="preserve"> upward pressure on the neutral rate over the past 20 years</w:t>
      </w:r>
      <w:r w:rsidR="00403E1A">
        <w:t>.</w:t>
      </w:r>
      <w:r>
        <w:t xml:space="preserve"> </w:t>
      </w:r>
      <w:r w:rsidR="00D12DBE">
        <w:t xml:space="preserve">We had expected the public sector net debt-to-GDP ratio </w:t>
      </w:r>
      <w:r w:rsidR="0026272F">
        <w:t>would</w:t>
      </w:r>
      <w:r w:rsidR="00D12DBE">
        <w:t xml:space="preserve"> drop back a little</w:t>
      </w:r>
      <w:r w:rsidR="0026272F">
        <w:t xml:space="preserve"> in future</w:t>
      </w:r>
      <w:r w:rsidR="00D12DBE">
        <w:t xml:space="preserve">, reflecting the fact that </w:t>
      </w:r>
      <w:r>
        <w:t>the fiscal rules requir</w:t>
      </w:r>
      <w:r w:rsidR="00D12DBE">
        <w:t xml:space="preserve">ed </w:t>
      </w:r>
      <w:r>
        <w:t xml:space="preserve">the government to set policy </w:t>
      </w:r>
      <w:r w:rsidR="00271677">
        <w:t>so as to</w:t>
      </w:r>
      <w:r>
        <w:t xml:space="preserve"> </w:t>
      </w:r>
      <w:r w:rsidR="00D12DBE">
        <w:t>lower debt</w:t>
      </w:r>
      <w:r>
        <w:t xml:space="preserve"> within a rolling five-year window</w:t>
      </w:r>
      <w:r w:rsidR="00D12DBE">
        <w:t xml:space="preserve">, and that most of the increase in debt </w:t>
      </w:r>
      <w:r w:rsidR="0025309A">
        <w:t xml:space="preserve">in the past two decades </w:t>
      </w:r>
      <w:r w:rsidR="00D12DBE">
        <w:t>happened during or immediately after the two major shocks</w:t>
      </w:r>
      <w:r w:rsidR="00271677">
        <w:t>:</w:t>
      </w:r>
      <w:r w:rsidR="00D12DBE">
        <w:t xml:space="preserve"> the global financial crisis and the pandemic.</w:t>
      </w:r>
    </w:p>
    <w:p w14:paraId="5CE0CE50" w14:textId="238F6740" w:rsidR="00403E1A" w:rsidRDefault="00D12DBE" w:rsidP="00403E1A">
      <w:r>
        <w:t xml:space="preserve">However, the new government has changed the measure used in the debt rule. The new administration will target a falling ratio of public sector net financial liabilities to GDP. This represents </w:t>
      </w:r>
      <w:hyperlink r:id="rId19" w:history="1">
        <w:r w:rsidRPr="00D12DBE">
          <w:rPr>
            <w:rStyle w:val="Hyperlink"/>
          </w:rPr>
          <w:t>a looser constraint on policy</w:t>
        </w:r>
      </w:hyperlink>
      <w:r>
        <w:t xml:space="preserve">, and the evidence of </w:t>
      </w:r>
      <w:hyperlink r:id="rId20" w:history="1">
        <w:r w:rsidRPr="00D12DBE">
          <w:rPr>
            <w:rStyle w:val="Hyperlink"/>
          </w:rPr>
          <w:t>the Budget</w:t>
        </w:r>
      </w:hyperlink>
      <w:r>
        <w:t xml:space="preserve"> suggests that the Chancellor intends to use most of the additional headroom that the new rule permits. </w:t>
      </w:r>
      <w:r w:rsidR="005E2E01">
        <w:t xml:space="preserve">For example, </w:t>
      </w:r>
      <w:r>
        <w:t>our forecast for the ratio of public sector net debt to GDP is now 9ppts higher for 2040</w:t>
      </w:r>
      <w:r w:rsidR="00D412F1">
        <w:t xml:space="preserve">, with the gap getting ever wider </w:t>
      </w:r>
      <w:r w:rsidR="00C84C70">
        <w:t>(</w:t>
      </w:r>
      <w:r w:rsidR="00BF5A38" w:rsidRPr="00436E4C">
        <w:rPr>
          <w:b/>
          <w:color w:val="003469"/>
        </w:rPr>
        <w:fldChar w:fldCharType="begin"/>
      </w:r>
      <w:r w:rsidR="00436E4C" w:rsidRPr="00436E4C">
        <w:rPr>
          <w:b/>
          <w:color w:val="003469"/>
        </w:rPr>
        <w:instrText xml:space="preserve">REF _Ref184642769 \h \* Charformat </w:instrText>
      </w:r>
      <w:r w:rsidR="00BF5A38" w:rsidRPr="00436E4C">
        <w:rPr>
          <w:b/>
          <w:color w:val="003469"/>
        </w:rPr>
      </w:r>
      <w:r w:rsidR="00BF5A38" w:rsidRPr="00436E4C">
        <w:rPr>
          <w:b/>
          <w:color w:val="003469"/>
        </w:rPr>
        <w:fldChar w:fldCharType="separate"/>
      </w:r>
      <w:r w:rsidR="00436E4C" w:rsidRPr="00436E4C">
        <w:rPr>
          <w:b/>
          <w:color w:val="003469"/>
        </w:rPr>
        <w:t>Chart 2</w:t>
      </w:r>
      <w:r w:rsidR="00BF5A38" w:rsidRPr="00436E4C">
        <w:rPr>
          <w:b/>
          <w:color w:val="003469"/>
        </w:rPr>
        <w:fldChar w:fldCharType="end"/>
      </w:r>
      <w:r w:rsidR="00C84C70">
        <w:t>).</w:t>
      </w:r>
      <w:r w:rsidR="005E2E01">
        <w:t xml:space="preserve"> Adopting a permanently looser fiscal stance is consistent with a higher</w:t>
      </w:r>
      <w:r w:rsidR="00AB5CFD">
        <w:t xml:space="preserve"> real</w:t>
      </w:r>
      <w:r w:rsidR="005E2E01">
        <w:t xml:space="preserve"> neutral </w:t>
      </w:r>
      <w:r w:rsidR="00AB5CFD">
        <w:t xml:space="preserve">interest </w:t>
      </w:r>
      <w:r w:rsidR="005E2E01">
        <w:t>rate.</w:t>
      </w:r>
    </w:p>
    <w:p w14:paraId="4CA1C27F" w14:textId="5870F992" w:rsidR="00403E1A" w:rsidRDefault="00403E1A" w:rsidP="007712A2">
      <w:pPr>
        <w:pStyle w:val="ExhibitTitle"/>
      </w:pPr>
      <w:bookmarkStart w:id="1" w:name="_Ref184642769"/>
      <w:r>
        <w:t xml:space="preserve">Chart </w:t>
      </w:r>
      <w:r>
        <w:fldChar w:fldCharType="begin"/>
      </w:r>
      <w:r w:rsidR="00BF5A38">
        <w:instrText>SEQ CHART</w:instrText>
      </w:r>
      <w:r>
        <w:fldChar w:fldCharType="separate"/>
      </w:r>
      <w:r w:rsidR="005F1622">
        <w:rPr>
          <w:noProof/>
        </w:rPr>
        <w:t>2</w:t>
      </w:r>
      <w:r>
        <w:fldChar w:fldCharType="end"/>
      </w:r>
      <w:bookmarkEnd w:id="1"/>
      <w:r>
        <w:t xml:space="preserve">: </w:t>
      </w:r>
      <w:r w:rsidR="003E05D7">
        <w:t>Permanently l</w:t>
      </w:r>
      <w:r w:rsidR="00C41431">
        <w:t xml:space="preserve">ooser fiscal </w:t>
      </w:r>
      <w:r w:rsidR="003E05D7">
        <w:t>policy is consistent with a higher neutral interest rate</w:t>
      </w:r>
    </w:p>
    <w:p w14:paraId="3804B4EE" w14:textId="6F0B2D79" w:rsidR="005A4F30" w:rsidRDefault="005A4F30" w:rsidP="007712A2">
      <w:pPr>
        <w:spacing w:after="0"/>
      </w:pPr>
      <w:r>
        <w:rPr>
          <w:noProof/>
        </w:rPr>
        <w:drawing>
          <wp:inline distT="0" distB="0" distL="0" distR="0" wp14:anchorId="1ADC5AA5" wp14:editId="23929A0E">
            <wp:extent cx="3250933" cy="2548068"/>
            <wp:effectExtent l="0" t="0" r="6985" b="5080"/>
            <wp:docPr id="184150502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05027"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rcRect b="1886"/>
                    <a:stretch>
                      <a:fillRect/>
                    </a:stretch>
                  </pic:blipFill>
                  <pic:spPr>
                    <a:xfrm>
                      <a:off x="0" y="0"/>
                      <a:ext cx="3250933" cy="2548068"/>
                    </a:xfrm>
                    <a:prstGeom prst="rect">
                      <a:avLst/>
                    </a:prstGeom>
                  </pic:spPr>
                </pic:pic>
              </a:graphicData>
            </a:graphic>
          </wp:inline>
        </w:drawing>
      </w:r>
    </w:p>
    <w:p w14:paraId="00633DD0" w14:textId="16860880" w:rsidR="00403E1A" w:rsidRDefault="005A4F30" w:rsidP="007712A2">
      <w:pPr>
        <w:pStyle w:val="ExhibitSource"/>
      </w:pPr>
      <w:r>
        <w:t>Sources: Oxford Economics, Haver Analytics</w:t>
      </w:r>
    </w:p>
    <w:p w14:paraId="463D51E2" w14:textId="6180E12F" w:rsidR="0026272F" w:rsidRDefault="000D12D8" w:rsidP="00403E1A">
      <w:r>
        <w:t>We also think that inflation expectations are likely to remain higher, reflecting the new policy landscape. Th</w:t>
      </w:r>
      <w:r w:rsidR="00B76F2A">
        <w:t>e prospect of higher</w:t>
      </w:r>
      <w:r>
        <w:t xml:space="preserve"> tariffs on imports into the US</w:t>
      </w:r>
      <w:r w:rsidR="00B76F2A">
        <w:t>,</w:t>
      </w:r>
      <w:r>
        <w:t xml:space="preserve"> and looser US fiscal policy</w:t>
      </w:r>
      <w:r w:rsidR="00B76F2A">
        <w:t>, suggests that inflation is likely to be higher and more volatile globally.</w:t>
      </w:r>
    </w:p>
    <w:p w14:paraId="476A1DAD" w14:textId="12FD5B69" w:rsidR="007A1CFA" w:rsidRDefault="009C6D1F" w:rsidP="00403E1A">
      <w:r>
        <w:t xml:space="preserve">Initially, changes to financial market pricing implied a similar view of the impact on the </w:t>
      </w:r>
      <w:r w:rsidR="00F608CD">
        <w:t>medium-term outlook for interest rates</w:t>
      </w:r>
      <w:r>
        <w:t xml:space="preserve"> </w:t>
      </w:r>
      <w:r w:rsidR="00EC1D0F">
        <w:t>as ours</w:t>
      </w:r>
      <w:r>
        <w:t xml:space="preserve">. But </w:t>
      </w:r>
      <w:r w:rsidR="00140204">
        <w:t xml:space="preserve">markets </w:t>
      </w:r>
      <w:r>
        <w:t xml:space="preserve">subsequently </w:t>
      </w:r>
      <w:r w:rsidR="00140204">
        <w:t>repriced</w:t>
      </w:r>
      <w:r w:rsidR="00EC1D0F">
        <w:t>,</w:t>
      </w:r>
      <w:r w:rsidR="00140204">
        <w:t xml:space="preserve"> </w:t>
      </w:r>
      <w:r>
        <w:t xml:space="preserve">and </w:t>
      </w:r>
      <w:r w:rsidR="00140204">
        <w:t xml:space="preserve">current </w:t>
      </w:r>
      <w:r>
        <w:t>pricing implies that Bank Rate will be around 3.75% at the end of the decade, similar to the level anticipated in mid-October.</w:t>
      </w:r>
      <w:r w:rsidR="00EC1D0F">
        <w:t xml:space="preserve"> T</w:t>
      </w:r>
      <w:r w:rsidR="00611C20">
        <w:t>his is still well above our own forecast</w:t>
      </w:r>
      <w:r w:rsidR="00F915C8">
        <w:t xml:space="preserve"> (</w:t>
      </w:r>
      <w:r w:rsidR="00BF5A38" w:rsidRPr="00436E4C">
        <w:rPr>
          <w:b/>
          <w:color w:val="003469"/>
        </w:rPr>
        <w:fldChar w:fldCharType="begin"/>
      </w:r>
      <w:r w:rsidR="00436E4C" w:rsidRPr="00436E4C">
        <w:rPr>
          <w:b/>
          <w:color w:val="003469"/>
        </w:rPr>
        <w:instrText xml:space="preserve">REF _Ref184642768 \h \* Charformat </w:instrText>
      </w:r>
      <w:r w:rsidR="00BF5A38" w:rsidRPr="00436E4C">
        <w:rPr>
          <w:b/>
          <w:color w:val="003469"/>
        </w:rPr>
      </w:r>
      <w:r w:rsidR="00BF5A38" w:rsidRPr="00436E4C">
        <w:rPr>
          <w:b/>
          <w:color w:val="003469"/>
        </w:rPr>
        <w:fldChar w:fldCharType="separate"/>
      </w:r>
      <w:r w:rsidR="00436E4C" w:rsidRPr="00436E4C">
        <w:rPr>
          <w:b/>
          <w:color w:val="003469"/>
        </w:rPr>
        <w:t>Chart 1</w:t>
      </w:r>
      <w:r w:rsidR="00BF5A38" w:rsidRPr="00436E4C">
        <w:rPr>
          <w:b/>
          <w:color w:val="003469"/>
        </w:rPr>
        <w:fldChar w:fldCharType="end"/>
      </w:r>
      <w:r w:rsidR="00F915C8">
        <w:t>)</w:t>
      </w:r>
      <w:r w:rsidR="00611C20">
        <w:t>.</w:t>
      </w:r>
      <w:r w:rsidR="00F915C8">
        <w:t xml:space="preserve"> </w:t>
      </w:r>
    </w:p>
    <w:p w14:paraId="1A9E940C" w14:textId="356316AA" w:rsidR="009C6D1F" w:rsidRDefault="00F915C8" w:rsidP="00403E1A">
      <w:r>
        <w:t xml:space="preserve">Given market pricing effectively shows the average of the assumptions made by a wide range of different organisations, it's hard to </w:t>
      </w:r>
      <w:r w:rsidR="00B76F39">
        <w:t>be specific about</w:t>
      </w:r>
      <w:r>
        <w:t xml:space="preserve"> why markets </w:t>
      </w:r>
      <w:r w:rsidR="007A1CFA">
        <w:t xml:space="preserve">expect the policy rate to settle at a much higher level. </w:t>
      </w:r>
      <w:r w:rsidR="009D7FE1">
        <w:t>E</w:t>
      </w:r>
      <w:r w:rsidR="007A1CFA">
        <w:t xml:space="preserve">xperience suggests that </w:t>
      </w:r>
      <w:r w:rsidR="00BD1E37">
        <w:t xml:space="preserve">the current level of Bank Rate heavily influences </w:t>
      </w:r>
      <w:r w:rsidR="007A1CFA">
        <w:t xml:space="preserve">expectations for the </w:t>
      </w:r>
      <w:r w:rsidR="00F608CD">
        <w:t>medium-term level of interest rates</w:t>
      </w:r>
      <w:r w:rsidR="009D7FE1">
        <w:t>. At the start of 2020, Bank Rate was 0.75% and market pricing implied it would be at a similar level five years later</w:t>
      </w:r>
      <w:r w:rsidR="006E001A">
        <w:t xml:space="preserve"> (</w:t>
      </w:r>
      <w:r w:rsidR="00BF5A38" w:rsidRPr="00436E4C">
        <w:rPr>
          <w:b/>
          <w:color w:val="003469"/>
        </w:rPr>
        <w:fldChar w:fldCharType="begin"/>
      </w:r>
      <w:r w:rsidR="00436E4C" w:rsidRPr="00436E4C">
        <w:rPr>
          <w:b/>
          <w:color w:val="003469"/>
        </w:rPr>
        <w:instrText xml:space="preserve">REF _Ref184642770 \h \* Charformat </w:instrText>
      </w:r>
      <w:r w:rsidR="00BF5A38" w:rsidRPr="00436E4C">
        <w:rPr>
          <w:b/>
          <w:color w:val="003469"/>
        </w:rPr>
      </w:r>
      <w:r w:rsidR="00BF5A38" w:rsidRPr="00436E4C">
        <w:rPr>
          <w:b/>
          <w:color w:val="003469"/>
        </w:rPr>
        <w:fldChar w:fldCharType="separate"/>
      </w:r>
      <w:r w:rsidR="00436E4C" w:rsidRPr="00436E4C">
        <w:rPr>
          <w:b/>
          <w:color w:val="003469"/>
        </w:rPr>
        <w:t>Chart 3</w:t>
      </w:r>
      <w:r w:rsidR="00BF5A38" w:rsidRPr="00436E4C">
        <w:rPr>
          <w:b/>
          <w:color w:val="003469"/>
        </w:rPr>
        <w:fldChar w:fldCharType="end"/>
      </w:r>
      <w:r w:rsidR="006E001A">
        <w:t>)</w:t>
      </w:r>
      <w:r w:rsidR="009D7FE1">
        <w:t xml:space="preserve">. </w:t>
      </w:r>
      <w:r w:rsidR="006E001A">
        <w:t xml:space="preserve">As rates were hiked, long-term expectations </w:t>
      </w:r>
      <w:r w:rsidR="00B76F39">
        <w:t>rose</w:t>
      </w:r>
      <w:r w:rsidR="006E001A">
        <w:t xml:space="preserve"> in parallel, only beginning to decoupl</w:t>
      </w:r>
      <w:r w:rsidR="00E27D72">
        <w:t>e once Bank Rate neared its peak in mid-2023</w:t>
      </w:r>
      <w:r w:rsidR="00CA6735">
        <w:t>.</w:t>
      </w:r>
    </w:p>
    <w:p w14:paraId="2BAC2178" w14:textId="4B1B7869" w:rsidR="006E001A" w:rsidRDefault="006E001A" w:rsidP="007712A2">
      <w:pPr>
        <w:pStyle w:val="ExhibitTitle"/>
      </w:pPr>
      <w:bookmarkStart w:id="2" w:name="_Ref184642770"/>
      <w:r>
        <w:lastRenderedPageBreak/>
        <w:t xml:space="preserve">Chart </w:t>
      </w:r>
      <w:r>
        <w:fldChar w:fldCharType="begin"/>
      </w:r>
      <w:r w:rsidR="005F1622">
        <w:instrText>SEQ CHART</w:instrText>
      </w:r>
      <w:r>
        <w:fldChar w:fldCharType="separate"/>
      </w:r>
      <w:r w:rsidR="005F1622">
        <w:rPr>
          <w:noProof/>
        </w:rPr>
        <w:t>3</w:t>
      </w:r>
      <w:r>
        <w:fldChar w:fldCharType="end"/>
      </w:r>
      <w:bookmarkEnd w:id="2"/>
      <w:r>
        <w:t>: Market expectations for the long-term are heavily influenced by the current Bank Rate</w:t>
      </w:r>
    </w:p>
    <w:p w14:paraId="64130C84" w14:textId="69902ECE" w:rsidR="005F1622" w:rsidRDefault="005F1622" w:rsidP="007712A2">
      <w:pPr>
        <w:spacing w:after="0"/>
        <w:rPr>
          <w:noProof/>
        </w:rPr>
      </w:pPr>
      <w:r>
        <w:rPr>
          <w:noProof/>
        </w:rPr>
        <w:drawing>
          <wp:inline distT="0" distB="0" distL="0" distR="0" wp14:anchorId="5B608D3F" wp14:editId="329D0038">
            <wp:extent cx="3250933" cy="2548068"/>
            <wp:effectExtent l="0" t="0" r="6985" b="5080"/>
            <wp:docPr id="18791680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68020" name=""/>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rcRect b="1886"/>
                    <a:stretch>
                      <a:fillRect/>
                    </a:stretch>
                  </pic:blipFill>
                  <pic:spPr>
                    <a:xfrm>
                      <a:off x="0" y="0"/>
                      <a:ext cx="3250933" cy="2548068"/>
                    </a:xfrm>
                    <a:prstGeom prst="rect">
                      <a:avLst/>
                    </a:prstGeom>
                  </pic:spPr>
                </pic:pic>
              </a:graphicData>
            </a:graphic>
          </wp:inline>
        </w:drawing>
      </w:r>
    </w:p>
    <w:p w14:paraId="594E4B17" w14:textId="400F9EAF" w:rsidR="006E001A" w:rsidRDefault="005F1622" w:rsidP="007712A2">
      <w:pPr>
        <w:pStyle w:val="ExhibitSource"/>
      </w:pPr>
      <w:r>
        <w:t>Source: Haver Analytics</w:t>
      </w:r>
    </w:p>
    <w:p w14:paraId="78623E7B" w14:textId="7FB50C5E" w:rsidR="006E001A" w:rsidRDefault="006E001A" w:rsidP="00403E1A">
      <w:r>
        <w:t xml:space="preserve">Apart from being influenced by the current level of Bank Rate, </w:t>
      </w:r>
      <w:r w:rsidR="00144716">
        <w:t xml:space="preserve">we think </w:t>
      </w:r>
      <w:r>
        <w:t>markets are more concerned about the potential for inflation expectations to remain elevated</w:t>
      </w:r>
      <w:r w:rsidR="00144716">
        <w:t xml:space="preserve">. </w:t>
      </w:r>
      <w:r w:rsidR="0089306C">
        <w:t xml:space="preserve">In terms of the real neutral rate, </w:t>
      </w:r>
      <w:r w:rsidR="00144716">
        <w:t xml:space="preserve">market participants </w:t>
      </w:r>
      <w:r w:rsidR="0089306C">
        <w:t xml:space="preserve">appear not to </w:t>
      </w:r>
      <w:r w:rsidR="00D412F1" w:rsidRPr="00D412F1">
        <w:t xml:space="preserve">put as much weight on arguments that </w:t>
      </w:r>
      <w:r w:rsidR="0089306C">
        <w:t>d</w:t>
      </w:r>
      <w:r w:rsidR="00144716">
        <w:t>emographics and weak productivity growth</w:t>
      </w:r>
      <w:r w:rsidR="0089306C">
        <w:t xml:space="preserve"> will exert a significant drag</w:t>
      </w:r>
      <w:r w:rsidR="00144716">
        <w:t>.</w:t>
      </w:r>
    </w:p>
    <w:p w14:paraId="4176638E" w14:textId="36B25B99" w:rsidR="0026272F" w:rsidRDefault="00A46EF3" w:rsidP="007712A2">
      <w:pPr>
        <w:pStyle w:val="Heading3"/>
      </w:pPr>
      <w:r>
        <w:t>P</w:t>
      </w:r>
      <w:r w:rsidR="0026272F">
        <w:t>ath back to neutral likely to be gradual</w:t>
      </w:r>
      <w:r w:rsidR="00A32836">
        <w:t xml:space="preserve">; term premium </w:t>
      </w:r>
      <w:r>
        <w:t xml:space="preserve">to </w:t>
      </w:r>
      <w:r w:rsidR="00A32836">
        <w:t>stay elevated</w:t>
      </w:r>
    </w:p>
    <w:p w14:paraId="3C74D2C6" w14:textId="0EBFA45F" w:rsidR="00403E1A" w:rsidRDefault="008E640F" w:rsidP="00403E1A">
      <w:r>
        <w:t>The MPC has made clear that it expects to loosen policy gradually</w:t>
      </w:r>
      <w:r w:rsidR="00403E1A">
        <w:t>.</w:t>
      </w:r>
      <w:r>
        <w:t xml:space="preserve"> So far, it has settled into a cut-hold tempo, and our baseline forecast assumes this continues through 2025. We think that high inflation – </w:t>
      </w:r>
      <w:r w:rsidR="00A46EF3">
        <w:t xml:space="preserve">our </w:t>
      </w:r>
      <w:r>
        <w:t xml:space="preserve">forecast </w:t>
      </w:r>
      <w:r w:rsidR="00A46EF3">
        <w:t xml:space="preserve">is for </w:t>
      </w:r>
      <w:r>
        <w:t xml:space="preserve">CPI inflation </w:t>
      </w:r>
      <w:r w:rsidR="00A46EF3">
        <w:t>to</w:t>
      </w:r>
      <w:r>
        <w:t xml:space="preserve"> average 3% next year, with core inflation still above 3% at the end of 2025 – will discourage the MPC from moving more quickly.</w:t>
      </w:r>
    </w:p>
    <w:p w14:paraId="6B515EC9" w14:textId="13A3E41F" w:rsidR="008E640F" w:rsidRDefault="008E640F" w:rsidP="00403E1A">
      <w:r>
        <w:t>Further out, we expect the pace of cuts to slow</w:t>
      </w:r>
      <w:r w:rsidR="00A46EF3">
        <w:t>,</w:t>
      </w:r>
      <w:r>
        <w:t xml:space="preserve"> partly because this period will coincide with </w:t>
      </w:r>
      <w:r w:rsidR="008538CF">
        <w:t xml:space="preserve">the peak impact </w:t>
      </w:r>
      <w:r w:rsidR="00A46EF3">
        <w:t xml:space="preserve">of Trump's fiscal and trade policies </w:t>
      </w:r>
      <w:r w:rsidR="008538CF">
        <w:t>on the global economy. Bank Rate will also be moving closer to where the MPC currently thinks the neutral rate might be</w:t>
      </w:r>
      <w:r w:rsidR="00D412F1">
        <w:t xml:space="preserve"> </w:t>
      </w:r>
      <w:r w:rsidR="00D412F1" w:rsidRPr="00D412F1">
        <w:t>(which is likely to be similar to the MAPS survey median)</w:t>
      </w:r>
      <w:r w:rsidR="00104BAB">
        <w:t>. If we're right and the neutral rate is lower, it may take time for the MPC to adjust fully</w:t>
      </w:r>
      <w:r w:rsidR="008538CF">
        <w:t>.</w:t>
      </w:r>
    </w:p>
    <w:p w14:paraId="4C474741" w14:textId="05F84061" w:rsidR="008E640F" w:rsidRDefault="00104BAB" w:rsidP="00403E1A">
      <w:r w:rsidRPr="00104BAB">
        <w:t xml:space="preserve">We </w:t>
      </w:r>
      <w:r w:rsidR="00A46EF3">
        <w:t xml:space="preserve">also </w:t>
      </w:r>
      <w:r w:rsidRPr="00104BAB">
        <w:t xml:space="preserve">think the term premium will remain elevated. US policy changes mean </w:t>
      </w:r>
      <w:hyperlink r:id="rId25" w:history="1">
        <w:r w:rsidRPr="0031017C">
          <w:rPr>
            <w:rStyle w:val="Hyperlink"/>
          </w:rPr>
          <w:t>high term premia</w:t>
        </w:r>
      </w:hyperlink>
      <w:r w:rsidRPr="00104BAB">
        <w:t xml:space="preserve"> are likely to be a feature across the world. But there's several domestic factors that suggest investors will remain wary about the UK specifically</w:t>
      </w:r>
      <w:r>
        <w:t xml:space="preserve"> (</w:t>
      </w:r>
      <w:r w:rsidR="00BF5A38" w:rsidRPr="00436E4C">
        <w:rPr>
          <w:b/>
          <w:color w:val="003469"/>
        </w:rPr>
        <w:fldChar w:fldCharType="begin"/>
      </w:r>
      <w:r w:rsidR="00436E4C" w:rsidRPr="00436E4C">
        <w:rPr>
          <w:b/>
          <w:color w:val="003469"/>
        </w:rPr>
        <w:instrText xml:space="preserve">REF _Ref184642771 \h \* Charformat </w:instrText>
      </w:r>
      <w:r w:rsidR="00BF5A38" w:rsidRPr="00436E4C">
        <w:rPr>
          <w:b/>
          <w:color w:val="003469"/>
        </w:rPr>
      </w:r>
      <w:r w:rsidR="00BF5A38" w:rsidRPr="00436E4C">
        <w:rPr>
          <w:b/>
          <w:color w:val="003469"/>
        </w:rPr>
        <w:fldChar w:fldCharType="separate"/>
      </w:r>
      <w:r w:rsidR="00436E4C" w:rsidRPr="00436E4C">
        <w:rPr>
          <w:b/>
          <w:color w:val="003469"/>
        </w:rPr>
        <w:t>Chart 4</w:t>
      </w:r>
      <w:r w:rsidR="00BF5A38" w:rsidRPr="00436E4C">
        <w:rPr>
          <w:b/>
          <w:color w:val="003469"/>
        </w:rPr>
        <w:fldChar w:fldCharType="end"/>
      </w:r>
      <w:r>
        <w:t>).</w:t>
      </w:r>
    </w:p>
    <w:p w14:paraId="21A1A819" w14:textId="5B25FFB8" w:rsidR="00403E1A" w:rsidRDefault="00403E1A" w:rsidP="007712A2">
      <w:pPr>
        <w:pStyle w:val="ExhibitTitle"/>
      </w:pPr>
      <w:bookmarkStart w:id="3" w:name="_Ref184642771"/>
      <w:r>
        <w:t xml:space="preserve">Chart </w:t>
      </w:r>
      <w:r>
        <w:fldChar w:fldCharType="begin"/>
      </w:r>
      <w:r w:rsidR="00771CB9">
        <w:instrText>SEQ CHART</w:instrText>
      </w:r>
      <w:r>
        <w:fldChar w:fldCharType="separate"/>
      </w:r>
      <w:r w:rsidR="005F1622">
        <w:rPr>
          <w:noProof/>
        </w:rPr>
        <w:t>4</w:t>
      </w:r>
      <w:r>
        <w:fldChar w:fldCharType="end"/>
      </w:r>
      <w:bookmarkEnd w:id="3"/>
      <w:r>
        <w:t xml:space="preserve">: </w:t>
      </w:r>
      <w:r w:rsidR="00AA4BE6" w:rsidRPr="00AA4BE6">
        <w:t>UK term</w:t>
      </w:r>
      <w:r w:rsidR="00A46EF3">
        <w:t xml:space="preserve"> </w:t>
      </w:r>
      <w:r w:rsidR="00AA4BE6" w:rsidRPr="00AA4BE6">
        <w:t xml:space="preserve">premium is likely to remain elevated in </w:t>
      </w:r>
      <w:r w:rsidR="00AA4BE6">
        <w:t>the next few years</w:t>
      </w:r>
    </w:p>
    <w:p w14:paraId="47D91D85" w14:textId="2841D796" w:rsidR="00771CB9" w:rsidRDefault="00771CB9" w:rsidP="007712A2">
      <w:pPr>
        <w:spacing w:after="0"/>
      </w:pPr>
      <w:r>
        <w:rPr>
          <w:noProof/>
        </w:rPr>
        <w:drawing>
          <wp:inline distT="0" distB="0" distL="0" distR="0" wp14:anchorId="00F86BBD" wp14:editId="3ABDF6DD">
            <wp:extent cx="3250933" cy="2548068"/>
            <wp:effectExtent l="0" t="0" r="6985" b="5080"/>
            <wp:docPr id="90443076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30765" name=""/>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rcRect b="1886"/>
                    <a:stretch>
                      <a:fillRect/>
                    </a:stretch>
                  </pic:blipFill>
                  <pic:spPr>
                    <a:xfrm>
                      <a:off x="0" y="0"/>
                      <a:ext cx="3250933" cy="2548068"/>
                    </a:xfrm>
                    <a:prstGeom prst="rect">
                      <a:avLst/>
                    </a:prstGeom>
                  </pic:spPr>
                </pic:pic>
              </a:graphicData>
            </a:graphic>
          </wp:inline>
        </w:drawing>
      </w:r>
    </w:p>
    <w:p w14:paraId="6DA80BF1" w14:textId="648025F7" w:rsidR="00403E1A" w:rsidRDefault="00771CB9" w:rsidP="007712A2">
      <w:pPr>
        <w:pStyle w:val="ExhibitSource"/>
      </w:pPr>
      <w:r>
        <w:t>Sources: Oxford Economics, Haver Analytics</w:t>
      </w:r>
    </w:p>
    <w:p w14:paraId="153BEAC6" w14:textId="0A08F8A1" w:rsidR="00274D48" w:rsidRDefault="00D44EE0" w:rsidP="00403E1A">
      <w:r>
        <w:lastRenderedPageBreak/>
        <w:t>C</w:t>
      </w:r>
      <w:r w:rsidRPr="009A0643">
        <w:t xml:space="preserve">oncerns about </w:t>
      </w:r>
      <w:hyperlink r:id="rId28" w:history="1">
        <w:r w:rsidRPr="00671815">
          <w:rPr>
            <w:rStyle w:val="Hyperlink"/>
          </w:rPr>
          <w:t>fiscal sustainability</w:t>
        </w:r>
      </w:hyperlink>
      <w:r w:rsidRPr="009A0643">
        <w:t xml:space="preserve"> are unlikely to go away. </w:t>
      </w:r>
      <w:r w:rsidR="00A46EF3">
        <w:t xml:space="preserve">What's </w:t>
      </w:r>
      <w:r w:rsidR="00A46EF3" w:rsidRPr="009A0643">
        <w:t>more</w:t>
      </w:r>
      <w:r w:rsidRPr="009A0643">
        <w:t>, the government is yet to offer detailed policies that might convince markets that it can orchestrate a recovery from the dismal productivity performance that has now lasted almost two decades</w:t>
      </w:r>
      <w:r>
        <w:t xml:space="preserve">. </w:t>
      </w:r>
      <w:r w:rsidR="009A0643" w:rsidRPr="009A0643">
        <w:t xml:space="preserve">The market </w:t>
      </w:r>
      <w:r w:rsidR="00332268">
        <w:t xml:space="preserve">also </w:t>
      </w:r>
      <w:r w:rsidR="009A0643" w:rsidRPr="009A0643">
        <w:t xml:space="preserve">has to absorb a lot of extra gilt issuance as a result of the much higher borrowing plans announced in the Budget, with </w:t>
      </w:r>
      <w:hyperlink r:id="rId29" w:history="1">
        <w:r w:rsidR="009A0643" w:rsidRPr="006012E2">
          <w:rPr>
            <w:rStyle w:val="Hyperlink"/>
          </w:rPr>
          <w:t>a lot of that extra supply coming at the medium- and long-end</w:t>
        </w:r>
      </w:hyperlink>
      <w:r w:rsidR="009A0643" w:rsidRPr="009A0643">
        <w:t xml:space="preserve">. </w:t>
      </w:r>
      <w:r>
        <w:t>This suggest</w:t>
      </w:r>
      <w:r w:rsidR="00332268">
        <w:t>s</w:t>
      </w:r>
      <w:r>
        <w:t xml:space="preserve"> that yields on longer-dated gilts are likely to remain particularly high over the next few years (</w:t>
      </w:r>
      <w:r w:rsidR="00BF5A38" w:rsidRPr="00436E4C">
        <w:rPr>
          <w:b/>
          <w:color w:val="003469"/>
        </w:rPr>
        <w:fldChar w:fldCharType="begin"/>
      </w:r>
      <w:r w:rsidR="00436E4C" w:rsidRPr="00436E4C">
        <w:rPr>
          <w:b/>
          <w:color w:val="003469"/>
        </w:rPr>
        <w:instrText xml:space="preserve">REF _Ref184642772 \h \* Charformat </w:instrText>
      </w:r>
      <w:r w:rsidR="00BF5A38" w:rsidRPr="00436E4C">
        <w:rPr>
          <w:b/>
          <w:color w:val="003469"/>
        </w:rPr>
      </w:r>
      <w:r w:rsidR="00BF5A38" w:rsidRPr="00436E4C">
        <w:rPr>
          <w:b/>
          <w:color w:val="003469"/>
        </w:rPr>
        <w:fldChar w:fldCharType="separate"/>
      </w:r>
      <w:r w:rsidR="00436E4C" w:rsidRPr="00436E4C">
        <w:rPr>
          <w:b/>
          <w:color w:val="003469"/>
        </w:rPr>
        <w:t>Chart 5</w:t>
      </w:r>
      <w:r w:rsidR="00BF5A38" w:rsidRPr="00436E4C">
        <w:rPr>
          <w:b/>
          <w:color w:val="003469"/>
        </w:rPr>
        <w:fldChar w:fldCharType="end"/>
      </w:r>
      <w:r>
        <w:t>).</w:t>
      </w:r>
    </w:p>
    <w:p w14:paraId="26740C54" w14:textId="7AF5B333" w:rsidR="00274D48" w:rsidRDefault="00274D48" w:rsidP="007712A2">
      <w:pPr>
        <w:pStyle w:val="ExhibitTitle"/>
      </w:pPr>
      <w:bookmarkStart w:id="4" w:name="_Ref184642772"/>
      <w:r>
        <w:t xml:space="preserve">Chart </w:t>
      </w:r>
      <w:r>
        <w:fldChar w:fldCharType="begin"/>
      </w:r>
      <w:r w:rsidR="00771CB9">
        <w:instrText>SEQ CHART</w:instrText>
      </w:r>
      <w:r>
        <w:fldChar w:fldCharType="separate"/>
      </w:r>
      <w:r w:rsidR="005F1622">
        <w:rPr>
          <w:noProof/>
        </w:rPr>
        <w:t>5</w:t>
      </w:r>
      <w:r>
        <w:fldChar w:fldCharType="end"/>
      </w:r>
      <w:bookmarkEnd w:id="4"/>
      <w:r>
        <w:t xml:space="preserve">: </w:t>
      </w:r>
      <w:r w:rsidR="00A91BCC">
        <w:t xml:space="preserve">20- and 30-year yields </w:t>
      </w:r>
      <w:r w:rsidR="0053339C">
        <w:t>will</w:t>
      </w:r>
      <w:r w:rsidR="00A91BCC">
        <w:t xml:space="preserve"> remain particularly high in the </w:t>
      </w:r>
      <w:r w:rsidR="003E79C0">
        <w:t>near-term</w:t>
      </w:r>
    </w:p>
    <w:p w14:paraId="0134A31C" w14:textId="5F7BAC42" w:rsidR="00771CB9" w:rsidRDefault="00771CB9" w:rsidP="007712A2">
      <w:pPr>
        <w:spacing w:after="0"/>
      </w:pPr>
      <w:r>
        <w:rPr>
          <w:noProof/>
        </w:rPr>
        <w:drawing>
          <wp:inline distT="0" distB="0" distL="0" distR="0" wp14:anchorId="268C4FB2" wp14:editId="36F3E8CE">
            <wp:extent cx="3250933" cy="2548068"/>
            <wp:effectExtent l="0" t="0" r="6985" b="5080"/>
            <wp:docPr id="72255571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5717" name=""/>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rcRect b="1886"/>
                    <a:stretch>
                      <a:fillRect/>
                    </a:stretch>
                  </pic:blipFill>
                  <pic:spPr>
                    <a:xfrm>
                      <a:off x="0" y="0"/>
                      <a:ext cx="3250933" cy="2548068"/>
                    </a:xfrm>
                    <a:prstGeom prst="rect">
                      <a:avLst/>
                    </a:prstGeom>
                  </pic:spPr>
                </pic:pic>
              </a:graphicData>
            </a:graphic>
          </wp:inline>
        </w:drawing>
      </w:r>
    </w:p>
    <w:p w14:paraId="4230FE3D" w14:textId="09309758" w:rsidR="00274D48" w:rsidRDefault="00771CB9" w:rsidP="007712A2">
      <w:pPr>
        <w:pStyle w:val="ExhibitSource"/>
      </w:pPr>
      <w:r>
        <w:t>Sources: Oxford Economics, Haver Analytics</w:t>
      </w:r>
    </w:p>
    <w:p w14:paraId="4455918F" w14:textId="7C8DCF70" w:rsidR="009A0643" w:rsidRDefault="00274D48" w:rsidP="007712A2">
      <w:pPr>
        <w:pStyle w:val="Heading3"/>
      </w:pPr>
      <w:r>
        <w:t>Outlook</w:t>
      </w:r>
      <w:r w:rsidR="00DB4856">
        <w:t xml:space="preserve"> for </w:t>
      </w:r>
      <w:r w:rsidR="00163A75">
        <w:t xml:space="preserve">the neutral interest rate </w:t>
      </w:r>
      <w:r>
        <w:t>under alternative macro regimes</w:t>
      </w:r>
    </w:p>
    <w:p w14:paraId="5FB6E210" w14:textId="0466B58A" w:rsidR="00274D48" w:rsidRDefault="00E8402B" w:rsidP="00403E1A">
      <w:r>
        <w:t xml:space="preserve">The long-run neutral rate will be </w:t>
      </w:r>
      <w:r w:rsidR="00A0746A">
        <w:t xml:space="preserve">heavily influenced by how structural factors, such as globalisation </w:t>
      </w:r>
      <w:r w:rsidR="000063AC" w:rsidRPr="000063AC">
        <w:t>demographics</w:t>
      </w:r>
      <w:r w:rsidR="000063AC">
        <w:t>,</w:t>
      </w:r>
      <w:r w:rsidR="000063AC" w:rsidRPr="000063AC">
        <w:t xml:space="preserve"> </w:t>
      </w:r>
      <w:r w:rsidR="00A0746A">
        <w:t>and technological advancement, play out</w:t>
      </w:r>
      <w:r w:rsidR="00286EB5">
        <w:t xml:space="preserve">. </w:t>
      </w:r>
      <w:r w:rsidR="00A0746A">
        <w:t xml:space="preserve">Our Megatrends </w:t>
      </w:r>
      <w:r w:rsidR="000063AC">
        <w:t>Scenarios S</w:t>
      </w:r>
      <w:r w:rsidR="002E1195">
        <w:t>ervice</w:t>
      </w:r>
      <w:r w:rsidR="00150381">
        <w:t xml:space="preserve">, </w:t>
      </w:r>
      <w:r w:rsidR="00A0746A">
        <w:t>launch</w:t>
      </w:r>
      <w:r w:rsidR="00150381">
        <w:t>ing</w:t>
      </w:r>
      <w:r w:rsidR="00A0746A">
        <w:t xml:space="preserve"> in early-2025</w:t>
      </w:r>
      <w:r w:rsidR="00150381">
        <w:t xml:space="preserve">, </w:t>
      </w:r>
      <w:r w:rsidR="00A0746A">
        <w:t xml:space="preserve">will </w:t>
      </w:r>
      <w:r>
        <w:t>quantify the macroeconomic impacts of key megatrends</w:t>
      </w:r>
      <w:r w:rsidR="00A0746A">
        <w:t xml:space="preserve"> scenarios out to 2050</w:t>
      </w:r>
      <w:r>
        <w:t>.</w:t>
      </w:r>
      <w:r w:rsidR="00A0746A">
        <w:t xml:space="preserve"> In the meantime, we </w:t>
      </w:r>
      <w:r w:rsidR="002E1195">
        <w:t xml:space="preserve">have examined </w:t>
      </w:r>
      <w:r w:rsidR="00A0746A">
        <w:t xml:space="preserve">how </w:t>
      </w:r>
      <w:r w:rsidR="000C249B">
        <w:t>the neutral rate might vary under different assumptions</w:t>
      </w:r>
      <w:r w:rsidR="00302EE1">
        <w:t xml:space="preserve">, </w:t>
      </w:r>
      <w:r w:rsidR="002E1195">
        <w:t xml:space="preserve">arriving at </w:t>
      </w:r>
      <w:r w:rsidR="00302EE1">
        <w:t xml:space="preserve">the </w:t>
      </w:r>
      <w:r w:rsidR="002E1195">
        <w:t xml:space="preserve">following </w:t>
      </w:r>
      <w:r w:rsidR="00302EE1">
        <w:t>scenarios ranked from the highest neutral rate to the lowest</w:t>
      </w:r>
      <w:r w:rsidR="001D58E7">
        <w:t>:</w:t>
      </w:r>
    </w:p>
    <w:p w14:paraId="7DBD1EDA" w14:textId="3B7728CC" w:rsidR="00274D48" w:rsidRPr="004D295A" w:rsidRDefault="000C249B" w:rsidP="004D295A">
      <w:pPr>
        <w:rPr>
          <w:color w:val="auto"/>
        </w:rPr>
      </w:pPr>
      <w:r w:rsidRPr="000C249B">
        <w:rPr>
          <w:b/>
          <w:color w:val="003469"/>
        </w:rPr>
        <w:t xml:space="preserve">Technological </w:t>
      </w:r>
      <w:r w:rsidR="000063AC" w:rsidRPr="000063AC">
        <w:rPr>
          <w:b/>
          <w:color w:val="003469"/>
        </w:rPr>
        <w:t>R</w:t>
      </w:r>
      <w:r w:rsidRPr="000C249B">
        <w:rPr>
          <w:b/>
          <w:color w:val="003469"/>
        </w:rPr>
        <w:t xml:space="preserve">evolution. </w:t>
      </w:r>
      <w:r>
        <w:t xml:space="preserve">Technological advancements, such as AI, are successively deployed, supported by effective regulation and continued investment in R&amp;D. A thawing in geopolitical tensions and retreat in protectionism results in greater knowledge sharing and drives stronger growth in labour productivity and innovation, boosting potential output growth. </w:t>
      </w:r>
      <w:r w:rsidR="004D295A">
        <w:t xml:space="preserve">Stronger productivity growth would </w:t>
      </w:r>
      <w:r w:rsidR="0092031C">
        <w:t xml:space="preserve">result in a much higher </w:t>
      </w:r>
      <w:r w:rsidR="004D295A">
        <w:t>real neutral interest rate.</w:t>
      </w:r>
    </w:p>
    <w:p w14:paraId="00097252" w14:textId="6AC79BC7" w:rsidR="009C663B" w:rsidRDefault="00E43EB0" w:rsidP="00403E1A">
      <w:r w:rsidRPr="00E43EB0">
        <w:rPr>
          <w:b/>
          <w:color w:val="003469"/>
        </w:rPr>
        <w:t xml:space="preserve">Fractured </w:t>
      </w:r>
      <w:r w:rsidR="000063AC" w:rsidRPr="000063AC">
        <w:rPr>
          <w:b/>
          <w:color w:val="003469"/>
        </w:rPr>
        <w:t>W</w:t>
      </w:r>
      <w:r w:rsidRPr="00E43EB0">
        <w:rPr>
          <w:b/>
          <w:color w:val="003469"/>
        </w:rPr>
        <w:t xml:space="preserve">orld. </w:t>
      </w:r>
      <w:r>
        <w:t xml:space="preserve">Geopolitical tensions continue to rise, resulting in persistent supply shocks and keeping commodity prices elevated. </w:t>
      </w:r>
      <w:r w:rsidR="00302EE1">
        <w:t xml:space="preserve">Trade decouples and FDI falls. New technological developments disappoint, while heighted uncertainty weighs on business investment. </w:t>
      </w:r>
      <w:r w:rsidR="0045393E">
        <w:t>Initially this scenario would result in tighter monetary policy and a higher term premium than the baseline due to the increase in inflation. But over time, we would expect weaker productivity growth to pull the real neutral interest rate below the baseline.</w:t>
      </w:r>
    </w:p>
    <w:p w14:paraId="59950614" w14:textId="703D8B1A" w:rsidR="00302EE1" w:rsidRPr="00302EE1" w:rsidRDefault="00302EE1" w:rsidP="00403E1A">
      <w:r w:rsidRPr="00302EE1">
        <w:rPr>
          <w:b/>
          <w:color w:val="003469"/>
        </w:rPr>
        <w:t xml:space="preserve">Secular </w:t>
      </w:r>
      <w:r w:rsidR="000063AC" w:rsidRPr="000063AC">
        <w:rPr>
          <w:b/>
          <w:color w:val="003469"/>
        </w:rPr>
        <w:t>S</w:t>
      </w:r>
      <w:r w:rsidRPr="00302EE1">
        <w:rPr>
          <w:b/>
          <w:color w:val="003469"/>
        </w:rPr>
        <w:t>tagnation.</w:t>
      </w:r>
      <w:r>
        <w:t xml:space="preserve"> Productivity growth remains tepid as AI and other technological advancements disappoint and business investment growth is weak. </w:t>
      </w:r>
      <w:r w:rsidR="000063AC" w:rsidRPr="000063AC">
        <w:t>The fertility rate falls faster than anticipated</w:t>
      </w:r>
      <w:r w:rsidR="000063AC">
        <w:t xml:space="preserve"> in the baseline</w:t>
      </w:r>
      <w:r w:rsidR="000063AC" w:rsidRPr="000063AC">
        <w:t>, constraining the size of the working-age population and increasing the dependency ratio</w:t>
      </w:r>
      <w:r>
        <w:t xml:space="preserve">. Low productivity </w:t>
      </w:r>
      <w:r w:rsidR="000063AC" w:rsidRPr="000063AC">
        <w:t>and nominal interest rate</w:t>
      </w:r>
      <w:r w:rsidR="000063AC">
        <w:t>s being</w:t>
      </w:r>
      <w:r w:rsidR="000063AC" w:rsidRPr="000063AC">
        <w:t xml:space="preserve"> constrain</w:t>
      </w:r>
      <w:r w:rsidR="000063AC">
        <w:t>ed</w:t>
      </w:r>
      <w:r w:rsidR="000063AC" w:rsidRPr="000063AC">
        <w:t xml:space="preserve"> at the zero lower bound </w:t>
      </w:r>
      <w:r>
        <w:t>drag the real neutral interest rate below the baseline, while weak real earnings growth also keeps inflation expectations subdued.</w:t>
      </w:r>
    </w:p>
    <w:sectPr w:rsidR="00302EE1" w:rsidRPr="00302EE1" w:rsidSect="005F1622">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A0A51" w14:textId="77777777" w:rsidR="00403E1A" w:rsidRDefault="00403E1A" w:rsidP="00403E1A">
      <w:pPr>
        <w:spacing w:before="0" w:after="0"/>
      </w:pPr>
      <w:r>
        <w:separator/>
      </w:r>
    </w:p>
  </w:endnote>
  <w:endnote w:type="continuationSeparator" w:id="0">
    <w:p w14:paraId="3AA8000A" w14:textId="77777777" w:rsidR="00403E1A" w:rsidRDefault="00403E1A" w:rsidP="00403E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E89D0" w14:textId="62253A92" w:rsidR="00403E1A" w:rsidRPr="00403E1A" w:rsidRDefault="00403E1A" w:rsidP="00403E1A">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DDE1E" w14:textId="27CFA0BD" w:rsidR="00403E1A" w:rsidRDefault="00403E1A" w:rsidP="00403E1A">
    <w:pPr>
      <w:pStyle w:val="Author"/>
    </w:pPr>
    <w:r>
      <w:t>Andrew Goodwin</w:t>
    </w:r>
    <w:r w:rsidR="007712A2">
      <w:t xml:space="preserve"> - </w:t>
    </w:r>
    <w:r>
      <w:t>Chief UK Economist</w:t>
    </w:r>
    <w:r w:rsidR="007712A2">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941FF" w14:textId="77777777" w:rsidR="00403E1A" w:rsidRDefault="00403E1A" w:rsidP="00403E1A">
      <w:pPr>
        <w:spacing w:before="0" w:after="0"/>
      </w:pPr>
      <w:r>
        <w:separator/>
      </w:r>
    </w:p>
  </w:footnote>
  <w:footnote w:type="continuationSeparator" w:id="0">
    <w:p w14:paraId="1BE1DC6C" w14:textId="77777777" w:rsidR="00403E1A" w:rsidRDefault="00403E1A" w:rsidP="00403E1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31AF" w14:textId="77777777" w:rsidR="00403E1A" w:rsidRDefault="00403E1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3C34F" w14:textId="439075FD" w:rsidR="00403E1A" w:rsidRDefault="00403E1A" w:rsidP="00403E1A">
    <w:pPr>
      <w:pStyle w:val="Headline"/>
      <w:spacing w:before="120"/>
      <w:ind w:right="-1000"/>
    </w:pPr>
    <w:r w:rsidRPr="00403E1A">
      <w:rPr>
        <w:noProof/>
      </w:rPr>
      <w:drawing>
        <wp:anchor distT="0" distB="0" distL="114300" distR="114300" simplePos="0" relativeHeight="251658239" behindDoc="1" locked="1" layoutInCell="1" allowOverlap="1" wp14:anchorId="49FDC30E" wp14:editId="16FC41B8">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C46BDF" w:rsidRPr="00C46BDF">
      <w:t>Why Bank Rate will fall further than markets think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F624A" w14:textId="7614C0BF" w:rsidR="00403E1A" w:rsidRDefault="00403E1A" w:rsidP="00403E1A">
    <w:r w:rsidRPr="00403E1A">
      <w:rPr>
        <w:noProof/>
      </w:rPr>
      <w:drawing>
        <wp:anchor distT="0" distB="0" distL="114300" distR="114300" simplePos="0" relativeHeight="251659264" behindDoc="1" locked="1" layoutInCell="1" allowOverlap="1" wp14:anchorId="1533473E" wp14:editId="22CD0D8B">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919685775"/>
      <w:lock w:val="sdtLocked"/>
      <w:placeholder>
        <w:docPart w:val="DefaultPlaceholder_-1854013437"/>
      </w:placeholder>
      <w:date w:fullDate="2024-12-11T00:00:00Z">
        <w:dateFormat w:val="d MMMM yyyy"/>
        <w:lid w:val="en-GB"/>
        <w:storeMappedDataAs w:val="dateTime"/>
        <w:calendar w:val="gregorian"/>
      </w:date>
    </w:sdtPr>
    <w:sdtEndPr/>
    <w:sdtContent>
      <w:p w14:paraId="76DA6B81" w14:textId="5E74719E" w:rsidR="00403E1A" w:rsidRDefault="00403E1A" w:rsidP="00403E1A">
        <w:pPr>
          <w:pStyle w:val="PublishDate"/>
          <w:framePr w:w="2835" w:h="340" w:hRule="exact" w:hSpace="180" w:wrap="around" w:vAnchor="page" w:hAnchor="page" w:x="7801" w:y="601" w:anchorLock="1"/>
        </w:pPr>
        <w:r>
          <w:t>11 December 2024</w:t>
        </w:r>
      </w:p>
    </w:sdtContent>
  </w:sdt>
  <w:p w14:paraId="49DAAE97" w14:textId="25163014" w:rsidR="00403E1A" w:rsidRDefault="00403E1A" w:rsidP="00403E1A">
    <w:pPr>
      <w:pStyle w:val="ProductDescription"/>
      <w:framePr w:w="11339" w:h="1474" w:hRule="exact" w:hSpace="180" w:wrap="around" w:vAnchor="page" w:hAnchor="page" w:x="401" w:y="1141" w:anchorLock="1"/>
      <w:spacing w:after="200"/>
    </w:pPr>
    <w:r>
      <w:t>Research Briefing | UK</w:t>
    </w:r>
  </w:p>
  <w:p w14:paraId="25E9EFF7" w14:textId="1D4A2F8D" w:rsidR="00403E1A" w:rsidRDefault="00C46BDF" w:rsidP="00403E1A">
    <w:pPr>
      <w:pStyle w:val="Headline"/>
      <w:framePr w:w="11339" w:h="1474" w:hRule="exact" w:hSpace="180" w:wrap="around" w:vAnchor="page" w:hAnchor="page" w:x="401" w:y="1141" w:anchorLock="1"/>
      <w:spacing w:line="200" w:lineRule="auto"/>
    </w:pPr>
    <w:r w:rsidRPr="00C46BDF">
      <w:t>Why Bank Rate will fall further than markets think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A"/>
    <w:rsid w:val="00003BA7"/>
    <w:rsid w:val="000063AC"/>
    <w:rsid w:val="00022761"/>
    <w:rsid w:val="00035CAE"/>
    <w:rsid w:val="000539C8"/>
    <w:rsid w:val="000C0ADF"/>
    <w:rsid w:val="000C249B"/>
    <w:rsid w:val="000D12D8"/>
    <w:rsid w:val="000D3E43"/>
    <w:rsid w:val="000D5403"/>
    <w:rsid w:val="000E2BD3"/>
    <w:rsid w:val="000F3F52"/>
    <w:rsid w:val="001018E9"/>
    <w:rsid w:val="00104BAB"/>
    <w:rsid w:val="00120D7A"/>
    <w:rsid w:val="00121D48"/>
    <w:rsid w:val="00124E58"/>
    <w:rsid w:val="00140204"/>
    <w:rsid w:val="00144716"/>
    <w:rsid w:val="00146BB9"/>
    <w:rsid w:val="00150381"/>
    <w:rsid w:val="00160F71"/>
    <w:rsid w:val="0016316B"/>
    <w:rsid w:val="00163A75"/>
    <w:rsid w:val="0017078A"/>
    <w:rsid w:val="00181389"/>
    <w:rsid w:val="00192CDF"/>
    <w:rsid w:val="001A5775"/>
    <w:rsid w:val="001A6993"/>
    <w:rsid w:val="001A749F"/>
    <w:rsid w:val="001B2B67"/>
    <w:rsid w:val="001B2C32"/>
    <w:rsid w:val="001D58E7"/>
    <w:rsid w:val="001D7057"/>
    <w:rsid w:val="001E0785"/>
    <w:rsid w:val="001E0C4A"/>
    <w:rsid w:val="001F3317"/>
    <w:rsid w:val="00242E5E"/>
    <w:rsid w:val="0025169D"/>
    <w:rsid w:val="0025309A"/>
    <w:rsid w:val="002615F6"/>
    <w:rsid w:val="0026272F"/>
    <w:rsid w:val="00262D94"/>
    <w:rsid w:val="00263E48"/>
    <w:rsid w:val="00270385"/>
    <w:rsid w:val="00271677"/>
    <w:rsid w:val="002745D6"/>
    <w:rsid w:val="00274D48"/>
    <w:rsid w:val="00282A8A"/>
    <w:rsid w:val="00286754"/>
    <w:rsid w:val="00286EB5"/>
    <w:rsid w:val="0029566B"/>
    <w:rsid w:val="002C1955"/>
    <w:rsid w:val="002D0DC9"/>
    <w:rsid w:val="002E1195"/>
    <w:rsid w:val="003017D9"/>
    <w:rsid w:val="00302EE1"/>
    <w:rsid w:val="003073EF"/>
    <w:rsid w:val="0031017C"/>
    <w:rsid w:val="0031169C"/>
    <w:rsid w:val="00316CBE"/>
    <w:rsid w:val="00332268"/>
    <w:rsid w:val="0035646F"/>
    <w:rsid w:val="00360F5A"/>
    <w:rsid w:val="00370974"/>
    <w:rsid w:val="00374E02"/>
    <w:rsid w:val="003B0CAB"/>
    <w:rsid w:val="003B715A"/>
    <w:rsid w:val="003C1BB1"/>
    <w:rsid w:val="003D4EE1"/>
    <w:rsid w:val="003E05D7"/>
    <w:rsid w:val="003E79C0"/>
    <w:rsid w:val="003E7F3C"/>
    <w:rsid w:val="003F0F4E"/>
    <w:rsid w:val="0040359C"/>
    <w:rsid w:val="00403E1A"/>
    <w:rsid w:val="00405A12"/>
    <w:rsid w:val="00405D65"/>
    <w:rsid w:val="004156C0"/>
    <w:rsid w:val="004258C9"/>
    <w:rsid w:val="00436E4C"/>
    <w:rsid w:val="00437B5C"/>
    <w:rsid w:val="004458BB"/>
    <w:rsid w:val="0045393E"/>
    <w:rsid w:val="004602D9"/>
    <w:rsid w:val="0046292D"/>
    <w:rsid w:val="004677EA"/>
    <w:rsid w:val="0048053A"/>
    <w:rsid w:val="004827E3"/>
    <w:rsid w:val="00495DE7"/>
    <w:rsid w:val="004A1AA7"/>
    <w:rsid w:val="004A2A92"/>
    <w:rsid w:val="004B4F66"/>
    <w:rsid w:val="004C7923"/>
    <w:rsid w:val="004D295A"/>
    <w:rsid w:val="004D473F"/>
    <w:rsid w:val="004D5B83"/>
    <w:rsid w:val="004D650E"/>
    <w:rsid w:val="005176F2"/>
    <w:rsid w:val="0053339C"/>
    <w:rsid w:val="00535C71"/>
    <w:rsid w:val="005414BA"/>
    <w:rsid w:val="0054280C"/>
    <w:rsid w:val="005473C6"/>
    <w:rsid w:val="00563FEB"/>
    <w:rsid w:val="00576CB8"/>
    <w:rsid w:val="00591E44"/>
    <w:rsid w:val="00592138"/>
    <w:rsid w:val="005A4F30"/>
    <w:rsid w:val="005E2E01"/>
    <w:rsid w:val="005E59A7"/>
    <w:rsid w:val="005F0616"/>
    <w:rsid w:val="005F1622"/>
    <w:rsid w:val="005F21A6"/>
    <w:rsid w:val="006012E2"/>
    <w:rsid w:val="00611C20"/>
    <w:rsid w:val="006125A3"/>
    <w:rsid w:val="00613F43"/>
    <w:rsid w:val="006166EE"/>
    <w:rsid w:val="00671564"/>
    <w:rsid w:val="00671815"/>
    <w:rsid w:val="006739BF"/>
    <w:rsid w:val="0067595A"/>
    <w:rsid w:val="006A1630"/>
    <w:rsid w:val="006A676D"/>
    <w:rsid w:val="006B76A5"/>
    <w:rsid w:val="006C0035"/>
    <w:rsid w:val="006C7C06"/>
    <w:rsid w:val="006E001A"/>
    <w:rsid w:val="006E2513"/>
    <w:rsid w:val="006E2915"/>
    <w:rsid w:val="006F60F1"/>
    <w:rsid w:val="00712C57"/>
    <w:rsid w:val="00714AF9"/>
    <w:rsid w:val="00715AD6"/>
    <w:rsid w:val="007712A2"/>
    <w:rsid w:val="00771CB9"/>
    <w:rsid w:val="007723AE"/>
    <w:rsid w:val="007A0F18"/>
    <w:rsid w:val="007A1CFA"/>
    <w:rsid w:val="007B57CD"/>
    <w:rsid w:val="007C28B5"/>
    <w:rsid w:val="007E0AF9"/>
    <w:rsid w:val="007F5D5D"/>
    <w:rsid w:val="008178E0"/>
    <w:rsid w:val="00827CB5"/>
    <w:rsid w:val="00845549"/>
    <w:rsid w:val="00847933"/>
    <w:rsid w:val="008534C8"/>
    <w:rsid w:val="008538CF"/>
    <w:rsid w:val="00855D68"/>
    <w:rsid w:val="0086090E"/>
    <w:rsid w:val="00874B7C"/>
    <w:rsid w:val="00883BF0"/>
    <w:rsid w:val="0088455B"/>
    <w:rsid w:val="0089306C"/>
    <w:rsid w:val="008D3960"/>
    <w:rsid w:val="008D478A"/>
    <w:rsid w:val="008D4F08"/>
    <w:rsid w:val="008E11F0"/>
    <w:rsid w:val="008E640F"/>
    <w:rsid w:val="008E721D"/>
    <w:rsid w:val="008F1A70"/>
    <w:rsid w:val="0092031C"/>
    <w:rsid w:val="00920D15"/>
    <w:rsid w:val="00933B30"/>
    <w:rsid w:val="00951ABE"/>
    <w:rsid w:val="009634AC"/>
    <w:rsid w:val="00963AA5"/>
    <w:rsid w:val="00965A59"/>
    <w:rsid w:val="009945CE"/>
    <w:rsid w:val="00995482"/>
    <w:rsid w:val="00995E6B"/>
    <w:rsid w:val="009A0643"/>
    <w:rsid w:val="009B723B"/>
    <w:rsid w:val="009C1D32"/>
    <w:rsid w:val="009C663B"/>
    <w:rsid w:val="009C6D1F"/>
    <w:rsid w:val="009C7C16"/>
    <w:rsid w:val="009D7FE1"/>
    <w:rsid w:val="009E07F1"/>
    <w:rsid w:val="009E5F70"/>
    <w:rsid w:val="009F17EF"/>
    <w:rsid w:val="009F37D1"/>
    <w:rsid w:val="009F3F01"/>
    <w:rsid w:val="00A0746A"/>
    <w:rsid w:val="00A25234"/>
    <w:rsid w:val="00A32836"/>
    <w:rsid w:val="00A332D4"/>
    <w:rsid w:val="00A46EF3"/>
    <w:rsid w:val="00A50835"/>
    <w:rsid w:val="00A52669"/>
    <w:rsid w:val="00A576A0"/>
    <w:rsid w:val="00A63323"/>
    <w:rsid w:val="00A66B32"/>
    <w:rsid w:val="00A76832"/>
    <w:rsid w:val="00A77085"/>
    <w:rsid w:val="00A91BCC"/>
    <w:rsid w:val="00A9430E"/>
    <w:rsid w:val="00AA4BE6"/>
    <w:rsid w:val="00AB24B7"/>
    <w:rsid w:val="00AB5CFD"/>
    <w:rsid w:val="00AB6B99"/>
    <w:rsid w:val="00AD07ED"/>
    <w:rsid w:val="00AE76E6"/>
    <w:rsid w:val="00B00578"/>
    <w:rsid w:val="00B04E07"/>
    <w:rsid w:val="00B16B5A"/>
    <w:rsid w:val="00B37B52"/>
    <w:rsid w:val="00B50A7F"/>
    <w:rsid w:val="00B7343B"/>
    <w:rsid w:val="00B76F2A"/>
    <w:rsid w:val="00B76F39"/>
    <w:rsid w:val="00B846EA"/>
    <w:rsid w:val="00B910EA"/>
    <w:rsid w:val="00BB6195"/>
    <w:rsid w:val="00BD1E37"/>
    <w:rsid w:val="00BD7453"/>
    <w:rsid w:val="00BE1485"/>
    <w:rsid w:val="00BE79C0"/>
    <w:rsid w:val="00BF5A38"/>
    <w:rsid w:val="00BF6A2A"/>
    <w:rsid w:val="00C17065"/>
    <w:rsid w:val="00C41431"/>
    <w:rsid w:val="00C46BDF"/>
    <w:rsid w:val="00C65A69"/>
    <w:rsid w:val="00C72052"/>
    <w:rsid w:val="00C75153"/>
    <w:rsid w:val="00C76458"/>
    <w:rsid w:val="00C84AD7"/>
    <w:rsid w:val="00C84C70"/>
    <w:rsid w:val="00C90D41"/>
    <w:rsid w:val="00C93538"/>
    <w:rsid w:val="00C9768F"/>
    <w:rsid w:val="00CA4BF3"/>
    <w:rsid w:val="00CA6735"/>
    <w:rsid w:val="00CB23EC"/>
    <w:rsid w:val="00CB7716"/>
    <w:rsid w:val="00CC3321"/>
    <w:rsid w:val="00CD0078"/>
    <w:rsid w:val="00CE3160"/>
    <w:rsid w:val="00CE3E96"/>
    <w:rsid w:val="00D01AEE"/>
    <w:rsid w:val="00D12DBE"/>
    <w:rsid w:val="00D379EC"/>
    <w:rsid w:val="00D412F1"/>
    <w:rsid w:val="00D44219"/>
    <w:rsid w:val="00D44EE0"/>
    <w:rsid w:val="00D645EE"/>
    <w:rsid w:val="00D82250"/>
    <w:rsid w:val="00D956E6"/>
    <w:rsid w:val="00DB0BE6"/>
    <w:rsid w:val="00DB4856"/>
    <w:rsid w:val="00DC3B6C"/>
    <w:rsid w:val="00DE568D"/>
    <w:rsid w:val="00DF68CB"/>
    <w:rsid w:val="00DF73F9"/>
    <w:rsid w:val="00E00692"/>
    <w:rsid w:val="00E05148"/>
    <w:rsid w:val="00E10235"/>
    <w:rsid w:val="00E213A8"/>
    <w:rsid w:val="00E23560"/>
    <w:rsid w:val="00E27D72"/>
    <w:rsid w:val="00E3494D"/>
    <w:rsid w:val="00E43EB0"/>
    <w:rsid w:val="00E62BB9"/>
    <w:rsid w:val="00E8402B"/>
    <w:rsid w:val="00EA0803"/>
    <w:rsid w:val="00EA2025"/>
    <w:rsid w:val="00EC10CA"/>
    <w:rsid w:val="00EC1D0F"/>
    <w:rsid w:val="00ED615F"/>
    <w:rsid w:val="00ED6FF0"/>
    <w:rsid w:val="00F2643F"/>
    <w:rsid w:val="00F2788D"/>
    <w:rsid w:val="00F52C66"/>
    <w:rsid w:val="00F608CD"/>
    <w:rsid w:val="00F72F2A"/>
    <w:rsid w:val="00F915C8"/>
    <w:rsid w:val="00F95C40"/>
    <w:rsid w:val="00FC1EA7"/>
    <w:rsid w:val="00FD14D9"/>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52E8106A"/>
  <w15:chartTrackingRefBased/>
  <w15:docId w15:val="{61CAAC9E-4D67-4D52-B9B1-3BA4C293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E1A"/>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403E1A"/>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03E1A"/>
    <w:pPr>
      <w:outlineLvl w:val="1"/>
    </w:pPr>
    <w:rPr>
      <w:sz w:val="28"/>
    </w:rPr>
  </w:style>
  <w:style w:type="paragraph" w:styleId="Heading3">
    <w:name w:val="heading 3"/>
    <w:basedOn w:val="Normal"/>
    <w:next w:val="Normal"/>
    <w:link w:val="Heading3Char"/>
    <w:uiPriority w:val="9"/>
    <w:unhideWhenUsed/>
    <w:qFormat/>
    <w:rsid w:val="00403E1A"/>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03E1A"/>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03E1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03E1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03E1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03E1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03E1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403E1A"/>
    <w:pPr>
      <w:tabs>
        <w:tab w:val="center" w:pos="4320"/>
        <w:tab w:val="right" w:pos="8640"/>
      </w:tabs>
    </w:pPr>
  </w:style>
  <w:style w:type="character" w:customStyle="1" w:styleId="HeaderChar">
    <w:name w:val="Header Char"/>
    <w:basedOn w:val="DefaultParagraphFont"/>
    <w:link w:val="Header"/>
    <w:uiPriority w:val="99"/>
    <w:rsid w:val="00403E1A"/>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403E1A"/>
    <w:pPr>
      <w:tabs>
        <w:tab w:val="center" w:pos="4320"/>
        <w:tab w:val="right" w:pos="8640"/>
      </w:tabs>
    </w:pPr>
  </w:style>
  <w:style w:type="character" w:customStyle="1" w:styleId="FooterChar">
    <w:name w:val="Footer Char"/>
    <w:basedOn w:val="DefaultParagraphFont"/>
    <w:link w:val="Footer"/>
    <w:uiPriority w:val="99"/>
    <w:rsid w:val="00403E1A"/>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403E1A"/>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403E1A"/>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403E1A"/>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403E1A"/>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403E1A"/>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403E1A"/>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403E1A"/>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403E1A"/>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403E1A"/>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403E1A"/>
    <w:rPr>
      <w:noProof w:val="0"/>
    </w:rPr>
  </w:style>
  <w:style w:type="character" w:styleId="Hyperlink">
    <w:name w:val="Hyperlink"/>
    <w:basedOn w:val="DefaultParagraphFont"/>
    <w:uiPriority w:val="99"/>
    <w:unhideWhenUsed/>
    <w:rsid w:val="00403E1A"/>
    <w:rPr>
      <w:noProof w:val="0"/>
      <w:color w:val="0563C1" w:themeColor="hyperlink"/>
      <w:u w:val="single"/>
    </w:rPr>
  </w:style>
  <w:style w:type="paragraph" w:styleId="ListParagraph">
    <w:name w:val="List Paragraph"/>
    <w:next w:val="Normal"/>
    <w:link w:val="ListParagraphChar"/>
    <w:uiPriority w:val="34"/>
    <w:locked/>
    <w:rsid w:val="00403E1A"/>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403E1A"/>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403E1A"/>
    <w:pPr>
      <w:spacing w:after="120"/>
    </w:pPr>
    <w:rPr>
      <w:b/>
      <w:bCs/>
      <w:color w:val="FFFFFF"/>
      <w:sz w:val="32"/>
      <w:szCs w:val="32"/>
    </w:rPr>
  </w:style>
  <w:style w:type="paragraph" w:customStyle="1" w:styleId="Headline">
    <w:name w:val="Headline"/>
    <w:basedOn w:val="Normal"/>
    <w:next w:val="Normal"/>
    <w:link w:val="HeadlineChar"/>
    <w:qFormat/>
    <w:rsid w:val="00403E1A"/>
    <w:rPr>
      <w:rFonts w:ascii="Segoe UI Semilight" w:hAnsi="Segoe UI Semilight" w:cs="Segoe UI Semilight"/>
      <w:b/>
      <w:bCs/>
      <w:color w:val="FFFFFF"/>
      <w:sz w:val="40"/>
      <w:szCs w:val="40"/>
    </w:rPr>
  </w:style>
  <w:style w:type="paragraph" w:customStyle="1" w:styleId="ExhibitTitle">
    <w:name w:val="Exhibit Title"/>
    <w:basedOn w:val="Normal"/>
    <w:qFormat/>
    <w:rsid w:val="00403E1A"/>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03E1A"/>
    <w:pPr>
      <w:shd w:val="clear" w:color="auto" w:fill="D6E2FA"/>
      <w:spacing w:after="0"/>
    </w:pPr>
    <w:rPr>
      <w:color w:val="595959" w:themeColor="text1" w:themeTint="A6"/>
      <w:sz w:val="18"/>
    </w:rPr>
  </w:style>
  <w:style w:type="paragraph" w:customStyle="1" w:styleId="ExhibitSource">
    <w:name w:val="Exhibit Source"/>
    <w:next w:val="Normal"/>
    <w:qFormat/>
    <w:rsid w:val="00403E1A"/>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403E1A"/>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403E1A"/>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403E1A"/>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403E1A"/>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03E1A"/>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403E1A"/>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403E1A"/>
    <w:rPr>
      <w:rFonts w:ascii="Segoe UI" w:hAnsi="Segoe UI" w:cs="Segoe UI"/>
      <w:noProof w:val="0"/>
      <w:color w:val="000000" w:themeColor="text1"/>
    </w:rPr>
  </w:style>
  <w:style w:type="paragraph" w:customStyle="1" w:styleId="Summary">
    <w:name w:val="Summary"/>
    <w:basedOn w:val="Normal"/>
    <w:link w:val="SummaryChar"/>
    <w:qFormat/>
    <w:rsid w:val="00403E1A"/>
    <w:pPr>
      <w:numPr>
        <w:numId w:val="1"/>
      </w:numPr>
      <w:ind w:left="1797" w:hanging="357"/>
    </w:pPr>
    <w:rPr>
      <w:kern w:val="2"/>
      <w:sz w:val="22"/>
      <w14:ligatures w14:val="standardContextual"/>
    </w:rPr>
  </w:style>
  <w:style w:type="paragraph" w:customStyle="1" w:styleId="TableData">
    <w:name w:val="Table Data"/>
    <w:link w:val="TableDataChar"/>
    <w:qFormat/>
    <w:rsid w:val="00403E1A"/>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403E1A"/>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403E1A"/>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403E1A"/>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403E1A"/>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403E1A"/>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403E1A"/>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403E1A"/>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403E1A"/>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403E1A"/>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403E1A"/>
    <w:rPr>
      <w:color w:val="003469"/>
    </w:rPr>
  </w:style>
  <w:style w:type="character" w:customStyle="1" w:styleId="RepeatingFooterChar">
    <w:name w:val="Repeating Footer Char"/>
    <w:basedOn w:val="FooterChar"/>
    <w:link w:val="RepeatingFooter"/>
    <w:rsid w:val="00403E1A"/>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403E1A"/>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403E1A"/>
    <w:rPr>
      <w:b/>
      <w:bCs/>
      <w:noProof w:val="0"/>
    </w:rPr>
  </w:style>
  <w:style w:type="character" w:customStyle="1" w:styleId="Italics">
    <w:name w:val="Italics"/>
    <w:uiPriority w:val="1"/>
    <w:qFormat/>
    <w:rsid w:val="00403E1A"/>
    <w:rPr>
      <w:i/>
      <w:iCs/>
      <w:noProof w:val="0"/>
    </w:rPr>
  </w:style>
  <w:style w:type="table" w:customStyle="1" w:styleId="TableGridHeader">
    <w:name w:val="Table Grid Header"/>
    <w:basedOn w:val="TableNormal"/>
    <w:uiPriority w:val="99"/>
    <w:rsid w:val="00403E1A"/>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chapters/dea324C3A81B451E83b06f/GAANovember2024Stays"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my.oxfordeconomics.com/reportaction/6558E9Db95634cBc81c2d2/Toc" TargetMode="External"/><Relationship Id="rId29" Type="http://schemas.openxmlformats.org/officeDocument/2006/relationships/hyperlink" Target="https://www.dmo.gov.uk/media/4jlk3rxj/sa301024.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ankofengland.co.uk/markets/market-intelligence/survey-results/2024/market-participants-survey-results-november-2024" TargetMode="External"/><Relationship Id="rId24" Type="http://schemas.openxmlformats.org/officeDocument/2006/relationships/image" Target="media/image8.sv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hyperlink" Target="https://my.oxfordeconomics.com/reports/620E83Dc12B949F4a31505" TargetMode="External"/><Relationship Id="rId10" Type="http://schemas.openxmlformats.org/officeDocument/2006/relationships/hyperlink" Target="https://my.oxfordeconomics.com/reportaction/29dFb1fe0FDA480da366Ff/Toc" TargetMode="External"/><Relationship Id="rId19" Type="http://schemas.openxmlformats.org/officeDocument/2006/relationships/hyperlink" Target="https://my.oxfordeconomics.com/reportaction/c2511f2fe36441Fe8E6798/Toc" TargetMode="External"/><Relationship Id="rId31" Type="http://schemas.openxmlformats.org/officeDocument/2006/relationships/image" Target="media/image12.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image" Target="media/image6.svg"/><Relationship Id="rId27" Type="http://schemas.openxmlformats.org/officeDocument/2006/relationships/image" Target="media/image10.svg"/><Relationship Id="rId30" Type="http://schemas.openxmlformats.org/officeDocument/2006/relationships/image" Target="media/image11.png"/><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8F6437D9-756E-459C-9F6F-8D6AD230D248}"/>
      </w:docPartPr>
      <w:docPartBody>
        <w:p w:rsidR="00EE6CE5" w:rsidRDefault="00EE6CE5">
          <w:r w:rsidRPr="00095F47">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CE5"/>
    <w:rsid w:val="00EE6C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0E0DBC-BBE9-4B34-B560-FED02404B4A8}">
  <ds:schemaRefs>
    <ds:schemaRef ds:uri="http://schemas.openxmlformats.org/package/2006/metadata/core-properties"/>
    <ds:schemaRef ds:uri="http://www.w3.org/XML/1998/namespace"/>
    <ds:schemaRef ds:uri="6ec33f61-c765-4e3b-9958-53c32fd1fd0b"/>
    <ds:schemaRef ds:uri="http://purl.org/dc/elements/1.1/"/>
    <ds:schemaRef ds:uri="http://purl.org/dc/terms/"/>
    <ds:schemaRef ds:uri="http://schemas.microsoft.com/office/2006/metadata/properties"/>
    <ds:schemaRef ds:uri="http://schemas.microsoft.com/office/infopath/2007/PartnerControls"/>
    <ds:schemaRef ds:uri="http://schemas.microsoft.com/office/2006/documentManagement/types"/>
    <ds:schemaRef ds:uri="6c77b332-7df6-4eff-997f-266963d55fc4"/>
    <ds:schemaRef ds:uri="http://purl.org/dc/dcmitype/"/>
  </ds:schemaRefs>
</ds:datastoreItem>
</file>

<file path=customXml/itemProps2.xml><?xml version="1.0" encoding="utf-8"?>
<ds:datastoreItem xmlns:ds="http://schemas.openxmlformats.org/officeDocument/2006/customXml" ds:itemID="{36154942-33D5-467D-ABB9-4D4D2B095C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1F0D64-786D-4D8E-B400-1BB26D1856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1651</Words>
  <Characters>8556</Characters>
  <Application>Microsoft Office Word</Application>
  <DocSecurity>0</DocSecurity>
  <Lines>117</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15</cp:revision>
  <dcterms:created xsi:type="dcterms:W3CDTF">2024-12-11T12:08:00Z</dcterms:created>
  <dcterms:modified xsi:type="dcterms:W3CDTF">2024-12-11T16:52:00Z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2024-12-11T16:24:30.000Z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Briefing\20241211 RB UK Neutral rate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rates,fiscal policy,monetary policy,politics</vt:lpwstr>
  </property>
  <property fmtid="{D5CDD505-2E9C-101B-9397-08002B2CF9AE}" pid="17" name="ContentTypeId">
    <vt:lpwstr>0x01010009401BB7205AF745BAD4FA98BDE0B98F</vt:lpwstr>
  </property>
  <property fmtid="{D5CDD505-2E9C-101B-9397-08002B2CF9AE}" pid="18" name="OEP_PRODUCT_CODE">
    <vt:lpwstr>551B508c93F740C18D0F32</vt:lpwstr>
  </property>
  <property fmtid="{D5CDD505-2E9C-101B-9397-08002B2CF9AE}" pid="19" name="OEP_PUBLISH_DATE">
    <vt:lpwstr/>
  </property>
</Properties>
</file>