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27EE" w14:textId="77777777" w:rsidR="00686262" w:rsidRDefault="006047E3" w:rsidP="00C064EE">
      <w:pPr>
        <w:pStyle w:val="Bullet"/>
      </w:pPr>
      <w:r>
        <w:t xml:space="preserve">We expect the Bank of England's Monetary Policy Committee </w:t>
      </w:r>
      <w:r w:rsidR="00093A3F">
        <w:t>to hold Bank Rate at 3.75% at next week</w:t>
      </w:r>
      <w:r w:rsidR="00DE6334">
        <w:t>'</w:t>
      </w:r>
      <w:r w:rsidR="00093A3F">
        <w:t>s meeting</w:t>
      </w:r>
      <w:r w:rsidR="00C064EE">
        <w:t xml:space="preserve">. </w:t>
      </w:r>
    </w:p>
    <w:p w14:paraId="66C0F3EE" w14:textId="17721634" w:rsidR="00C064EE" w:rsidRDefault="00E4718F" w:rsidP="00C064EE">
      <w:pPr>
        <w:pStyle w:val="Bullet"/>
      </w:pPr>
      <w:r>
        <w:t>T</w:t>
      </w:r>
      <w:r w:rsidR="00DD30AA">
        <w:t xml:space="preserve">he duration and </w:t>
      </w:r>
      <w:r w:rsidR="003562D7">
        <w:t xml:space="preserve">severity </w:t>
      </w:r>
      <w:r w:rsidR="00DD30AA">
        <w:t xml:space="preserve">of the energy </w:t>
      </w:r>
      <w:r w:rsidR="00C40BA0">
        <w:t xml:space="preserve">price </w:t>
      </w:r>
      <w:r w:rsidR="00DD30AA">
        <w:t xml:space="preserve">shock </w:t>
      </w:r>
      <w:r w:rsidR="00C40BA0">
        <w:t>caused by</w:t>
      </w:r>
      <w:r w:rsidR="00DD30AA">
        <w:t xml:space="preserve"> the </w:t>
      </w:r>
      <w:r w:rsidR="004C7F4F">
        <w:t>war</w:t>
      </w:r>
      <w:r w:rsidR="00DD30AA">
        <w:t xml:space="preserve"> in the Middle East </w:t>
      </w:r>
      <w:r>
        <w:t xml:space="preserve">is </w:t>
      </w:r>
      <w:r w:rsidR="00204AE0">
        <w:t>highly uncertain</w:t>
      </w:r>
      <w:r>
        <w:t>.</w:t>
      </w:r>
      <w:r w:rsidR="00204AE0">
        <w:t xml:space="preserve"> </w:t>
      </w:r>
      <w:r w:rsidR="00F77057">
        <w:t xml:space="preserve">So </w:t>
      </w:r>
      <w:r w:rsidR="00B377F1">
        <w:t>we think the</w:t>
      </w:r>
      <w:r w:rsidR="005431B0">
        <w:t xml:space="preserve"> divided</w:t>
      </w:r>
      <w:r w:rsidR="00B377F1">
        <w:t xml:space="preserve"> committee</w:t>
      </w:r>
      <w:r w:rsidR="00862D49">
        <w:t xml:space="preserve"> </w:t>
      </w:r>
      <w:r w:rsidR="00B377F1">
        <w:t>will</w:t>
      </w:r>
      <w:r w:rsidR="00862D49">
        <w:t xml:space="preserve"> be </w:t>
      </w:r>
      <w:r w:rsidR="00B377F1">
        <w:t>wary</w:t>
      </w:r>
      <w:r w:rsidR="00862D49">
        <w:t xml:space="preserve"> about the risk</w:t>
      </w:r>
      <w:r w:rsidR="00B377F1">
        <w:t>s of</w:t>
      </w:r>
      <w:r w:rsidR="00862D49">
        <w:t xml:space="preserve"> making a policy error</w:t>
      </w:r>
      <w:r w:rsidR="00F77057">
        <w:t xml:space="preserve"> and</w:t>
      </w:r>
      <w:r w:rsidR="00670CE3">
        <w:t xml:space="preserve"> </w:t>
      </w:r>
      <w:r w:rsidR="00F77057">
        <w:t>is</w:t>
      </w:r>
      <w:r w:rsidR="0049744C">
        <w:t xml:space="preserve"> likely to err on the side of caution for now.</w:t>
      </w:r>
    </w:p>
    <w:p w14:paraId="06CADC01" w14:textId="4EDA19A7" w:rsidR="00C064EE" w:rsidRDefault="00366780" w:rsidP="00C064EE">
      <w:pPr>
        <w:pStyle w:val="Bullet"/>
      </w:pPr>
      <w:r>
        <w:t xml:space="preserve">Should the energy shock </w:t>
      </w:r>
      <w:r w:rsidR="00C255E7">
        <w:t xml:space="preserve">prove short-lived, we still think there's a chance that the </w:t>
      </w:r>
      <w:r w:rsidR="001D7D53">
        <w:t xml:space="preserve">committee resumes its cutting cycle in April or June. But </w:t>
      </w:r>
      <w:r w:rsidR="008559DF">
        <w:t xml:space="preserve">if the shock </w:t>
      </w:r>
      <w:r w:rsidR="00CF3B94">
        <w:t>persists or expands, the MPC will be set for an extended pause.</w:t>
      </w:r>
    </w:p>
    <w:p w14:paraId="110C908D" w14:textId="66BBDD2F" w:rsidR="00BE2531" w:rsidRDefault="00C82970" w:rsidP="00C064EE">
      <w:r>
        <w:t>The Bank of England</w:t>
      </w:r>
      <w:r w:rsidR="00350EBA">
        <w:t>'s Monetary Policy Committee</w:t>
      </w:r>
      <w:r>
        <w:t xml:space="preserve"> </w:t>
      </w:r>
      <w:r w:rsidR="00350EBA">
        <w:t xml:space="preserve">used </w:t>
      </w:r>
      <w:hyperlink r:id="rId10" w:history="1">
        <w:r w:rsidR="00350EBA" w:rsidRPr="00D207AA">
          <w:rPr>
            <w:rStyle w:val="Hyperlink"/>
          </w:rPr>
          <w:t>February's meeting minutes</w:t>
        </w:r>
      </w:hyperlink>
      <w:r w:rsidR="00350EBA">
        <w:t xml:space="preserve"> and accompanying press conference </w:t>
      </w:r>
      <w:r w:rsidR="00DA3F9E">
        <w:t xml:space="preserve">to signal that </w:t>
      </w:r>
      <w:r w:rsidR="0065321B">
        <w:t xml:space="preserve">an interest cut was </w:t>
      </w:r>
      <w:r w:rsidR="00D873A7">
        <w:t>highly likely at one of the next two meetings</w:t>
      </w:r>
      <w:r w:rsidR="008932BD">
        <w:t xml:space="preserve">. </w:t>
      </w:r>
      <w:r w:rsidR="00F02CCA">
        <w:t xml:space="preserve">But the </w:t>
      </w:r>
      <w:hyperlink r:id="rId11" w:history="1">
        <w:r w:rsidR="00F02CCA" w:rsidRPr="002475F0">
          <w:rPr>
            <w:rStyle w:val="Hyperlink"/>
          </w:rPr>
          <w:t xml:space="preserve"> </w:t>
        </w:r>
        <w:r w:rsidR="004C7F4F">
          <w:rPr>
            <w:rStyle w:val="Hyperlink"/>
          </w:rPr>
          <w:t>war</w:t>
        </w:r>
        <w:r w:rsidR="004C7F4F" w:rsidRPr="002475F0">
          <w:rPr>
            <w:rStyle w:val="Hyperlink"/>
          </w:rPr>
          <w:t xml:space="preserve"> </w:t>
        </w:r>
        <w:r w:rsidR="00F02CCA" w:rsidRPr="002475F0">
          <w:rPr>
            <w:rStyle w:val="Hyperlink"/>
          </w:rPr>
          <w:t>in the Middle East</w:t>
        </w:r>
      </w:hyperlink>
      <w:r w:rsidR="00653C92">
        <w:t xml:space="preserve"> </w:t>
      </w:r>
      <w:r w:rsidR="0062540A">
        <w:t>has changed the dynamic. F</w:t>
      </w:r>
      <w:r w:rsidR="008F657D">
        <w:t>inancial</w:t>
      </w:r>
      <w:r w:rsidR="00653C92">
        <w:t xml:space="preserve"> markets </w:t>
      </w:r>
      <w:r w:rsidR="004C7F4F">
        <w:t>currently assess</w:t>
      </w:r>
      <w:r w:rsidR="00653C92">
        <w:t xml:space="preserve"> </w:t>
      </w:r>
      <w:r w:rsidR="00BE2531">
        <w:t xml:space="preserve">the chances of a March rate cut </w:t>
      </w:r>
      <w:r w:rsidR="004C7F4F">
        <w:t xml:space="preserve">as </w:t>
      </w:r>
      <w:r w:rsidR="00187E26">
        <w:t xml:space="preserve">close to zero, </w:t>
      </w:r>
      <w:r w:rsidR="004C7F4F">
        <w:t xml:space="preserve">and that </w:t>
      </w:r>
      <w:r w:rsidR="009246B4">
        <w:t>a cut in April</w:t>
      </w:r>
      <w:r w:rsidR="00655EE1">
        <w:t xml:space="preserve"> is </w:t>
      </w:r>
      <w:r w:rsidR="002B33DA">
        <w:t xml:space="preserve">also </w:t>
      </w:r>
      <w:r w:rsidR="00655EE1">
        <w:t xml:space="preserve">looking unlikely without a quick resolution to the conflict. We agree and expect the MPC </w:t>
      </w:r>
      <w:r w:rsidR="000C2C09">
        <w:t xml:space="preserve">to vote </w:t>
      </w:r>
      <w:r w:rsidR="004C7F4F">
        <w:t xml:space="preserve">decisively </w:t>
      </w:r>
      <w:r w:rsidR="000C2C09">
        <w:t xml:space="preserve">to keep </w:t>
      </w:r>
      <w:r w:rsidR="006F1A33">
        <w:t>B</w:t>
      </w:r>
      <w:r w:rsidR="000C2C09">
        <w:t xml:space="preserve">ank Rate at </w:t>
      </w:r>
      <w:r w:rsidR="00147ABD">
        <w:t>3.75% at next week's meeting.</w:t>
      </w:r>
    </w:p>
    <w:p w14:paraId="537C427A" w14:textId="0275B5DF" w:rsidR="00601E5C" w:rsidRDefault="009C21F4" w:rsidP="00601E5C">
      <w:r>
        <w:t>Although a</w:t>
      </w:r>
      <w:r w:rsidR="0001032C">
        <w:t xml:space="preserve"> wealth of economic data </w:t>
      </w:r>
      <w:r w:rsidR="00CC433C">
        <w:t xml:space="preserve">has been </w:t>
      </w:r>
      <w:r w:rsidR="0001032C">
        <w:t xml:space="preserve">published since the February meeting, the </w:t>
      </w:r>
      <w:r w:rsidR="00F249E6">
        <w:t>most</w:t>
      </w:r>
      <w:r w:rsidR="0001032C">
        <w:t xml:space="preserve"> important question </w:t>
      </w:r>
      <w:r w:rsidR="001A00A4">
        <w:t xml:space="preserve">is how the economic fallout from the </w:t>
      </w:r>
      <w:r w:rsidR="004C7F4F">
        <w:t>war</w:t>
      </w:r>
      <w:r w:rsidR="001A00A4">
        <w:t xml:space="preserve"> </w:t>
      </w:r>
      <w:r w:rsidR="00BF3CB1">
        <w:t xml:space="preserve">is influencing the MPC's thinking. </w:t>
      </w:r>
      <w:r w:rsidR="00183D30">
        <w:t xml:space="preserve">The conflict represents a new </w:t>
      </w:r>
      <w:r w:rsidR="00195BD5">
        <w:t xml:space="preserve">adverse </w:t>
      </w:r>
      <w:r w:rsidR="00E558C9">
        <w:t xml:space="preserve">supply shock for the UK, but there's considerable uncertainty </w:t>
      </w:r>
      <w:r w:rsidR="00E613B6">
        <w:t xml:space="preserve">surrounding </w:t>
      </w:r>
      <w:r w:rsidR="009E4655">
        <w:t xml:space="preserve">its </w:t>
      </w:r>
      <w:r w:rsidR="002F61CF">
        <w:t xml:space="preserve">severity </w:t>
      </w:r>
      <w:r w:rsidR="00E613B6">
        <w:t>and duration.</w:t>
      </w:r>
      <w:r w:rsidR="00BE5F99">
        <w:t xml:space="preserve"> </w:t>
      </w:r>
      <w:r w:rsidR="002174D8">
        <w:t>W</w:t>
      </w:r>
      <w:r w:rsidR="00277D35">
        <w:t xml:space="preserve">hile </w:t>
      </w:r>
      <w:r w:rsidR="002F61CF">
        <w:t xml:space="preserve">the </w:t>
      </w:r>
      <w:r w:rsidR="00726AD3">
        <w:t xml:space="preserve">March meeting minutes will be the first </w:t>
      </w:r>
      <w:r w:rsidR="0019252A">
        <w:t xml:space="preserve">opportunity </w:t>
      </w:r>
      <w:r w:rsidR="00593E2D">
        <w:t>for each member to set out how recent developments are shaping their respective outlooks</w:t>
      </w:r>
      <w:r w:rsidR="005E4665">
        <w:t xml:space="preserve">, we suspect most </w:t>
      </w:r>
      <w:r w:rsidR="00D92A06">
        <w:t xml:space="preserve">will </w:t>
      </w:r>
      <w:r w:rsidR="00667E35">
        <w:t xml:space="preserve">probably </w:t>
      </w:r>
      <w:r w:rsidR="004C7F4F">
        <w:t xml:space="preserve">avoid </w:t>
      </w:r>
      <w:r w:rsidR="000252FC">
        <w:t xml:space="preserve">making </w:t>
      </w:r>
      <w:r w:rsidR="002204A7">
        <w:t xml:space="preserve">any strong </w:t>
      </w:r>
      <w:r w:rsidR="00667E35">
        <w:t>statements about future interest rate decisions</w:t>
      </w:r>
      <w:r w:rsidR="00D04993">
        <w:t>.</w:t>
      </w:r>
    </w:p>
    <w:p w14:paraId="4A2E30C2" w14:textId="2D27508B" w:rsidR="00C064EE" w:rsidRDefault="00C064EE" w:rsidP="00601E5C">
      <w:pPr>
        <w:pStyle w:val="ExhibitTitle"/>
        <w:jc w:val="center"/>
      </w:pPr>
      <w:bookmarkStart w:id="0" w:name="_Ref223965193"/>
      <w:r>
        <w:t xml:space="preserve">Chart </w:t>
      </w:r>
      <w:r>
        <w:fldChar w:fldCharType="begin"/>
      </w:r>
      <w:r w:rsidR="00601E5C">
        <w:instrText>SEQ CHART</w:instrText>
      </w:r>
      <w:r>
        <w:fldChar w:fldCharType="separate"/>
      </w:r>
      <w:r w:rsidR="00601E5C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2325EB">
        <w:t xml:space="preserve">Oil and gas futures prices </w:t>
      </w:r>
      <w:r w:rsidR="00074CA1">
        <w:t>have risen significantly</w:t>
      </w:r>
      <w:r w:rsidR="00CE4934">
        <w:t>,</w:t>
      </w:r>
      <w:r w:rsidR="00074CA1">
        <w:t xml:space="preserve"> particularly at the </w:t>
      </w:r>
      <w:r w:rsidR="00013600">
        <w:t xml:space="preserve">front </w:t>
      </w:r>
      <w:r w:rsidR="00074CA1">
        <w:t>end of the curve</w:t>
      </w:r>
    </w:p>
    <w:p w14:paraId="7B797A35" w14:textId="31C815B9" w:rsidR="00601E5C" w:rsidRDefault="00601E5C" w:rsidP="00601E5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3F61F84" wp14:editId="49B5A693">
            <wp:extent cx="4006964" cy="3132464"/>
            <wp:effectExtent l="0" t="0" r="0" b="0"/>
            <wp:docPr id="12206005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0057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712A" w14:textId="2A25AD4A" w:rsidR="00C064EE" w:rsidRDefault="00601E5C" w:rsidP="00601E5C">
      <w:pPr>
        <w:pStyle w:val="ExhibitSource"/>
        <w:jc w:val="center"/>
      </w:pPr>
      <w:r>
        <w:t>Sources: Haver Analytics</w:t>
      </w:r>
    </w:p>
    <w:p w14:paraId="072E79A0" w14:textId="0D3FB22F" w:rsidR="00C064EE" w:rsidRDefault="00C064EE" w:rsidP="00C064EE">
      <w:pPr>
        <w:pStyle w:val="ExhibitSource"/>
        <w:jc w:val="center"/>
        <w:sectPr w:rsidR="00C064EE" w:rsidSect="00601E5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0C9E7245" w14:textId="4E872469" w:rsidR="003A6DB7" w:rsidRDefault="00740A04" w:rsidP="00EE0B4E">
      <w:pPr>
        <w:pStyle w:val="Heading3"/>
      </w:pPr>
      <w:r>
        <w:lastRenderedPageBreak/>
        <w:t xml:space="preserve">Higher </w:t>
      </w:r>
      <w:r w:rsidR="00F106A5">
        <w:t>oil and gas</w:t>
      </w:r>
      <w:r>
        <w:t xml:space="preserve"> prices are a supply shock</w:t>
      </w:r>
      <w:r w:rsidR="00F90A94">
        <w:t xml:space="preserve">, </w:t>
      </w:r>
      <w:r w:rsidR="00F106A5">
        <w:t>but the likely impact on inflation is unclear</w:t>
      </w:r>
    </w:p>
    <w:p w14:paraId="002CDC4C" w14:textId="601BCF43" w:rsidR="00CE78DA" w:rsidRDefault="007D36E5" w:rsidP="009F2B19">
      <w:r>
        <w:t xml:space="preserve">The UK inflation </w:t>
      </w:r>
      <w:r w:rsidR="00A0514F">
        <w:t xml:space="preserve">outlook </w:t>
      </w:r>
      <w:r w:rsidR="006763EF">
        <w:t xml:space="preserve">was </w:t>
      </w:r>
      <w:hyperlink r:id="rId20" w:history="1">
        <w:r w:rsidR="006763EF" w:rsidRPr="00992FD5">
          <w:rPr>
            <w:rStyle w:val="Hyperlink"/>
          </w:rPr>
          <w:t xml:space="preserve">starting to </w:t>
        </w:r>
        <w:r w:rsidR="009049BE" w:rsidRPr="00992FD5">
          <w:rPr>
            <w:rStyle w:val="Hyperlink"/>
          </w:rPr>
          <w:t>brighten</w:t>
        </w:r>
      </w:hyperlink>
      <w:r w:rsidR="006763EF">
        <w:t xml:space="preserve">, </w:t>
      </w:r>
      <w:r w:rsidR="00F308BB">
        <w:t xml:space="preserve">but the </w:t>
      </w:r>
      <w:r w:rsidR="000D569B">
        <w:t xml:space="preserve">conflict in the Middle East has thrown </w:t>
      </w:r>
      <w:r w:rsidR="003E5C62">
        <w:t xml:space="preserve">a spanner in the works. </w:t>
      </w:r>
      <w:r w:rsidR="00D8468F">
        <w:t xml:space="preserve">Oil and gas futures prices </w:t>
      </w:r>
      <w:r w:rsidR="009804C9">
        <w:t xml:space="preserve">have </w:t>
      </w:r>
      <w:r w:rsidR="0031548B">
        <w:t>shifted</w:t>
      </w:r>
      <w:r w:rsidR="009804C9">
        <w:t xml:space="preserve"> significantly </w:t>
      </w:r>
      <w:r w:rsidR="0031548B">
        <w:t xml:space="preserve">higher </w:t>
      </w:r>
      <w:r w:rsidR="009804C9">
        <w:t>over the past two weeks</w:t>
      </w:r>
      <w:r w:rsidR="0088560E">
        <w:t xml:space="preserve">, </w:t>
      </w:r>
      <w:r w:rsidR="006B5308">
        <w:t xml:space="preserve">particularly </w:t>
      </w:r>
      <w:r w:rsidR="006C441D">
        <w:t>for shorter duration contracts</w:t>
      </w:r>
      <w:r w:rsidR="0076223B">
        <w:t xml:space="preserve">, </w:t>
      </w:r>
      <w:r w:rsidR="00E222DD">
        <w:t xml:space="preserve">following </w:t>
      </w:r>
      <w:r w:rsidR="00A41DC2">
        <w:t xml:space="preserve">Iranian </w:t>
      </w:r>
      <w:r w:rsidR="00014453">
        <w:t xml:space="preserve">attacks targeting production facilities and disruption </w:t>
      </w:r>
      <w:r w:rsidR="000C3040">
        <w:t xml:space="preserve">to shipping supplies through the Strait of Hormuz </w:t>
      </w:r>
      <w:r w:rsidR="000517F7">
        <w:t>(</w:t>
      </w:r>
      <w:r w:rsidR="005D42BF" w:rsidRPr="00231A46">
        <w:rPr>
          <w:b/>
          <w:color w:val="003469"/>
        </w:rPr>
        <w:fldChar w:fldCharType="begin"/>
      </w:r>
      <w:r w:rsidR="00231A46" w:rsidRPr="00231A46">
        <w:rPr>
          <w:b/>
          <w:color w:val="003469"/>
        </w:rPr>
        <w:instrText xml:space="preserve">REF _Ref223965193 \h \* Charformat </w:instrText>
      </w:r>
      <w:r w:rsidR="00231A46" w:rsidRPr="00231A46">
        <w:rPr>
          <w:b/>
          <w:color w:val="003469"/>
        </w:rPr>
      </w:r>
      <w:r w:rsidR="005D42BF" w:rsidRPr="00231A46">
        <w:rPr>
          <w:b/>
          <w:color w:val="003469"/>
        </w:rPr>
        <w:fldChar w:fldCharType="separate"/>
      </w:r>
      <w:r w:rsidR="00231A46" w:rsidRPr="00231A46">
        <w:rPr>
          <w:b/>
          <w:color w:val="003469"/>
        </w:rPr>
        <w:t>Chart 1</w:t>
      </w:r>
      <w:r w:rsidR="005D42BF" w:rsidRPr="00231A46">
        <w:rPr>
          <w:b/>
          <w:color w:val="003469"/>
        </w:rPr>
        <w:fldChar w:fldCharType="end"/>
      </w:r>
      <w:r w:rsidR="000517F7">
        <w:t>).</w:t>
      </w:r>
    </w:p>
    <w:p w14:paraId="5949F09E" w14:textId="04299A9D" w:rsidR="00DE6FF3" w:rsidRDefault="001A5A9A" w:rsidP="009F2B19">
      <w:r>
        <w:t>The</w:t>
      </w:r>
      <w:r w:rsidR="0093637C">
        <w:t>res's already evidence that the</w:t>
      </w:r>
      <w:r>
        <w:t xml:space="preserve"> pickup in oil prices </w:t>
      </w:r>
      <w:r w:rsidR="0093637C">
        <w:t>is</w:t>
      </w:r>
      <w:r w:rsidR="005410C1">
        <w:t xml:space="preserve"> feed</w:t>
      </w:r>
      <w:r w:rsidR="0093637C">
        <w:t>ing</w:t>
      </w:r>
      <w:r w:rsidR="005410C1">
        <w:t xml:space="preserve"> through to </w:t>
      </w:r>
      <w:r w:rsidR="004C7F4F">
        <w:t xml:space="preserve">UK </w:t>
      </w:r>
      <w:r w:rsidR="005410C1">
        <w:t>petrol prices</w:t>
      </w:r>
      <w:r w:rsidR="0093637C">
        <w:t xml:space="preserve">. </w:t>
      </w:r>
      <w:r w:rsidR="004C7F4F">
        <w:t xml:space="preserve">For gas, </w:t>
      </w:r>
      <w:r w:rsidR="005410C1">
        <w:t xml:space="preserve">Ofgem's quarterly energy price cap mechanism means the impact of the rise in European gas prices </w:t>
      </w:r>
      <w:r w:rsidR="00904901">
        <w:t xml:space="preserve">will be </w:t>
      </w:r>
      <w:r w:rsidR="00DD7C67">
        <w:t>reflected in household energy bills</w:t>
      </w:r>
      <w:r w:rsidR="00904901">
        <w:t xml:space="preserve"> from July. </w:t>
      </w:r>
      <w:r w:rsidR="00471811">
        <w:t xml:space="preserve">However, </w:t>
      </w:r>
      <w:r w:rsidR="00825266">
        <w:t xml:space="preserve">commodity </w:t>
      </w:r>
      <w:r w:rsidR="006567F1">
        <w:t xml:space="preserve">prices </w:t>
      </w:r>
      <w:r w:rsidR="00825266">
        <w:t xml:space="preserve">are </w:t>
      </w:r>
      <w:r w:rsidR="006567F1">
        <w:t>moving very quickly</w:t>
      </w:r>
      <w:r w:rsidR="006F739B">
        <w:t>,</w:t>
      </w:r>
      <w:r w:rsidR="006567F1">
        <w:t xml:space="preserve"> </w:t>
      </w:r>
      <w:r w:rsidR="00825266">
        <w:t xml:space="preserve">and </w:t>
      </w:r>
      <w:r w:rsidR="006E4C5D">
        <w:t>the length</w:t>
      </w:r>
      <w:r w:rsidR="00195BD5">
        <w:t xml:space="preserve"> of time</w:t>
      </w:r>
      <w:r w:rsidR="006E4C5D">
        <w:t xml:space="preserve"> at which they </w:t>
      </w:r>
      <w:r w:rsidR="0070439D">
        <w:t xml:space="preserve">stay </w:t>
      </w:r>
      <w:r w:rsidR="006E4C5D">
        <w:t xml:space="preserve">elevated </w:t>
      </w:r>
      <w:r w:rsidR="009B0DDF">
        <w:t>is</w:t>
      </w:r>
      <w:r w:rsidR="0029437C">
        <w:t xml:space="preserve"> </w:t>
      </w:r>
      <w:r w:rsidR="006E4C5D">
        <w:t>unclear</w:t>
      </w:r>
      <w:r w:rsidR="0070439D">
        <w:t>.</w:t>
      </w:r>
      <w:r w:rsidR="00B25C4C">
        <w:t xml:space="preserve"> </w:t>
      </w:r>
      <w:r w:rsidR="0070439D">
        <w:t>Add in</w:t>
      </w:r>
      <w:r w:rsidR="00B25C4C">
        <w:t xml:space="preserve"> questions over </w:t>
      </w:r>
      <w:r w:rsidR="0070439D">
        <w:t>if and when</w:t>
      </w:r>
      <w:r w:rsidR="00B25C4C">
        <w:t xml:space="preserve"> the government </w:t>
      </w:r>
      <w:r w:rsidR="0070439D">
        <w:t xml:space="preserve">might </w:t>
      </w:r>
      <w:r w:rsidR="0029437C">
        <w:t xml:space="preserve">eventually </w:t>
      </w:r>
      <w:r w:rsidR="005748C0">
        <w:t xml:space="preserve">intervene to </w:t>
      </w:r>
      <w:r w:rsidR="00D46873">
        <w:t>mitigate</w:t>
      </w:r>
      <w:r w:rsidR="005748C0">
        <w:t xml:space="preserve"> the </w:t>
      </w:r>
      <w:r w:rsidR="0019561A">
        <w:t xml:space="preserve">financial </w:t>
      </w:r>
      <w:r w:rsidR="005748C0">
        <w:t>hit to households,</w:t>
      </w:r>
      <w:r w:rsidR="006E4C5D">
        <w:t xml:space="preserve"> </w:t>
      </w:r>
      <w:r w:rsidR="0070439D">
        <w:t xml:space="preserve">and </w:t>
      </w:r>
      <w:r w:rsidR="00266BD0">
        <w:t xml:space="preserve">the </w:t>
      </w:r>
      <w:r w:rsidR="006908A1">
        <w:t>picture</w:t>
      </w:r>
      <w:r w:rsidR="0070439D">
        <w:t xml:space="preserve"> the BoE has </w:t>
      </w:r>
      <w:r w:rsidR="006908A1">
        <w:t xml:space="preserve">of </w:t>
      </w:r>
      <w:r w:rsidR="00D45BA0">
        <w:t>the likely path for inflation over the next year</w:t>
      </w:r>
      <w:r w:rsidR="0070439D" w:rsidRPr="0070439D">
        <w:t xml:space="preserve"> </w:t>
      </w:r>
      <w:r w:rsidR="0070439D">
        <w:t>is currently very blurry</w:t>
      </w:r>
      <w:r w:rsidR="00D45BA0">
        <w:t>.</w:t>
      </w:r>
    </w:p>
    <w:p w14:paraId="5EF40738" w14:textId="21E4B8C2" w:rsidR="00DE6FF3" w:rsidRDefault="00130DEB" w:rsidP="00EE0B4E">
      <w:pPr>
        <w:pStyle w:val="Heading3"/>
      </w:pPr>
      <w:r>
        <w:t xml:space="preserve">The MPC will want to guard against </w:t>
      </w:r>
      <w:r w:rsidR="00B61F7A">
        <w:t xml:space="preserve">the risk </w:t>
      </w:r>
      <w:r w:rsidR="00324DD9">
        <w:t>of additional inflation persistence</w:t>
      </w:r>
    </w:p>
    <w:p w14:paraId="2787C2DF" w14:textId="59BBC0C0" w:rsidR="00A06F3F" w:rsidRDefault="009622CE" w:rsidP="00A06F3F">
      <w:r>
        <w:t xml:space="preserve">As we highlighted </w:t>
      </w:r>
      <w:r w:rsidR="00780B17">
        <w:t xml:space="preserve">in a </w:t>
      </w:r>
      <w:hyperlink r:id="rId21" w:history="1">
        <w:r w:rsidR="00780B17" w:rsidRPr="002B0F50">
          <w:rPr>
            <w:rStyle w:val="Hyperlink"/>
          </w:rPr>
          <w:t>Research Briefing</w:t>
        </w:r>
      </w:hyperlink>
      <w:r w:rsidR="00780B17">
        <w:t xml:space="preserve"> published </w:t>
      </w:r>
      <w:r>
        <w:t xml:space="preserve">last week, </w:t>
      </w:r>
      <w:r w:rsidR="00CA398D">
        <w:t xml:space="preserve">we don't think the old mantra that the MPC is likely to look through any inflationary effects of energy price shocks still applies. </w:t>
      </w:r>
      <w:r w:rsidR="00537BD0">
        <w:t xml:space="preserve">In part, </w:t>
      </w:r>
      <w:r w:rsidR="0065709C">
        <w:t xml:space="preserve">this is because </w:t>
      </w:r>
      <w:r w:rsidR="0065709C" w:rsidRPr="0065709C">
        <w:t xml:space="preserve">short- and longer-term UK inflation expectations </w:t>
      </w:r>
      <w:r w:rsidR="0065709C">
        <w:t xml:space="preserve">are </w:t>
      </w:r>
      <w:r w:rsidR="0065709C" w:rsidRPr="0065709C">
        <w:t>yet to fully normalise after the 2022-2023 surge in inflation</w:t>
      </w:r>
      <w:r w:rsidR="00324DD9">
        <w:t xml:space="preserve"> (</w:t>
      </w:r>
      <w:r w:rsidR="005D42BF" w:rsidRPr="00231A46">
        <w:rPr>
          <w:b/>
          <w:color w:val="003469"/>
        </w:rPr>
        <w:fldChar w:fldCharType="begin"/>
      </w:r>
      <w:r w:rsidR="00231A46" w:rsidRPr="00231A46">
        <w:rPr>
          <w:b/>
          <w:color w:val="003469"/>
        </w:rPr>
        <w:instrText xml:space="preserve">REF _Ref223965194 \h \* Charformat </w:instrText>
      </w:r>
      <w:r w:rsidR="00231A46" w:rsidRPr="00231A46">
        <w:rPr>
          <w:b/>
          <w:color w:val="003469"/>
        </w:rPr>
      </w:r>
      <w:r w:rsidR="005D42BF" w:rsidRPr="00231A46">
        <w:rPr>
          <w:b/>
          <w:color w:val="003469"/>
        </w:rPr>
        <w:fldChar w:fldCharType="separate"/>
      </w:r>
      <w:r w:rsidR="00231A46" w:rsidRPr="00231A46">
        <w:rPr>
          <w:b/>
          <w:color w:val="003469"/>
        </w:rPr>
        <w:t>Chart 2</w:t>
      </w:r>
      <w:r w:rsidR="005D42BF" w:rsidRPr="00231A46">
        <w:rPr>
          <w:b/>
          <w:color w:val="003469"/>
        </w:rPr>
        <w:fldChar w:fldCharType="end"/>
      </w:r>
      <w:r w:rsidR="001A6E45">
        <w:t>)</w:t>
      </w:r>
      <w:r w:rsidR="0065709C">
        <w:t xml:space="preserve">. </w:t>
      </w:r>
      <w:r w:rsidR="003A0DDC">
        <w:t>W</w:t>
      </w:r>
      <w:r w:rsidR="00313807">
        <w:t>e think the MPC will want to lean against the risk that less well</w:t>
      </w:r>
      <w:r w:rsidR="00D46873">
        <w:t>-</w:t>
      </w:r>
      <w:r w:rsidR="00313807">
        <w:t>anchored inflation expectations move higher in response to a new supply shock.</w:t>
      </w:r>
      <w:r w:rsidR="0016072E">
        <w:t xml:space="preserve"> This would</w:t>
      </w:r>
      <w:r w:rsidR="00A6387A">
        <w:t xml:space="preserve"> help to lessen</w:t>
      </w:r>
      <w:r w:rsidR="0016072E">
        <w:t xml:space="preserve"> </w:t>
      </w:r>
      <w:r w:rsidR="00A06F3F">
        <w:t xml:space="preserve">the likelihood of </w:t>
      </w:r>
      <w:r w:rsidR="0037394A">
        <w:t xml:space="preserve">strong </w:t>
      </w:r>
      <w:r w:rsidR="00A06F3F">
        <w:t>second-round effects forming that could keep inflation elevated for longer.</w:t>
      </w:r>
    </w:p>
    <w:p w14:paraId="74FCDDC4" w14:textId="539F2D3A" w:rsidR="006A0B82" w:rsidRDefault="006A0B82" w:rsidP="00EE0B4E">
      <w:pPr>
        <w:pStyle w:val="ExhibitTitle"/>
      </w:pPr>
      <w:bookmarkStart w:id="1" w:name="_Ref223965194"/>
      <w:r>
        <w:t xml:space="preserve">Chart </w:t>
      </w:r>
      <w:r>
        <w:fldChar w:fldCharType="begin"/>
      </w:r>
      <w:r w:rsidR="005D42BF">
        <w:instrText>SEQ CHART</w:instrText>
      </w:r>
      <w:r>
        <w:fldChar w:fldCharType="separate"/>
      </w:r>
      <w:r w:rsidR="00601E5C">
        <w:rPr>
          <w:noProof/>
        </w:rPr>
        <w:t>2</w:t>
      </w:r>
      <w:r>
        <w:fldChar w:fldCharType="end"/>
      </w:r>
      <w:bookmarkEnd w:id="1"/>
      <w:r>
        <w:t>: Short- and long-term inflation expectations remain well above pre-pandemic norms</w:t>
      </w:r>
    </w:p>
    <w:p w14:paraId="0FEAD051" w14:textId="2CE988F9" w:rsidR="005C3008" w:rsidRDefault="005C3008" w:rsidP="00EE0B4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6387CDF" wp14:editId="7C630C04">
            <wp:extent cx="3250933" cy="2535876"/>
            <wp:effectExtent l="0" t="0" r="6985" b="0"/>
            <wp:docPr id="153471683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1683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291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AEF7" w14:textId="1C18B24E" w:rsidR="006A0B82" w:rsidRDefault="005C3008" w:rsidP="00EE0B4E">
      <w:pPr>
        <w:pStyle w:val="ExhibitSource"/>
      </w:pPr>
      <w:r>
        <w:t>Sources: Citi/YouGov survey of inflation expectations</w:t>
      </w:r>
    </w:p>
    <w:p w14:paraId="0148BB4B" w14:textId="43F4CC3A" w:rsidR="006972FD" w:rsidRDefault="006972FD" w:rsidP="009F2B19">
      <w:r>
        <w:t xml:space="preserve">The committee has also been deeply divided for </w:t>
      </w:r>
      <w:r w:rsidR="00A51F84">
        <w:t>some time</w:t>
      </w:r>
      <w:r>
        <w:t xml:space="preserve"> </w:t>
      </w:r>
      <w:r w:rsidR="00A51F84">
        <w:t>–</w:t>
      </w:r>
      <w:r>
        <w:t xml:space="preserve"> Governor Andrew Bailey has cast the deciding vote at four of the past five meetings</w:t>
      </w:r>
      <w:r w:rsidR="00A51F84">
        <w:t xml:space="preserve"> –</w:t>
      </w:r>
      <w:r>
        <w:t xml:space="preserve"> </w:t>
      </w:r>
      <w:r w:rsidR="00A51F84">
        <w:t>which</w:t>
      </w:r>
      <w:r>
        <w:t xml:space="preserve"> means the threshold to swing future decisions towards </w:t>
      </w:r>
      <w:r w:rsidR="00A51F84">
        <w:t xml:space="preserve">maintaining </w:t>
      </w:r>
      <w:r>
        <w:t xml:space="preserve">Bank Rate </w:t>
      </w:r>
      <w:r w:rsidR="00AD0977">
        <w:t>is</w:t>
      </w:r>
      <w:r>
        <w:t xml:space="preserve"> low</w:t>
      </w:r>
      <w:r w:rsidR="00A51F84">
        <w:t>.</w:t>
      </w:r>
      <w:r>
        <w:t xml:space="preserve"> </w:t>
      </w:r>
      <w:r w:rsidR="00A51F84">
        <w:t>T</w:t>
      </w:r>
      <w:r>
        <w:t>he inflationary impulse from higher commodity prices has almost certainly now tipped the balance in favour of a hold.</w:t>
      </w:r>
    </w:p>
    <w:p w14:paraId="04D1E027" w14:textId="2A12F5BA" w:rsidR="006E4346" w:rsidRDefault="00E909C9" w:rsidP="009F2B19">
      <w:r>
        <w:t xml:space="preserve">Furthermore, </w:t>
      </w:r>
      <w:r w:rsidR="00A66DB1">
        <w:t>w</w:t>
      </w:r>
      <w:r>
        <w:t xml:space="preserve">ith the </w:t>
      </w:r>
      <w:r w:rsidR="00AD0977">
        <w:t xml:space="preserve">duration </w:t>
      </w:r>
      <w:r>
        <w:t xml:space="preserve">and magnitude of the shock </w:t>
      </w:r>
      <w:r w:rsidR="00A66DB1">
        <w:t>still very</w:t>
      </w:r>
      <w:r>
        <w:t xml:space="preserve"> uncertain, </w:t>
      </w:r>
      <w:r w:rsidR="006D7E17">
        <w:t xml:space="preserve">a wide range of </w:t>
      </w:r>
      <w:r w:rsidR="00244A00">
        <w:t xml:space="preserve">plausible </w:t>
      </w:r>
      <w:r w:rsidR="003928F1">
        <w:t xml:space="preserve">inflation </w:t>
      </w:r>
      <w:r w:rsidR="00244A00">
        <w:t xml:space="preserve">outcomes </w:t>
      </w:r>
      <w:r w:rsidR="00624943">
        <w:t>is</w:t>
      </w:r>
      <w:r w:rsidR="00244A00">
        <w:t xml:space="preserve"> possible. Therefore, we think the MPC will be very conscious </w:t>
      </w:r>
      <w:r w:rsidR="008C252B">
        <w:t>about the risks of making major policy errors and the</w:t>
      </w:r>
      <w:r w:rsidR="00027D7D">
        <w:t xml:space="preserve"> potential</w:t>
      </w:r>
      <w:r w:rsidR="008C252B">
        <w:t xml:space="preserve"> hit to credibility should </w:t>
      </w:r>
      <w:r w:rsidR="006A544A">
        <w:t xml:space="preserve">the </w:t>
      </w:r>
      <w:r w:rsidR="008C252B">
        <w:t xml:space="preserve">committee </w:t>
      </w:r>
      <w:r w:rsidR="00643F3F">
        <w:t xml:space="preserve">be forced </w:t>
      </w:r>
      <w:r w:rsidR="006A544A">
        <w:t>into a policy reversal.</w:t>
      </w:r>
      <w:r w:rsidR="00584EE0">
        <w:t xml:space="preserve"> This is likely to reinforce </w:t>
      </w:r>
      <w:r w:rsidR="0045277A">
        <w:t xml:space="preserve">the </w:t>
      </w:r>
      <w:r w:rsidR="00C77BB7">
        <w:t xml:space="preserve">committee's cautious approach to </w:t>
      </w:r>
      <w:r w:rsidR="0052502C">
        <w:t>adjusting policy.</w:t>
      </w:r>
    </w:p>
    <w:p w14:paraId="31E6062C" w14:textId="455DC961" w:rsidR="00D956D9" w:rsidRDefault="00D956D9" w:rsidP="00EE0B4E">
      <w:pPr>
        <w:pStyle w:val="Heading3"/>
      </w:pPr>
      <w:r>
        <w:t xml:space="preserve">The MPC will likely remain in a </w:t>
      </w:r>
      <w:r w:rsidR="00702D3C">
        <w:t xml:space="preserve">'wait and see' </w:t>
      </w:r>
      <w:r>
        <w:t>pattern</w:t>
      </w:r>
    </w:p>
    <w:p w14:paraId="2CF9DC4D" w14:textId="4523F86D" w:rsidR="00D41E50" w:rsidRDefault="006A544A" w:rsidP="009F2B19">
      <w:r>
        <w:t xml:space="preserve">Against </w:t>
      </w:r>
      <w:r w:rsidR="00AD0977">
        <w:t>this</w:t>
      </w:r>
      <w:r>
        <w:t xml:space="preserve"> backdrop, </w:t>
      </w:r>
      <w:r w:rsidR="00D41E50">
        <w:t xml:space="preserve">it's </w:t>
      </w:r>
      <w:r w:rsidR="00AD0977">
        <w:t>almost certain</w:t>
      </w:r>
      <w:r w:rsidR="00D41E50">
        <w:t xml:space="preserve"> that the MPC </w:t>
      </w:r>
      <w:r w:rsidR="00AD0977">
        <w:t xml:space="preserve">will </w:t>
      </w:r>
      <w:r w:rsidR="00D41E50">
        <w:t xml:space="preserve">keep Bank Rate unchanged at 3.75% </w:t>
      </w:r>
      <w:r w:rsidR="004E67B7">
        <w:t xml:space="preserve">at the March meeting. </w:t>
      </w:r>
      <w:r w:rsidR="009122BF">
        <w:t>If the shock proves short-lived</w:t>
      </w:r>
      <w:r w:rsidR="00A15137">
        <w:t xml:space="preserve"> and recent price rises fully reverse</w:t>
      </w:r>
      <w:r w:rsidR="009122BF">
        <w:t xml:space="preserve">, we </w:t>
      </w:r>
      <w:r w:rsidR="00FB0556">
        <w:t xml:space="preserve">still </w:t>
      </w:r>
      <w:r w:rsidR="009122BF">
        <w:t xml:space="preserve">think there's a </w:t>
      </w:r>
      <w:r w:rsidR="00AD0977">
        <w:t xml:space="preserve">reasonable </w:t>
      </w:r>
      <w:r w:rsidR="009122BF">
        <w:t xml:space="preserve">chance </w:t>
      </w:r>
      <w:r w:rsidR="00315132">
        <w:t xml:space="preserve">that the MPC </w:t>
      </w:r>
      <w:r w:rsidR="00AD0977">
        <w:t xml:space="preserve">will </w:t>
      </w:r>
      <w:r w:rsidR="00315132">
        <w:t xml:space="preserve">resume its cutting cycle either in April or June. </w:t>
      </w:r>
      <w:r w:rsidR="00A34C49">
        <w:t xml:space="preserve">However, if the surge in energy prices persists or </w:t>
      </w:r>
      <w:r w:rsidR="00AD0977">
        <w:t>goes higher</w:t>
      </w:r>
      <w:r w:rsidR="00A34C49">
        <w:t xml:space="preserve">, the </w:t>
      </w:r>
      <w:r w:rsidR="003869E4">
        <w:t>MPC</w:t>
      </w:r>
      <w:r w:rsidR="00A34C49">
        <w:t xml:space="preserve"> will be set for an extended pause.</w:t>
      </w:r>
      <w:r w:rsidR="00327DA8">
        <w:t xml:space="preserve"> Given that policy remains </w:t>
      </w:r>
      <w:r w:rsidR="00327DA8">
        <w:lastRenderedPageBreak/>
        <w:t>restrictive</w:t>
      </w:r>
      <w:r w:rsidR="003869E4">
        <w:t xml:space="preserve">, we don't expect </w:t>
      </w:r>
      <w:r w:rsidR="00E15518">
        <w:t xml:space="preserve">a majority of </w:t>
      </w:r>
      <w:r w:rsidR="003869E4">
        <w:t xml:space="preserve">committee </w:t>
      </w:r>
      <w:r w:rsidR="00E15518">
        <w:t xml:space="preserve">members to support </w:t>
      </w:r>
      <w:r w:rsidR="009E6B64">
        <w:t>hiking Bank Rate unless there is a substantial increase in inflation expectations.</w:t>
      </w:r>
    </w:p>
    <w:p w14:paraId="5DBE30B9" w14:textId="724B94EC" w:rsidR="00C064EE" w:rsidRDefault="00CF6562" w:rsidP="00C064EE">
      <w:r>
        <w:t xml:space="preserve">We think MPC members </w:t>
      </w:r>
      <w:r w:rsidR="00520E01">
        <w:t xml:space="preserve">will be reticent </w:t>
      </w:r>
      <w:r w:rsidR="00880517">
        <w:t xml:space="preserve">to use their individual paragraphs to </w:t>
      </w:r>
      <w:r w:rsidR="00AD0977">
        <w:t>offer any firm signals</w:t>
      </w:r>
      <w:r w:rsidR="00880517">
        <w:t xml:space="preserve"> </w:t>
      </w:r>
      <w:r w:rsidR="00011164">
        <w:t xml:space="preserve">about how they are likely to vote at upcoming meetings. </w:t>
      </w:r>
      <w:r w:rsidR="00AD0977">
        <w:t>Still</w:t>
      </w:r>
      <w:r w:rsidR="00011164">
        <w:t xml:space="preserve">, we suspect </w:t>
      </w:r>
      <w:r w:rsidR="00416AE2">
        <w:t xml:space="preserve">a common theme in the minutes </w:t>
      </w:r>
      <w:r w:rsidR="00E15115">
        <w:t xml:space="preserve">will be </w:t>
      </w:r>
      <w:r w:rsidR="00195BD5">
        <w:t xml:space="preserve">most </w:t>
      </w:r>
      <w:r w:rsidR="00482EE8">
        <w:t xml:space="preserve">members </w:t>
      </w:r>
      <w:r w:rsidR="00AD0977">
        <w:t xml:space="preserve">indicating </w:t>
      </w:r>
      <w:r w:rsidR="00482EE8">
        <w:t xml:space="preserve">that they </w:t>
      </w:r>
      <w:r w:rsidR="00416AE2">
        <w:t>favour a risk management approach to policymaking</w:t>
      </w:r>
      <w:r w:rsidR="000C1534">
        <w:t xml:space="preserve"> that leans against the risk of a renewed rise in inflation expectation</w:t>
      </w:r>
      <w:r w:rsidR="004B595D">
        <w:t>s</w:t>
      </w:r>
      <w:r w:rsidR="000C1534">
        <w:t xml:space="preserve">, </w:t>
      </w:r>
      <w:r w:rsidR="009244F5">
        <w:t>emphasises</w:t>
      </w:r>
      <w:r w:rsidR="000C1534">
        <w:t xml:space="preserve"> the importance of meeting </w:t>
      </w:r>
      <w:r w:rsidR="00AD0977">
        <w:t xml:space="preserve">the </w:t>
      </w:r>
      <w:r w:rsidR="000C1534">
        <w:t xml:space="preserve">inflation target, </w:t>
      </w:r>
      <w:r w:rsidR="007D66A9">
        <w:t xml:space="preserve">and </w:t>
      </w:r>
      <w:r w:rsidR="009244F5">
        <w:t>advocates the</w:t>
      </w:r>
      <w:r w:rsidR="007D66A9">
        <w:t xml:space="preserve"> need </w:t>
      </w:r>
      <w:r w:rsidR="00564EA5">
        <w:t xml:space="preserve">for the committee to remain flexible to </w:t>
      </w:r>
      <w:r w:rsidR="00DE36ED">
        <w:t xml:space="preserve">rapidly </w:t>
      </w:r>
      <w:r w:rsidR="00564EA5">
        <w:t xml:space="preserve">changing </w:t>
      </w:r>
      <w:r w:rsidR="00DE36ED">
        <w:t xml:space="preserve">economic and geopolitical </w:t>
      </w:r>
      <w:r w:rsidR="00564EA5">
        <w:t>conditions.</w:t>
      </w:r>
    </w:p>
    <w:sectPr w:rsidR="00C064EE" w:rsidSect="00601E5C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5703" w14:textId="77777777" w:rsidR="00C064EE" w:rsidRDefault="00C064EE" w:rsidP="00C064EE">
      <w:pPr>
        <w:spacing w:before="0" w:after="0"/>
      </w:pPr>
      <w:r>
        <w:separator/>
      </w:r>
    </w:p>
  </w:endnote>
  <w:endnote w:type="continuationSeparator" w:id="0">
    <w:p w14:paraId="6444264F" w14:textId="77777777" w:rsidR="00C064EE" w:rsidRDefault="00C064EE" w:rsidP="00C064E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D3C3" w14:textId="77777777" w:rsidR="00A90ADC" w:rsidRDefault="00A90A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52C9" w14:textId="393461D9" w:rsidR="00C064EE" w:rsidRPr="00C064EE" w:rsidRDefault="00C064EE" w:rsidP="00C064EE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Edward Allenby - eallenby@oxfordeconomics.com</w:t>
    </w:r>
    <w:r w:rsidRPr="00C064EE">
      <w:rPr>
        <w:noProof/>
      </w:rPr>
      <w:drawing>
        <wp:anchor distT="0" distB="0" distL="114300" distR="114300" simplePos="0" relativeHeight="251661312" behindDoc="0" locked="0" layoutInCell="1" allowOverlap="1" wp14:anchorId="299AA69D" wp14:editId="2CF69447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8C04" w14:textId="49C56F4A" w:rsidR="00C064EE" w:rsidRDefault="00C064EE" w:rsidP="00C064EE">
    <w:pPr>
      <w:pStyle w:val="Author"/>
    </w:pPr>
    <w:r>
      <w:t>Edward Allenby</w:t>
    </w:r>
    <w:r w:rsidR="00EE0B4E">
      <w:t xml:space="preserve"> - </w:t>
    </w:r>
    <w:r>
      <w:t>Senior UK Economist</w:t>
    </w:r>
    <w:r w:rsidR="00EE0B4E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BC4D" w14:textId="77777777" w:rsidR="00C064EE" w:rsidRDefault="00C064EE" w:rsidP="00C064EE">
      <w:pPr>
        <w:spacing w:before="0" w:after="0"/>
      </w:pPr>
      <w:r>
        <w:separator/>
      </w:r>
    </w:p>
  </w:footnote>
  <w:footnote w:type="continuationSeparator" w:id="0">
    <w:p w14:paraId="1AEF360F" w14:textId="77777777" w:rsidR="00C064EE" w:rsidRDefault="00C064EE" w:rsidP="00C064E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3115" w14:textId="77777777" w:rsidR="00C064EE" w:rsidRDefault="00C064EE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51E1" w14:textId="3FF22E74" w:rsidR="00C064EE" w:rsidRDefault="00EF0E4D" w:rsidP="00C064EE">
    <w:pPr>
      <w:pStyle w:val="Headline"/>
      <w:spacing w:before="120"/>
      <w:ind w:right="-1000"/>
    </w:pPr>
    <w:r w:rsidRPr="00EF0E4D">
      <w:t xml:space="preserve">MPC preview – Middle East </w:t>
    </w:r>
    <w:r w:rsidR="004C7F4F">
      <w:t>war</w:t>
    </w:r>
    <w:r w:rsidR="004C7F4F" w:rsidRPr="00EF0E4D">
      <w:t xml:space="preserve"> </w:t>
    </w:r>
    <w:r w:rsidRPr="00EF0E4D">
      <w:t>takes March cut off the table</w:t>
    </w:r>
    <w:r w:rsidR="00C064EE" w:rsidRPr="00C064EE">
      <w:rPr>
        <w:noProof/>
      </w:rPr>
      <w:drawing>
        <wp:anchor distT="0" distB="0" distL="114300" distR="114300" simplePos="0" relativeHeight="251657214" behindDoc="1" locked="1" layoutInCell="1" allowOverlap="1" wp14:anchorId="70E03CDD" wp14:editId="1D97C0C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3556" w14:textId="754383FF" w:rsidR="00C064EE" w:rsidRPr="00C064EE" w:rsidRDefault="00C064EE" w:rsidP="00C064EE">
    <w:pPr>
      <w:rPr>
        <w:sz w:val="4"/>
      </w:rPr>
    </w:pPr>
    <w:r w:rsidRPr="00C064EE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3A2BBF14" wp14:editId="4C1840CC">
          <wp:simplePos x="0" y="0"/>
          <wp:positionH relativeFrom="page">
            <wp:posOffset>107950</wp:posOffset>
          </wp:positionH>
          <wp:positionV relativeFrom="page">
            <wp:posOffset>158750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4EE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01420C91" wp14:editId="49D46C17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366881978"/>
      <w:lock w:val="sdtLocked"/>
      <w:placeholder>
        <w:docPart w:val="DefaultPlaceholder_-1854013437"/>
      </w:placeholder>
      <w:date w:fullDate="2026-03-12T00:00:00Z">
        <w:dateFormat w:val="d MMMM yyyy"/>
        <w:lid w:val="en-GB"/>
        <w:storeMappedDataAs w:val="dateTime"/>
        <w:calendar w:val="gregorian"/>
      </w:date>
    </w:sdtPr>
    <w:sdtEndPr/>
    <w:sdtContent>
      <w:p w14:paraId="3C8D6982" w14:textId="1526A912" w:rsidR="00C064EE" w:rsidRPr="00C064EE" w:rsidRDefault="006671B9" w:rsidP="00C064EE">
        <w:pPr>
          <w:pStyle w:val="PublishDate"/>
          <w:framePr w:w="2835" w:h="340" w:hRule="exact" w:hSpace="180" w:wrap="around" w:vAnchor="page" w:hAnchor="page" w:x="7801" w:y="601" w:anchorLock="1"/>
        </w:pPr>
        <w:r>
          <w:t>12</w:t>
        </w:r>
        <w:r w:rsidR="00C064EE">
          <w:t xml:space="preserve"> March 2026</w:t>
        </w:r>
      </w:p>
    </w:sdtContent>
  </w:sdt>
  <w:p w14:paraId="1BA1694F" w14:textId="6BDF3541" w:rsidR="00C064EE" w:rsidRDefault="006671B9" w:rsidP="00C064EE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</w:t>
    </w:r>
    <w:r w:rsidR="00C064EE">
      <w:t xml:space="preserve"> | </w:t>
    </w:r>
    <w:r>
      <w:t>UK</w:t>
    </w:r>
  </w:p>
  <w:p w14:paraId="5FE7B7FA" w14:textId="0B21B236" w:rsidR="00C064EE" w:rsidRDefault="008D6484" w:rsidP="00C064EE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MPC preview </w:t>
    </w:r>
    <w:r w:rsidR="00DC3BA1" w:rsidRPr="00DC3BA1">
      <w:t>–</w:t>
    </w:r>
    <w:r w:rsidR="00DC3BA1">
      <w:t xml:space="preserve"> Middle East </w:t>
    </w:r>
    <w:r w:rsidR="004C7F4F">
      <w:t xml:space="preserve">war </w:t>
    </w:r>
    <w:r w:rsidR="000C3366">
      <w:t xml:space="preserve">takes March cut off the </w:t>
    </w:r>
    <w:r w:rsidR="00EF0E4D">
      <w:t>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EE"/>
    <w:rsid w:val="00000FC9"/>
    <w:rsid w:val="00003FCA"/>
    <w:rsid w:val="0001032C"/>
    <w:rsid w:val="00011164"/>
    <w:rsid w:val="00013600"/>
    <w:rsid w:val="00014453"/>
    <w:rsid w:val="000177DE"/>
    <w:rsid w:val="00020C12"/>
    <w:rsid w:val="000252FC"/>
    <w:rsid w:val="00025F86"/>
    <w:rsid w:val="00027D7D"/>
    <w:rsid w:val="000312E7"/>
    <w:rsid w:val="000334B8"/>
    <w:rsid w:val="00036D20"/>
    <w:rsid w:val="00036EDF"/>
    <w:rsid w:val="00047306"/>
    <w:rsid w:val="000517F7"/>
    <w:rsid w:val="000534F5"/>
    <w:rsid w:val="00054168"/>
    <w:rsid w:val="00061855"/>
    <w:rsid w:val="0006248F"/>
    <w:rsid w:val="00074CA1"/>
    <w:rsid w:val="00093A3F"/>
    <w:rsid w:val="0009509F"/>
    <w:rsid w:val="000C1534"/>
    <w:rsid w:val="000C191E"/>
    <w:rsid w:val="000C2C09"/>
    <w:rsid w:val="000C3040"/>
    <w:rsid w:val="000C3366"/>
    <w:rsid w:val="000D0844"/>
    <w:rsid w:val="000D2432"/>
    <w:rsid w:val="000D569B"/>
    <w:rsid w:val="000D6D3C"/>
    <w:rsid w:val="000E1CDE"/>
    <w:rsid w:val="000F2150"/>
    <w:rsid w:val="00102EF0"/>
    <w:rsid w:val="001079CC"/>
    <w:rsid w:val="00110C2E"/>
    <w:rsid w:val="00130DEB"/>
    <w:rsid w:val="001411CF"/>
    <w:rsid w:val="001430D5"/>
    <w:rsid w:val="00144AE7"/>
    <w:rsid w:val="00147ABD"/>
    <w:rsid w:val="0016072E"/>
    <w:rsid w:val="00170B66"/>
    <w:rsid w:val="001749B9"/>
    <w:rsid w:val="00175D37"/>
    <w:rsid w:val="00176BDD"/>
    <w:rsid w:val="00183D30"/>
    <w:rsid w:val="00187E26"/>
    <w:rsid w:val="0019252A"/>
    <w:rsid w:val="00193AD7"/>
    <w:rsid w:val="0019561A"/>
    <w:rsid w:val="00195BD5"/>
    <w:rsid w:val="001A00A4"/>
    <w:rsid w:val="001A5A9A"/>
    <w:rsid w:val="001A6E45"/>
    <w:rsid w:val="001A7C94"/>
    <w:rsid w:val="001B02C6"/>
    <w:rsid w:val="001C212D"/>
    <w:rsid w:val="001C54EA"/>
    <w:rsid w:val="001D2248"/>
    <w:rsid w:val="001D7D53"/>
    <w:rsid w:val="001E5845"/>
    <w:rsid w:val="001F2530"/>
    <w:rsid w:val="001F3CAD"/>
    <w:rsid w:val="001F5D62"/>
    <w:rsid w:val="001F6346"/>
    <w:rsid w:val="002003C1"/>
    <w:rsid w:val="00204AE0"/>
    <w:rsid w:val="00207131"/>
    <w:rsid w:val="002108FA"/>
    <w:rsid w:val="002174D8"/>
    <w:rsid w:val="002204A7"/>
    <w:rsid w:val="00220D63"/>
    <w:rsid w:val="00231A46"/>
    <w:rsid w:val="002325EB"/>
    <w:rsid w:val="00235C14"/>
    <w:rsid w:val="00244A00"/>
    <w:rsid w:val="002457CB"/>
    <w:rsid w:val="002475F0"/>
    <w:rsid w:val="0025074F"/>
    <w:rsid w:val="00266BD0"/>
    <w:rsid w:val="002751C5"/>
    <w:rsid w:val="00277D35"/>
    <w:rsid w:val="002806E6"/>
    <w:rsid w:val="002846E1"/>
    <w:rsid w:val="0029437C"/>
    <w:rsid w:val="0029587A"/>
    <w:rsid w:val="002A0E49"/>
    <w:rsid w:val="002B0F50"/>
    <w:rsid w:val="002B33DA"/>
    <w:rsid w:val="002B71F7"/>
    <w:rsid w:val="002C31C0"/>
    <w:rsid w:val="002C4F80"/>
    <w:rsid w:val="002C5BDB"/>
    <w:rsid w:val="002D4FD9"/>
    <w:rsid w:val="002D7E4B"/>
    <w:rsid w:val="002E65DA"/>
    <w:rsid w:val="002E6BE5"/>
    <w:rsid w:val="002F1E4D"/>
    <w:rsid w:val="002F2C20"/>
    <w:rsid w:val="002F61CF"/>
    <w:rsid w:val="00304B5E"/>
    <w:rsid w:val="00304B6C"/>
    <w:rsid w:val="00307439"/>
    <w:rsid w:val="00313807"/>
    <w:rsid w:val="00315132"/>
    <w:rsid w:val="0031548B"/>
    <w:rsid w:val="0031601E"/>
    <w:rsid w:val="00320C8E"/>
    <w:rsid w:val="00324DD9"/>
    <w:rsid w:val="00327DA8"/>
    <w:rsid w:val="0033008F"/>
    <w:rsid w:val="00335DE8"/>
    <w:rsid w:val="00337BFE"/>
    <w:rsid w:val="0034252B"/>
    <w:rsid w:val="00342578"/>
    <w:rsid w:val="00350EBA"/>
    <w:rsid w:val="003562D7"/>
    <w:rsid w:val="0036629C"/>
    <w:rsid w:val="00366780"/>
    <w:rsid w:val="00371570"/>
    <w:rsid w:val="0037394A"/>
    <w:rsid w:val="00373D4C"/>
    <w:rsid w:val="00376607"/>
    <w:rsid w:val="00380548"/>
    <w:rsid w:val="00382B16"/>
    <w:rsid w:val="00383DCA"/>
    <w:rsid w:val="003869E4"/>
    <w:rsid w:val="00392313"/>
    <w:rsid w:val="003928F1"/>
    <w:rsid w:val="00394BE0"/>
    <w:rsid w:val="00396F78"/>
    <w:rsid w:val="003A0DDC"/>
    <w:rsid w:val="003A1F3E"/>
    <w:rsid w:val="003A276F"/>
    <w:rsid w:val="003A6DB7"/>
    <w:rsid w:val="003B3A21"/>
    <w:rsid w:val="003B3E1E"/>
    <w:rsid w:val="003B48B2"/>
    <w:rsid w:val="003B6508"/>
    <w:rsid w:val="003C0F89"/>
    <w:rsid w:val="003C1CD4"/>
    <w:rsid w:val="003C1D51"/>
    <w:rsid w:val="003C735D"/>
    <w:rsid w:val="003E5C62"/>
    <w:rsid w:val="003F7C12"/>
    <w:rsid w:val="004156E1"/>
    <w:rsid w:val="00416AE2"/>
    <w:rsid w:val="00423E02"/>
    <w:rsid w:val="004244FB"/>
    <w:rsid w:val="004247A3"/>
    <w:rsid w:val="00431B48"/>
    <w:rsid w:val="00434317"/>
    <w:rsid w:val="004371ED"/>
    <w:rsid w:val="00442C8C"/>
    <w:rsid w:val="00445AC3"/>
    <w:rsid w:val="0045277A"/>
    <w:rsid w:val="00461AD5"/>
    <w:rsid w:val="00467A9B"/>
    <w:rsid w:val="00471811"/>
    <w:rsid w:val="00482A47"/>
    <w:rsid w:val="00482EE8"/>
    <w:rsid w:val="0049362B"/>
    <w:rsid w:val="00493C6F"/>
    <w:rsid w:val="00494BE0"/>
    <w:rsid w:val="00495E6B"/>
    <w:rsid w:val="0049744C"/>
    <w:rsid w:val="004A1E13"/>
    <w:rsid w:val="004A3981"/>
    <w:rsid w:val="004A5D6F"/>
    <w:rsid w:val="004B29B4"/>
    <w:rsid w:val="004B595D"/>
    <w:rsid w:val="004C7F4F"/>
    <w:rsid w:val="004E67B7"/>
    <w:rsid w:val="004F23D6"/>
    <w:rsid w:val="00505F9E"/>
    <w:rsid w:val="00507C91"/>
    <w:rsid w:val="0051530A"/>
    <w:rsid w:val="00515B63"/>
    <w:rsid w:val="00520E01"/>
    <w:rsid w:val="0052502C"/>
    <w:rsid w:val="00527CAF"/>
    <w:rsid w:val="00535B9F"/>
    <w:rsid w:val="00537BD0"/>
    <w:rsid w:val="005410C1"/>
    <w:rsid w:val="0054117E"/>
    <w:rsid w:val="005431B0"/>
    <w:rsid w:val="00547A73"/>
    <w:rsid w:val="00564EA5"/>
    <w:rsid w:val="005748C0"/>
    <w:rsid w:val="005759B9"/>
    <w:rsid w:val="00581DEE"/>
    <w:rsid w:val="0058482E"/>
    <w:rsid w:val="00584EE0"/>
    <w:rsid w:val="005866E9"/>
    <w:rsid w:val="005938AD"/>
    <w:rsid w:val="00593E2D"/>
    <w:rsid w:val="0059599F"/>
    <w:rsid w:val="005A4182"/>
    <w:rsid w:val="005A4FFA"/>
    <w:rsid w:val="005A5250"/>
    <w:rsid w:val="005B08A2"/>
    <w:rsid w:val="005B152B"/>
    <w:rsid w:val="005B3228"/>
    <w:rsid w:val="005B5664"/>
    <w:rsid w:val="005B610C"/>
    <w:rsid w:val="005C3008"/>
    <w:rsid w:val="005C31B5"/>
    <w:rsid w:val="005C6639"/>
    <w:rsid w:val="005C7493"/>
    <w:rsid w:val="005D1378"/>
    <w:rsid w:val="005D42BF"/>
    <w:rsid w:val="005E4665"/>
    <w:rsid w:val="005E7217"/>
    <w:rsid w:val="00601E5C"/>
    <w:rsid w:val="006047E3"/>
    <w:rsid w:val="00611BE2"/>
    <w:rsid w:val="0061296B"/>
    <w:rsid w:val="00615636"/>
    <w:rsid w:val="006240BB"/>
    <w:rsid w:val="00624699"/>
    <w:rsid w:val="00624943"/>
    <w:rsid w:val="00624B34"/>
    <w:rsid w:val="0062540A"/>
    <w:rsid w:val="0063195E"/>
    <w:rsid w:val="006361D1"/>
    <w:rsid w:val="00640174"/>
    <w:rsid w:val="00643F3F"/>
    <w:rsid w:val="00651CA7"/>
    <w:rsid w:val="0065321B"/>
    <w:rsid w:val="00653C92"/>
    <w:rsid w:val="00654966"/>
    <w:rsid w:val="00655EE1"/>
    <w:rsid w:val="006567F1"/>
    <w:rsid w:val="0065709C"/>
    <w:rsid w:val="0066343C"/>
    <w:rsid w:val="006671B9"/>
    <w:rsid w:val="00667E35"/>
    <w:rsid w:val="00670CE3"/>
    <w:rsid w:val="00673B00"/>
    <w:rsid w:val="00673B4C"/>
    <w:rsid w:val="00673BC4"/>
    <w:rsid w:val="006755E1"/>
    <w:rsid w:val="006763EF"/>
    <w:rsid w:val="00676B9B"/>
    <w:rsid w:val="00686262"/>
    <w:rsid w:val="006908A1"/>
    <w:rsid w:val="00693E18"/>
    <w:rsid w:val="006972FD"/>
    <w:rsid w:val="006973A9"/>
    <w:rsid w:val="006A0B82"/>
    <w:rsid w:val="006A544A"/>
    <w:rsid w:val="006B1A81"/>
    <w:rsid w:val="006B5308"/>
    <w:rsid w:val="006C441D"/>
    <w:rsid w:val="006D2EDB"/>
    <w:rsid w:val="006D7E17"/>
    <w:rsid w:val="006E4346"/>
    <w:rsid w:val="006E4C5D"/>
    <w:rsid w:val="006F0A75"/>
    <w:rsid w:val="006F1757"/>
    <w:rsid w:val="006F1A33"/>
    <w:rsid w:val="006F3100"/>
    <w:rsid w:val="006F739B"/>
    <w:rsid w:val="00700912"/>
    <w:rsid w:val="00702D3C"/>
    <w:rsid w:val="00703168"/>
    <w:rsid w:val="0070439D"/>
    <w:rsid w:val="007044C5"/>
    <w:rsid w:val="00707487"/>
    <w:rsid w:val="00722B70"/>
    <w:rsid w:val="00726AD3"/>
    <w:rsid w:val="0073264E"/>
    <w:rsid w:val="00740A04"/>
    <w:rsid w:val="0075796F"/>
    <w:rsid w:val="0076223B"/>
    <w:rsid w:val="00764029"/>
    <w:rsid w:val="00780B17"/>
    <w:rsid w:val="00783A1C"/>
    <w:rsid w:val="00785492"/>
    <w:rsid w:val="00792B79"/>
    <w:rsid w:val="007A14B0"/>
    <w:rsid w:val="007B38D5"/>
    <w:rsid w:val="007B660B"/>
    <w:rsid w:val="007C7B25"/>
    <w:rsid w:val="007D16FC"/>
    <w:rsid w:val="007D36E5"/>
    <w:rsid w:val="007D634C"/>
    <w:rsid w:val="007D66A9"/>
    <w:rsid w:val="007E516F"/>
    <w:rsid w:val="007F32FD"/>
    <w:rsid w:val="00804165"/>
    <w:rsid w:val="0081015A"/>
    <w:rsid w:val="00811273"/>
    <w:rsid w:val="00825266"/>
    <w:rsid w:val="008559DF"/>
    <w:rsid w:val="00857120"/>
    <w:rsid w:val="008577DF"/>
    <w:rsid w:val="00862D49"/>
    <w:rsid w:val="00870576"/>
    <w:rsid w:val="00870933"/>
    <w:rsid w:val="00872D29"/>
    <w:rsid w:val="00880517"/>
    <w:rsid w:val="0088560E"/>
    <w:rsid w:val="0089214A"/>
    <w:rsid w:val="008932BD"/>
    <w:rsid w:val="008964B9"/>
    <w:rsid w:val="008A755A"/>
    <w:rsid w:val="008B2512"/>
    <w:rsid w:val="008C252B"/>
    <w:rsid w:val="008C7401"/>
    <w:rsid w:val="008C7891"/>
    <w:rsid w:val="008D6484"/>
    <w:rsid w:val="008F4852"/>
    <w:rsid w:val="008F657D"/>
    <w:rsid w:val="008F68C8"/>
    <w:rsid w:val="00904901"/>
    <w:rsid w:val="009049BE"/>
    <w:rsid w:val="00907914"/>
    <w:rsid w:val="009122BF"/>
    <w:rsid w:val="00917AF4"/>
    <w:rsid w:val="0092288D"/>
    <w:rsid w:val="009244F5"/>
    <w:rsid w:val="009246B4"/>
    <w:rsid w:val="00934189"/>
    <w:rsid w:val="0093637C"/>
    <w:rsid w:val="00940AE9"/>
    <w:rsid w:val="009451FA"/>
    <w:rsid w:val="00953B18"/>
    <w:rsid w:val="009622CE"/>
    <w:rsid w:val="00965862"/>
    <w:rsid w:val="009706AD"/>
    <w:rsid w:val="009804C9"/>
    <w:rsid w:val="009813A6"/>
    <w:rsid w:val="009916F6"/>
    <w:rsid w:val="00992FD5"/>
    <w:rsid w:val="009A0DC9"/>
    <w:rsid w:val="009B0DDF"/>
    <w:rsid w:val="009B6A4C"/>
    <w:rsid w:val="009B7CF4"/>
    <w:rsid w:val="009C21F4"/>
    <w:rsid w:val="009C34C8"/>
    <w:rsid w:val="009D1DA8"/>
    <w:rsid w:val="009E433B"/>
    <w:rsid w:val="009E4655"/>
    <w:rsid w:val="009E6B64"/>
    <w:rsid w:val="009F2B19"/>
    <w:rsid w:val="009F2C9A"/>
    <w:rsid w:val="009F36A6"/>
    <w:rsid w:val="00A00F30"/>
    <w:rsid w:val="00A0514F"/>
    <w:rsid w:val="00A06F3F"/>
    <w:rsid w:val="00A07D1C"/>
    <w:rsid w:val="00A135AF"/>
    <w:rsid w:val="00A13EBB"/>
    <w:rsid w:val="00A143C5"/>
    <w:rsid w:val="00A15137"/>
    <w:rsid w:val="00A173C5"/>
    <w:rsid w:val="00A318E0"/>
    <w:rsid w:val="00A34C49"/>
    <w:rsid w:val="00A406C2"/>
    <w:rsid w:val="00A41DC2"/>
    <w:rsid w:val="00A46408"/>
    <w:rsid w:val="00A51F84"/>
    <w:rsid w:val="00A5439B"/>
    <w:rsid w:val="00A602D7"/>
    <w:rsid w:val="00A60C6C"/>
    <w:rsid w:val="00A63386"/>
    <w:rsid w:val="00A6387A"/>
    <w:rsid w:val="00A64782"/>
    <w:rsid w:val="00A657FC"/>
    <w:rsid w:val="00A66DB1"/>
    <w:rsid w:val="00A67F05"/>
    <w:rsid w:val="00A73C2E"/>
    <w:rsid w:val="00A74408"/>
    <w:rsid w:val="00A76434"/>
    <w:rsid w:val="00A84133"/>
    <w:rsid w:val="00A872B2"/>
    <w:rsid w:val="00A90ADC"/>
    <w:rsid w:val="00A97D43"/>
    <w:rsid w:val="00AA47A7"/>
    <w:rsid w:val="00AB2E32"/>
    <w:rsid w:val="00AB3DD9"/>
    <w:rsid w:val="00AB4690"/>
    <w:rsid w:val="00AB61BC"/>
    <w:rsid w:val="00AC1B27"/>
    <w:rsid w:val="00AC45EF"/>
    <w:rsid w:val="00AD0977"/>
    <w:rsid w:val="00AD5CC5"/>
    <w:rsid w:val="00AD7EEB"/>
    <w:rsid w:val="00AE3A33"/>
    <w:rsid w:val="00AE6FFA"/>
    <w:rsid w:val="00B05364"/>
    <w:rsid w:val="00B17D09"/>
    <w:rsid w:val="00B25C4C"/>
    <w:rsid w:val="00B34F78"/>
    <w:rsid w:val="00B3670C"/>
    <w:rsid w:val="00B36FF7"/>
    <w:rsid w:val="00B377F1"/>
    <w:rsid w:val="00B4186E"/>
    <w:rsid w:val="00B44E3A"/>
    <w:rsid w:val="00B52475"/>
    <w:rsid w:val="00B61F7A"/>
    <w:rsid w:val="00B846A0"/>
    <w:rsid w:val="00B866F8"/>
    <w:rsid w:val="00B91BBA"/>
    <w:rsid w:val="00BA1F96"/>
    <w:rsid w:val="00BA5059"/>
    <w:rsid w:val="00BA7362"/>
    <w:rsid w:val="00BB5B61"/>
    <w:rsid w:val="00BC0413"/>
    <w:rsid w:val="00BE2531"/>
    <w:rsid w:val="00BE5F99"/>
    <w:rsid w:val="00BF3CB1"/>
    <w:rsid w:val="00BF42AF"/>
    <w:rsid w:val="00C064EE"/>
    <w:rsid w:val="00C12879"/>
    <w:rsid w:val="00C17BCB"/>
    <w:rsid w:val="00C2116E"/>
    <w:rsid w:val="00C255E7"/>
    <w:rsid w:val="00C2648C"/>
    <w:rsid w:val="00C334D0"/>
    <w:rsid w:val="00C35534"/>
    <w:rsid w:val="00C40BA0"/>
    <w:rsid w:val="00C56CAC"/>
    <w:rsid w:val="00C60185"/>
    <w:rsid w:val="00C67430"/>
    <w:rsid w:val="00C7039F"/>
    <w:rsid w:val="00C71CFE"/>
    <w:rsid w:val="00C7567C"/>
    <w:rsid w:val="00C77BB7"/>
    <w:rsid w:val="00C82970"/>
    <w:rsid w:val="00C91471"/>
    <w:rsid w:val="00C95C7F"/>
    <w:rsid w:val="00CA398D"/>
    <w:rsid w:val="00CA40E9"/>
    <w:rsid w:val="00CB5C92"/>
    <w:rsid w:val="00CB6850"/>
    <w:rsid w:val="00CB7F30"/>
    <w:rsid w:val="00CC04DA"/>
    <w:rsid w:val="00CC2E57"/>
    <w:rsid w:val="00CC353E"/>
    <w:rsid w:val="00CC433C"/>
    <w:rsid w:val="00CC69D8"/>
    <w:rsid w:val="00CC7B0F"/>
    <w:rsid w:val="00CD0B2A"/>
    <w:rsid w:val="00CE03AE"/>
    <w:rsid w:val="00CE1111"/>
    <w:rsid w:val="00CE4934"/>
    <w:rsid w:val="00CE648E"/>
    <w:rsid w:val="00CE78DA"/>
    <w:rsid w:val="00CF336F"/>
    <w:rsid w:val="00CF3B94"/>
    <w:rsid w:val="00CF6562"/>
    <w:rsid w:val="00D03FDB"/>
    <w:rsid w:val="00D04993"/>
    <w:rsid w:val="00D06919"/>
    <w:rsid w:val="00D10B74"/>
    <w:rsid w:val="00D16B4F"/>
    <w:rsid w:val="00D207AA"/>
    <w:rsid w:val="00D2182A"/>
    <w:rsid w:val="00D26FB9"/>
    <w:rsid w:val="00D31FC1"/>
    <w:rsid w:val="00D3466D"/>
    <w:rsid w:val="00D41E50"/>
    <w:rsid w:val="00D45BA0"/>
    <w:rsid w:val="00D46873"/>
    <w:rsid w:val="00D50387"/>
    <w:rsid w:val="00D618AD"/>
    <w:rsid w:val="00D73281"/>
    <w:rsid w:val="00D75522"/>
    <w:rsid w:val="00D83375"/>
    <w:rsid w:val="00D8468F"/>
    <w:rsid w:val="00D86B13"/>
    <w:rsid w:val="00D873A7"/>
    <w:rsid w:val="00D90C90"/>
    <w:rsid w:val="00D9212E"/>
    <w:rsid w:val="00D92A06"/>
    <w:rsid w:val="00D9388F"/>
    <w:rsid w:val="00D956D9"/>
    <w:rsid w:val="00DA3F9E"/>
    <w:rsid w:val="00DC3BA1"/>
    <w:rsid w:val="00DD1C69"/>
    <w:rsid w:val="00DD30AA"/>
    <w:rsid w:val="00DD7C67"/>
    <w:rsid w:val="00DE14A7"/>
    <w:rsid w:val="00DE2099"/>
    <w:rsid w:val="00DE25D2"/>
    <w:rsid w:val="00DE36ED"/>
    <w:rsid w:val="00DE6334"/>
    <w:rsid w:val="00DE6FF3"/>
    <w:rsid w:val="00DE7D42"/>
    <w:rsid w:val="00DF5290"/>
    <w:rsid w:val="00E15115"/>
    <w:rsid w:val="00E15518"/>
    <w:rsid w:val="00E222DD"/>
    <w:rsid w:val="00E35072"/>
    <w:rsid w:val="00E35401"/>
    <w:rsid w:val="00E45C8A"/>
    <w:rsid w:val="00E4718F"/>
    <w:rsid w:val="00E53D84"/>
    <w:rsid w:val="00E558C9"/>
    <w:rsid w:val="00E57A8D"/>
    <w:rsid w:val="00E613B6"/>
    <w:rsid w:val="00E62774"/>
    <w:rsid w:val="00E647E3"/>
    <w:rsid w:val="00E660C3"/>
    <w:rsid w:val="00E70520"/>
    <w:rsid w:val="00E76F30"/>
    <w:rsid w:val="00E909C9"/>
    <w:rsid w:val="00E95F2B"/>
    <w:rsid w:val="00E96897"/>
    <w:rsid w:val="00EC3A1D"/>
    <w:rsid w:val="00EC49C5"/>
    <w:rsid w:val="00ED7B50"/>
    <w:rsid w:val="00EE0B4E"/>
    <w:rsid w:val="00EE6086"/>
    <w:rsid w:val="00EE791F"/>
    <w:rsid w:val="00EE7EAC"/>
    <w:rsid w:val="00EF0E4D"/>
    <w:rsid w:val="00EF1C8A"/>
    <w:rsid w:val="00F02CCA"/>
    <w:rsid w:val="00F106A5"/>
    <w:rsid w:val="00F108F9"/>
    <w:rsid w:val="00F11484"/>
    <w:rsid w:val="00F13F1C"/>
    <w:rsid w:val="00F249E6"/>
    <w:rsid w:val="00F308BB"/>
    <w:rsid w:val="00F4095A"/>
    <w:rsid w:val="00F420E9"/>
    <w:rsid w:val="00F441DB"/>
    <w:rsid w:val="00F506E6"/>
    <w:rsid w:val="00F51351"/>
    <w:rsid w:val="00F5298B"/>
    <w:rsid w:val="00F7290D"/>
    <w:rsid w:val="00F7479A"/>
    <w:rsid w:val="00F77057"/>
    <w:rsid w:val="00F90A94"/>
    <w:rsid w:val="00FA03D0"/>
    <w:rsid w:val="00FA3570"/>
    <w:rsid w:val="00FA50BC"/>
    <w:rsid w:val="00FA7A03"/>
    <w:rsid w:val="00FB0556"/>
    <w:rsid w:val="00FB4412"/>
    <w:rsid w:val="00FE0A89"/>
    <w:rsid w:val="00FE1D76"/>
    <w:rsid w:val="00FE5CC0"/>
    <w:rsid w:val="00F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1F1508B2"/>
  <w15:chartTrackingRefBased/>
  <w15:docId w15:val="{11BE26C6-24DE-43CC-843F-6BEC5393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4EE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4EE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064EE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4EE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64EE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C064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C064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C064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C064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C064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EE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64EE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64EE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064EE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064EE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EE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EE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EE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EE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064EE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EE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C064EE"/>
    <w:pPr>
      <w:numPr>
        <w:numId w:val="3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C064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4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64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64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C064EE"/>
    <w:rPr>
      <w:noProof w:val="0"/>
    </w:rPr>
  </w:style>
  <w:style w:type="character" w:styleId="Hyperlink">
    <w:name w:val="Hyperlink"/>
    <w:basedOn w:val="DefaultParagraphFont"/>
    <w:uiPriority w:val="99"/>
    <w:unhideWhenUsed/>
    <w:rsid w:val="00C064EE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C064EE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C064EE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C064EE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C064EE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C064EE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C064EE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rsid w:val="00C064EE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C064EE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C064EE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C064EE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C064EE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C064EE"/>
    <w:pPr>
      <w:numPr>
        <w:numId w:val="1"/>
      </w:numPr>
      <w:ind w:left="0" w:firstLine="0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C064EE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C064EE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C064EE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C064EE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C064EE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C064EE"/>
    <w:rPr>
      <w:rFonts w:ascii="Segoe UI" w:hAnsi="Segoe UI" w:cs="Segoe UI"/>
      <w:noProof w:val="0"/>
      <w:color w:val="003469"/>
      <w:kern w:val="0"/>
      <w:sz w:val="24"/>
      <w:szCs w:val="24"/>
      <w14:ligatures w14:val="none"/>
    </w:rPr>
  </w:style>
  <w:style w:type="character" w:customStyle="1" w:styleId="AuthorChar">
    <w:name w:val="Author Char"/>
    <w:basedOn w:val="FooterChar"/>
    <w:link w:val="Author"/>
    <w:rsid w:val="00C064EE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064E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C064EE"/>
    <w:pPr>
      <w:numPr>
        <w:numId w:val="4"/>
      </w:numPr>
      <w:spacing w:after="200" w:line="240" w:lineRule="auto"/>
      <w:ind w:left="283" w:hanging="283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C064EE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C064EE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C064EE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C064EE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C064EE"/>
    <w:rPr>
      <w:b/>
      <w:bCs/>
      <w:noProof w:val="0"/>
    </w:rPr>
  </w:style>
  <w:style w:type="character" w:customStyle="1" w:styleId="Italics">
    <w:name w:val="Italics"/>
    <w:uiPriority w:val="1"/>
    <w:qFormat/>
    <w:rsid w:val="00C064EE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C064EE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my.oxfordeconomics.com/reportaction/42e7Ce9b398341D580f203/Toc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s/b44FAd8ce36A453fb3eBf8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.oxfordeconomics.com/reports/001C2cBab9F44c619C8C53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image" Target="media/image10.svg"/><Relationship Id="rId10" Type="http://schemas.openxmlformats.org/officeDocument/2006/relationships/hyperlink" Target="https://my.oxfordeconomics.com/reports/343D0322296F478d87c6ab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F53FF-C78D-46AB-B83A-43CC8A1FB22C}"/>
      </w:docPartPr>
      <w:docPartBody>
        <w:p w:rsidR="00FA76DC" w:rsidRDefault="00FA76DC">
          <w:r w:rsidRPr="00FD7C3F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DC"/>
    <w:rsid w:val="00220D63"/>
    <w:rsid w:val="002D7E4B"/>
    <w:rsid w:val="003C0F89"/>
    <w:rsid w:val="00493C6F"/>
    <w:rsid w:val="00535B9F"/>
    <w:rsid w:val="006755E1"/>
    <w:rsid w:val="007E516F"/>
    <w:rsid w:val="009D1DA8"/>
    <w:rsid w:val="00AD7EEB"/>
    <w:rsid w:val="00C7039F"/>
    <w:rsid w:val="00F7479A"/>
    <w:rsid w:val="00FA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a1b354df745ae6595cb300db67460c2c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3d26e621a7a3b4fe63a10b62de79d3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E4B828B1-1DCF-4CCA-A842-F0395C705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FB0EA9-36B5-463F-9494-9740AAF09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55AA02-BF51-48F5-B02A-00B7F3D3644D}">
  <ds:schemaRefs>
    <ds:schemaRef ds:uri="http://schemas.microsoft.com/office/2006/documentManagement/types"/>
    <ds:schemaRef ds:uri="http://purl.org/dc/terms/"/>
    <ds:schemaRef ds:uri="6ec33f61-c765-4e3b-9958-53c32fd1fd0b"/>
    <ds:schemaRef ds:uri="http://purl.org/dc/elements/1.1/"/>
    <ds:schemaRef ds:uri="http://schemas.microsoft.com/office/2006/metadata/properties"/>
    <ds:schemaRef ds:uri="6c77b332-7df6-4eff-997f-266963d55fc4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1011</Words>
  <Characters>5101</Characters>
  <Application>Microsoft Office Word</Application>
  <DocSecurity>0</DocSecurity>
  <Lines>71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14</cp:revision>
  <dcterms:created xsi:type="dcterms:W3CDTF">2026-03-11T11:57:00Z</dcterms:created>
  <dcterms:modified xsi:type="dcterms:W3CDTF">2026-03-12T08:46:00Z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2026-03-12T08:43:24.000Z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v0.8.2.4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Themes:monetary policy,interest rates</vt:lpwstr>
  </property>
  <property fmtid="{D5CDD505-2E9C-101B-9397-08002B2CF9AE}" pid="16" name="OEP_KEY_THEMES">
    <vt:lpwstr>monetary policy,interest rates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522EBa6ea691403daB1Dac</vt:lpwstr>
  </property>
  <property fmtid="{D5CDD505-2E9C-101B-9397-08002B2CF9AE}" pid="19" name="OEP_PUBLISH_DATE">
    <vt:lpwstr/>
  </property>
</Properties>
</file>